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収益認識に関する論点整理(ご相談資料)v3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2026年10月22日更新(初版10月12日/v2 10月21日)/株式会社円谷プロダクション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3では、経理部門(斉藤さん・10月22日)からの回答を反映し、契約構成を「②イベント実施契約+③IPライセンス契約」の2本立てに改め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変更点(v2→v3)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v3(10/22・現行)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根拠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①準備契約(契約金)②イベント実施契約③IPライセンス契約の3本立て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②イベント実施契約(2026年10月末締結〜2029年3月)+③IPライセンス契約の2本立て。①は②に統合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経理回答3:準備契約金は一括計上ではなく期間按分。実稼働を含むなら②に統合した方が分かりやすい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2027年1〜3月分(390現場・3,900万円)の認識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①準備契約金として全額当期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②第1期の最低保証として当期(2027年3月期)に計上。金額・当期帰属は変わらない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③の「1年以内全額入金」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認識要件か資金条件か未確認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会計処理上の要件。契約時に27ヶ月分4,500万円を一括前払いとする提示条件で充足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契約の結合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リスクとして提起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「可能性あり」。契約書上の対策を第3章に明記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終期2029年3月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要確認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2028年12月末→2029年3月末に変更しても会計処理は変わらない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①の専用成果物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なし(10/22確定)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変更なし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作成許諾の最低保証期間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契約年度ごとに設定予定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前半15ヶ月(2027年1月〜2028年3月)/後半12ヶ月(2028年4月〜2029年3月)で確定。未達分は年度末確定・返還なし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10/22 経理とのやりとりを正とする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契約期間:2027年1月〜2029年3月(27ヶ月)。締結は2026年10月末を予定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契約ストラクチャー(当社案v3:2本立て)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2026年10月末(締結)〜2029年3月。精算期間は第1期2027年1〜3月/第2期2027年4月〜2028年3月/第3期2028年4月〜2029年3月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1期390現場=3,900万円、第2期1,560現場=1億5,600万円、第3期1,575現場=1億5,750万円)。余裕月増枠・現場諸経費・フル運営オプションは従量。運営マニュアル・様式類は付随提供物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3億5,250万円+従量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最低保証は期間按分・原価は都度計上。四半期ごとに按分計上額と実績(超過分)を洗い替え。返金条項なし。第1期分3,900万円は全額当期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店頭イベント・イベントキット・店頭訴求ツール・LP/Web・SNSでのIP利用と作成物の監修を包括。携帯キャリア3社との店頭イベント契約を行わない排他条件もこの契約に置く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4,500万円(2,000万円/年)。契約時に一括前払い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全額当期(契約から1年以内の全額入金が会計処理上の要件。一括前払いで充足)※第3章の論点⑥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(前半:2027年1月〜2028年3月の15ヶ月分/後半:2028年4月〜2029年3月の12ヶ月分)。確定(10/22)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製造(使用)時点。最低保証未達分は各年度末に確定・返還なし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先方に提示済みの見積(10月22日)は「稼働費(最低保証・3期精算)+IP使用料(27ヶ月分一括前払い)+従量」の構成で、上記2本立てと一致する。契約書ドラフトは②③を別個の契約書とする。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開催単位の役務提供として都度認識。最低保証分は期間按分し、四半期ごとに実績と洗い替え(経理案)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第1期(2027年1〜3月)は実稼働12〜15ラインを含む。最低保証390現場分3,900万円は精算期間が当期内に完結するため、按分・実績いずれでも当期計上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契約書上の明記事項(経理回答2):契約期間・履行義務・入金時期。第1期については「2026年11月〜2027年3月の期間に390現場分を消化する対価」であること、最低保証・返還なしであること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論点④:3期の精算区切り(契約上)と四半期洗い替え(会計上)の整合。期末時点の未達分の扱い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3-2.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締結日からの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経理回答:全額当期計上。「契約から1年以内の全額入金」は会計処理上の要件であり、契約時一括前払いで充足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・継続):全額当期計上の会計上の根拠(使用権としての整理か、他の論理か)とシンボリックIPとの整理の関係は、経理回答には含まれていない。監査法人の事前合意を必須とする。按分と判定された場合の当期影響は約▲3,700万円(4,500万円→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契約書上の明記事項(経理回答2):②に言及する記載を入れない(②の契約を前提とする記載、②が履行されない場合の返金条件などは不可)。返金なしを明記</w:t>
      </w:r>
    </w:p>
    <w:p>
      <w:r>
        <w:rPr>
          <w:rFonts w:ascii="Meiryo" w:hAnsi="Meiryo" w:eastAsia="Meiryo"/>
          <w:b/>
          <w:sz w:val="23"/>
        </w:rPr>
        <w:t>3-3.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経理回答:②③が密接に関連しているため、会計上1つの契約として結合される可能性はある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対策(契約書ドラフトに反映):各契約で契約期間・履行義務・入金時期を明確にする/③は②から独立して成立し、②なしでも権利として価値を持つ構成にする(排他条件・監修・作成許諾の根拠を③に置く)/②③の対価をそれぞれ独立に算定し、相互の値引き・条件連動を記載し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論点⑦(継続):結合と判定された場合の履行義務の再識別と対価配分(③が②の最低保証と合算されて期間按分される可能性)。契約書ドラフトの経理・監査法人チェックで確認</w:t>
      </w:r>
    </w:p>
    <w:p>
      <w:r>
        <w:rPr>
          <w:rFonts w:ascii="Meiryo" w:hAnsi="Meiryo" w:eastAsia="Meiryo"/>
          <w:b/>
          <w:sz w:val="23"/>
        </w:rPr>
        <w:t>3-4.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(前半:第1期+第2期の15ヶ月分=2027年1月〜2028年3月/後半:第3期の12ヶ月分=2028年4月〜2029年3月)。未達分は各年度末に確定し返還なし。製造数量は四半期ごとに先方から報告を受けて精算。この切り方を当社の確定案とし、先方提示の見積(10/22)と同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テスト実績(履行済)約0.12億+先行スポット(11〜12月)数百万+②第1期最低保証0.39億+③IP 0.45億(全額当期。按分と判定された場合は約0.08億)+許諾料(春節前量産分)約0.05〜0.1億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約1.0〜1.1億円</w:t>
            </w:r>
            <w:r>
              <w:rPr>
                <w:rFonts w:ascii="Meiryo" w:hAnsi="Meiryo" w:eastAsia="Meiryo"/>
                <w:b w:val="0"/>
                <w:sz w:val="19"/>
              </w:rPr>
              <w:t>(③が按分の場合は約0.6〜0.7億円)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②第2期最低保証1.56億+増枠・諸経費(基準約0.31億)+許諾料(③は全額当期計上のため0。按分の場合は約0.2億)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②第3期最低保証1.58億+増枠・諸経費+許諾料(③按分の場合は約0.2億)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契約時に27ヶ月分4,500万円を一括前払い。最低保証は四半期前払いで交渉)→契約負債として計上。先方の会計年度(4〜3月)との整合も考慮し、2026年度中の先方支払額は先方の予算決裁に影響するため、総額不変で支払時期を調整する余地を残す(ただし③の一括前払いは会計要件のため動かさない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論点⑫:消費税の課税時期(②は都度、③は契約時)と法人税の整合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経理回答で整理済み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①準備契約金の扱い:期間按分のため廃止し②に統合。第1期390現場分3,900万円は当期計上(論点①②③は解消)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③の「1年以内全額入金」:会計処理上の要件。契約時一括前払いで充足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終期を2029年3月としても会計処理は変わらない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継続して確認が必要な事項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③IPライセンス契約の全額当期計上の会計上の根拠(シンボリックIPの期間按分との関係)。監査法人の事前確認の要否と時期(論点⑥)※当期計上額への影響が最大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②③の契約の結合リスクと、独立性を担保する契約書上の記載(論点⑦)。契約書ドラフト(10月下旬提示予定)の事前の経理確認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最低保証の3期精算(契約上)と四半期洗い替え(会計上)の整合、期末未達分の扱い(論点④)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契約書ドラフトへの会計要件の反映事項(精算期間の定義・精算確定日・返金不能条項・③の返金なし・契約の独立性)のご指導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