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第54稿（東京篇）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彼女が、隣の腕に触れる。</w:t>
      </w:r>
    </w:p>
    <w:p>
      <w:pPr>
        <w:pStyle w:val="Action"/>
      </w:pPr>
      <w:r>
        <w:t>触れられた人が、目を開ける。次の人へ。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倉田「……言われました」</w:t>
      </w:r>
    </w:p>
    <w:p>
      <w:pPr>
        <w:pStyle w:val="Dialogue"/>
      </w:pPr>
      <w:r>
        <w:t>母の声「……そう」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倉田「奥様が、起きるまで、起きてます」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