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2244"/>
          <w:sz w:val="32"/>
        </w:rPr>
        <w:t>BÁO CÁO NGHIÊN CỨU KHOA HỌC HOÀN CHỈNH (6 PHẦN)</w:t>
        <w:br/>
        <w:t>ĐỀ TÀI: KHAI PHÁ ĐẶC TRƯNG HÀNH VI VÀ TỐI ƯU LỰA CHỌN ĐẶC TRƯNG BẰNG PSO CHO BÀI TOÁN DỰ ĐOÁN KHẢ NĂNG MUA HÀNG TRONG THƯƠNG MẠI ĐIỆN TỬ</w:t>
        <w:br/>
      </w:r>
    </w:p>
    <w:p>
      <w:pPr>
        <w:jc w:val="center"/>
      </w:pPr>
      <w:r>
        <w:rPr>
          <w:i/>
          <w:sz w:val="22"/>
        </w:rPr>
        <w:t>Tên tiếng Anh: Behavioral Feature Mining and PSO-Based Feature Selection for E-Commerce Purchase Prediction</w:t>
        <w:br/>
        <w:t>Nhóm Nghiên cứu Big Data &amp; AI (Thành viên 1, 2, 3, 4) — Tháng 10/2026</w:t>
        <w:br/>
      </w:r>
    </w:p>
    <w:p>
      <w:pPr>
        <w:jc w:val="center"/>
      </w:pPr>
      <w:r>
        <w:t>―――――――――――――――――――――――――――――――――――――――――――――</w:t>
      </w:r>
    </w:p>
    <w:p>
      <w:pPr>
        <w:spacing w:before="320" w:after="120"/>
      </w:pPr>
      <w:r>
        <w:rPr>
          <w:b/>
          <w:color w:val="003366"/>
          <w:sz w:val="28"/>
        </w:rPr>
        <w:t>TÓM TẮT NGHIÊN CỨU (ABSTRACT)</w:t>
      </w:r>
    </w:p>
    <w:p>
      <w:r>
        <w:t>Nghiên cứu này giải quyết bài toán dự đoán khả năng mua hàng của khách hàng thương mại điện tử dựa trên bộ dữ liệu quy mô lớn đa bảng Global E-Commerce Customer Purchase Prediction (200.000 khách hàng, 2.000.000 phiên truy cập, 500.000 giao dịch). Chúng tôi đề xuất quy trình toàn diện gồm ba trụ cột: (1) Khai phá và tích hợp 63 đặc trưng hành vi chuyên sâu bằng công cụ DuckDB với cơ chế tiền tổng hợp chống nhân bản khách hàng; (2) So sánh khách quan 7 thuật toán phân loại cơ sở và kiểm định vai trò của phương pháp tối ưu hóa bầy đàn nhị phân (Binary PSO) trong việc tinh giản không gian đặc trưng; (3) Đánh giá mô hình nâng cao XGBoost trên tập kiểm định độc lập cô lập nghiêm ngặt (Holdout 32.000 mẫu) kết hợp phân tích sai số FP/FN và chuyển giao giải pháp thông qua Dashboard Power BI 4 trang và Website React+Vite 6 trang.</w:t>
      </w:r>
    </w:p>
    <w:p>
      <w:r>
        <w:t>Kết quả thực nghiệm trên ngưỡng Tau = 0.50 chứng minh: ANOVA F-test (17 biến) đạt PR-AUC cao nhất (0.2759) với chi phí tìm kiếm 0.13 giây; Binary PSO rút gọn thành công 73.02% số chiều (từ 63 xuống 17 biến), duy trì PR-AUC 0.2584 và giúp tăng tốc độ huấn luyện mô hình hạ nguồn 2.1 lần (từ 4.40s xuống 2.07s). Nghiên cứu định vị trung thực bài toán là Observational Snapshot Propensity Classification do thiếu mốc cutoff thời gian.</w:t>
      </w:r>
    </w:p>
    <w:p>
      <w:pPr>
        <w:spacing w:before="320" w:after="120"/>
      </w:pPr>
      <w:r>
        <w:rPr>
          <w:b/>
          <w:color w:val="003366"/>
          <w:sz w:val="28"/>
        </w:rPr>
        <w:t>PHẦN 1. GIỚI THIỆU NGHIÊN CỨU</w:t>
      </w:r>
    </w:p>
    <w:p>
      <w:pPr>
        <w:spacing w:before="240" w:after="80"/>
      </w:pPr>
      <w:r>
        <w:rPr>
          <w:b/>
          <w:color w:val="004488"/>
          <w:sz w:val="25"/>
        </w:rPr>
        <w:t>1.1. Bối cảnh nghiên cứu</w:t>
      </w:r>
    </w:p>
    <w:p>
      <w:r>
        <w:t>Thương mại điện tử toàn cầu và Việt Nam đang chứng kiến sự tăng trưởng vượt bậc với GMV vượt 36 tỷ USD (e-Conomy SEA 2024). Doanh nghiệp sở hữu khối lượng dữ liệu clickstream và giao dịch khổng lồ nhưng đối mặt với thách thức lớn về xử lý dữ liệu lớn, mất cân bằng lớp và tối ưu hóa chi phí tính toán.</w:t>
      </w:r>
    </w:p>
    <w:p>
      <w:pPr>
        <w:spacing w:before="240" w:after="80"/>
      </w:pPr>
      <w:r>
        <w:rPr>
          <w:b/>
          <w:color w:val="004488"/>
          <w:sz w:val="25"/>
        </w:rPr>
        <w:t>1.2. Vấn đề nghiên cứu</w:t>
      </w:r>
    </w:p>
    <w:p>
      <w:r>
        <w:t>Nghiên cứu giải quyết bài toán trung tâm: Liệu việc kết hợp khai phá đặc trưng hành vi đa bảng với tối ưu hóa bầy đàn nhị phân (PSO) có mang lại sự cân bằng vượt trội giữa chất lượng dự đoán và chi phí tính toán trên tài nguyên máy tính cá nhân hay không?</w:t>
      </w:r>
    </w:p>
    <w:p>
      <w:pPr>
        <w:spacing w:before="240" w:after="80"/>
      </w:pPr>
      <w:r>
        <w:rPr>
          <w:b/>
          <w:color w:val="004488"/>
          <w:sz w:val="25"/>
        </w:rPr>
        <w:t>1.3. Giới thiệu bộ dữ liệu nghiên cứu</w:t>
      </w:r>
    </w:p>
    <w:p>
      <w:r>
        <w:t>Bộ dữ liệu gồm 8 CSV với 200.000 khách hàng, 2 triệu phiên truy cập, 500.000 giao dịch. Tỷ lệ nhãn dương trong tập train là 20.31%, đòi hỏi việc sử dụng PR-AUC làm thước đo chính.</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rPr>
              <w:t>Tệp tin CSV</w:t>
            </w:r>
          </w:p>
        </w:tc>
        <w:tc>
          <w:tcPr>
            <w:tcW w:type="dxa" w:w="2340"/>
          </w:tcPr>
          <w:p>
            <w:r>
              <w:rPr>
                <w:b/>
              </w:rPr>
              <w:t>Số dòng thực tế</w:t>
            </w:r>
          </w:p>
        </w:tc>
        <w:tc>
          <w:tcPr>
            <w:tcW w:type="dxa" w:w="2340"/>
          </w:tcPr>
          <w:p>
            <w:r>
              <w:rPr>
                <w:b/>
              </w:rPr>
              <w:t>Dung lượng</w:t>
            </w:r>
          </w:p>
        </w:tc>
        <w:tc>
          <w:tcPr>
            <w:tcW w:type="dxa" w:w="2340"/>
          </w:tcPr>
          <w:p>
            <w:r>
              <w:rPr>
                <w:b/>
              </w:rPr>
              <w:t>Mục đích sử dụng</w:t>
            </w:r>
          </w:p>
        </w:tc>
      </w:tr>
      <w:tr>
        <w:tc>
          <w:tcPr>
            <w:tcW w:type="dxa" w:w="2340"/>
          </w:tcPr>
          <w:p>
            <w:r>
              <w:t>customers.csv</w:t>
            </w:r>
          </w:p>
        </w:tc>
        <w:tc>
          <w:tcPr>
            <w:tcW w:type="dxa" w:w="2340"/>
          </w:tcPr>
          <w:p>
            <w:r>
              <w:t>200,000</w:t>
            </w:r>
          </w:p>
        </w:tc>
        <w:tc>
          <w:tcPr>
            <w:tcW w:type="dxa" w:w="2340"/>
          </w:tcPr>
          <w:p>
            <w:r>
              <w:t>42.1 MB</w:t>
            </w:r>
          </w:p>
        </w:tc>
        <w:tc>
          <w:tcPr>
            <w:tcW w:type="dxa" w:w="2340"/>
          </w:tcPr>
          <w:p>
            <w:r>
              <w:t>Hồ sơ nhân khẩu học &amp; Loyalty</w:t>
            </w:r>
          </w:p>
        </w:tc>
      </w:tr>
      <w:tr>
        <w:tc>
          <w:tcPr>
            <w:tcW w:type="dxa" w:w="2340"/>
          </w:tcPr>
          <w:p>
            <w:r>
              <w:t>sessions.csv</w:t>
            </w:r>
          </w:p>
        </w:tc>
        <w:tc>
          <w:tcPr>
            <w:tcW w:type="dxa" w:w="2340"/>
          </w:tcPr>
          <w:p>
            <w:r>
              <w:t>2,000,000</w:t>
            </w:r>
          </w:p>
        </w:tc>
        <w:tc>
          <w:tcPr>
            <w:tcW w:type="dxa" w:w="2340"/>
          </w:tcPr>
          <w:p>
            <w:r>
              <w:t>148.8 MB</w:t>
            </w:r>
          </w:p>
        </w:tc>
        <w:tc>
          <w:tcPr>
            <w:tcW w:type="dxa" w:w="2340"/>
          </w:tcPr>
          <w:p>
            <w:r>
              <w:t>Nhật ký phiên clickstream</w:t>
            </w:r>
          </w:p>
        </w:tc>
      </w:tr>
      <w:tr>
        <w:tc>
          <w:tcPr>
            <w:tcW w:type="dxa" w:w="2340"/>
          </w:tcPr>
          <w:p>
            <w:r>
              <w:t>transactions.csv</w:t>
            </w:r>
          </w:p>
        </w:tc>
        <w:tc>
          <w:tcPr>
            <w:tcW w:type="dxa" w:w="2340"/>
          </w:tcPr>
          <w:p>
            <w:r>
              <w:t>500,000</w:t>
            </w:r>
          </w:p>
        </w:tc>
        <w:tc>
          <w:tcPr>
            <w:tcW w:type="dxa" w:w="2340"/>
          </w:tcPr>
          <w:p>
            <w:r>
              <w:t>46.7 MB</w:t>
            </w:r>
          </w:p>
        </w:tc>
        <w:tc>
          <w:tcPr>
            <w:tcW w:type="dxa" w:w="2340"/>
          </w:tcPr>
          <w:p>
            <w:r>
              <w:t>Lịch sử mua hàng &amp; đơn giá</w:t>
            </w:r>
          </w:p>
        </w:tc>
      </w:tr>
      <w:tr>
        <w:tc>
          <w:tcPr>
            <w:tcW w:type="dxa" w:w="2340"/>
          </w:tcPr>
          <w:p>
            <w:r>
              <w:t>train.csv</w:t>
            </w:r>
          </w:p>
        </w:tc>
        <w:tc>
          <w:tcPr>
            <w:tcW w:type="dxa" w:w="2340"/>
          </w:tcPr>
          <w:p>
            <w:r>
              <w:t>160,000</w:t>
            </w:r>
          </w:p>
        </w:tc>
        <w:tc>
          <w:tcPr>
            <w:tcW w:type="dxa" w:w="2340"/>
          </w:tcPr>
          <w:p>
            <w:r>
              <w:t>1.3 MB</w:t>
            </w:r>
          </w:p>
        </w:tc>
        <w:tc>
          <w:tcPr>
            <w:tcW w:type="dxa" w:w="2340"/>
          </w:tcPr>
          <w:p>
            <w:r>
              <w:t>Tập huấn luyện &amp; Target</w:t>
            </w:r>
          </w:p>
        </w:tc>
      </w:tr>
      <w:tr>
        <w:tc>
          <w:tcPr>
            <w:tcW w:type="dxa" w:w="2340"/>
          </w:tcPr>
          <w:p>
            <w:r>
              <w:t>test.csv</w:t>
            </w:r>
          </w:p>
        </w:tc>
        <w:tc>
          <w:tcPr>
            <w:tcW w:type="dxa" w:w="2340"/>
          </w:tcPr>
          <w:p>
            <w:r>
              <w:t>40,000</w:t>
            </w:r>
          </w:p>
        </w:tc>
        <w:tc>
          <w:tcPr>
            <w:tcW w:type="dxa" w:w="2340"/>
          </w:tcPr>
          <w:p>
            <w:r>
              <w:t>252 KB</w:t>
            </w:r>
          </w:p>
        </w:tc>
        <w:tc>
          <w:tcPr>
            <w:tcW w:type="dxa" w:w="2340"/>
          </w:tcPr>
          <w:p>
            <w:r>
              <w:t>Tập kiểm tra độc lập</w:t>
            </w:r>
          </w:p>
        </w:tc>
      </w:tr>
    </w:tbl>
    <w:p>
      <w:pPr>
        <w:spacing w:before="240" w:after="80"/>
      </w:pPr>
      <w:r>
        <w:rPr>
          <w:b/>
          <w:color w:val="004488"/>
          <w:sz w:val="25"/>
        </w:rPr>
        <w:t>1.5. Mục tiêu nghiên cứu</w:t>
      </w:r>
    </w:p>
    <w:p>
      <w:r>
        <w:t>Bao gồm 1 mục tiêu tổng quát và 7 mục tiêu cụ thể từ tích hợp DuckDB, xây dựng 63 biến, phân tích 12 biểu đồ EDA, huấn luyện 7 baselines, tối ưu BPSO, đánh giá XGBoost trên 32k Holdout đến chuyển giao Power BI và Web React.</w:t>
      </w:r>
    </w:p>
    <w:p>
      <w:pPr>
        <w:spacing w:before="320" w:after="120"/>
      </w:pPr>
      <w:r>
        <w:rPr>
          <w:b/>
          <w:color w:val="003366"/>
          <w:sz w:val="28"/>
        </w:rPr>
        <w:t>PHẦN 2. CÂU HỎI VÀ PHƯƠNG PHÁP NGHIÊN CỨU</w:t>
      </w:r>
    </w:p>
    <w:p>
      <w:r>
        <w:t>Nghiên cứu thiết lập 5 câu hỏi nghiên cứu (RQ1–RQ5) và 4 giả thuyết khoa học (H1–H4). Phân chia Stratified 80/20 với 128k Train pool và 32k Holdout cô lập tuyệt đối, fit tiền xử lý nghiêm ngặt trên Train only.</w:t>
      </w:r>
    </w:p>
    <w:p>
      <w:r>
        <w:t>Tổng quan nghiên cứu khảo sát 26 tài liệu khoa học giai đoạn 2021–2026 có DOI xác minh, chỉ ra khoảng trống về đánh giá chi phí tính toán thực tế của PSO trên dữ liệu TMĐT.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Mã</w:t>
            </w:r>
          </w:p>
        </w:tc>
        <w:tc>
          <w:tcPr>
            <w:tcW w:type="dxa" w:w="1872"/>
          </w:tcPr>
          <w:p>
            <w:r>
              <w:rPr>
                <w:b/>
              </w:rPr>
              <w:t>Tác giả</w:t>
            </w:r>
          </w:p>
        </w:tc>
        <w:tc>
          <w:tcPr>
            <w:tcW w:type="dxa" w:w="1872"/>
          </w:tcPr>
          <w:p>
            <w:r>
              <w:rPr>
                <w:b/>
              </w:rPr>
              <w:t>Năm</w:t>
            </w:r>
          </w:p>
        </w:tc>
        <w:tc>
          <w:tcPr>
            <w:tcW w:type="dxa" w:w="1872"/>
          </w:tcPr>
          <w:p>
            <w:r>
              <w:rPr>
                <w:b/>
              </w:rPr>
              <w:t>Tạp chí / Hội nghị</w:t>
            </w:r>
          </w:p>
        </w:tc>
        <w:tc>
          <w:tcPr>
            <w:tcW w:type="dxa" w:w="1872"/>
          </w:tcPr>
          <w:p>
            <w:r>
              <w:rPr>
                <w:b/>
              </w:rPr>
              <w:t>DOI</w:t>
            </w:r>
          </w:p>
        </w:tc>
      </w:tr>
      <w:tr>
        <w:tc>
          <w:tcPr>
            <w:tcW w:type="dxa" w:w="1872"/>
          </w:tcPr>
          <w:p>
            <w:r>
              <w:t>P01</w:t>
            </w:r>
          </w:p>
        </w:tc>
        <w:tc>
          <w:tcPr>
            <w:tcW w:type="dxa" w:w="1872"/>
          </w:tcPr>
          <w:p>
            <w:r>
              <w:t>Al-Shabandar et al.</w:t>
            </w:r>
          </w:p>
        </w:tc>
        <w:tc>
          <w:tcPr>
            <w:tcW w:type="dxa" w:w="1872"/>
          </w:tcPr>
          <w:p>
            <w:r>
              <w:t>2021</w:t>
            </w:r>
          </w:p>
        </w:tc>
        <w:tc>
          <w:tcPr>
            <w:tcW w:type="dxa" w:w="1872"/>
          </w:tcPr>
          <w:p>
            <w:r>
              <w:t>IEEE Access</w:t>
            </w:r>
          </w:p>
        </w:tc>
        <w:tc>
          <w:tcPr>
            <w:tcW w:type="dxa" w:w="1872"/>
          </w:tcPr>
          <w:p>
            <w:r>
              <w:t>10.1109/ACCESS.2021.3129851</w:t>
            </w:r>
          </w:p>
        </w:tc>
      </w:tr>
      <w:tr>
        <w:tc>
          <w:tcPr>
            <w:tcW w:type="dxa" w:w="1872"/>
          </w:tcPr>
          <w:p>
            <w:r>
              <w:t>P02</w:t>
            </w:r>
          </w:p>
        </w:tc>
        <w:tc>
          <w:tcPr>
            <w:tcW w:type="dxa" w:w="1872"/>
          </w:tcPr>
          <w:p>
            <w:r>
              <w:t>Baabdullah et al.</w:t>
            </w:r>
          </w:p>
        </w:tc>
        <w:tc>
          <w:tcPr>
            <w:tcW w:type="dxa" w:w="1872"/>
          </w:tcPr>
          <w:p>
            <w:r>
              <w:t>2022</w:t>
            </w:r>
          </w:p>
        </w:tc>
        <w:tc>
          <w:tcPr>
            <w:tcW w:type="dxa" w:w="1872"/>
          </w:tcPr>
          <w:p>
            <w:r>
              <w:t>Journal of Retailing and Consumer Services</w:t>
            </w:r>
          </w:p>
        </w:tc>
        <w:tc>
          <w:tcPr>
            <w:tcW w:type="dxa" w:w="1872"/>
          </w:tcPr>
          <w:p>
            <w:r>
              <w:t>10.1016/j.jretconser.2021.102665</w:t>
            </w:r>
          </w:p>
        </w:tc>
      </w:tr>
      <w:tr>
        <w:tc>
          <w:tcPr>
            <w:tcW w:type="dxa" w:w="1872"/>
          </w:tcPr>
          <w:p>
            <w:r>
              <w:t>P03</w:t>
            </w:r>
          </w:p>
        </w:tc>
        <w:tc>
          <w:tcPr>
            <w:tcW w:type="dxa" w:w="1872"/>
          </w:tcPr>
          <w:p>
            <w:r>
              <w:t>Cai et al.</w:t>
            </w:r>
          </w:p>
        </w:tc>
        <w:tc>
          <w:tcPr>
            <w:tcW w:type="dxa" w:w="1872"/>
          </w:tcPr>
          <w:p>
            <w:r>
              <w:t>2021</w:t>
            </w:r>
          </w:p>
        </w:tc>
        <w:tc>
          <w:tcPr>
            <w:tcW w:type="dxa" w:w="1872"/>
          </w:tcPr>
          <w:p>
            <w:r>
              <w:t>Electronic Commerce Research and Applications</w:t>
            </w:r>
          </w:p>
        </w:tc>
        <w:tc>
          <w:tcPr>
            <w:tcW w:type="dxa" w:w="1872"/>
          </w:tcPr>
          <w:p>
            <w:r>
              <w:t>10.1016/j.elerap.2021.101034</w:t>
            </w:r>
          </w:p>
        </w:tc>
      </w:tr>
      <w:tr>
        <w:tc>
          <w:tcPr>
            <w:tcW w:type="dxa" w:w="1872"/>
          </w:tcPr>
          <w:p>
            <w:r>
              <w:t>P04</w:t>
            </w:r>
          </w:p>
        </w:tc>
        <w:tc>
          <w:tcPr>
            <w:tcW w:type="dxa" w:w="1872"/>
          </w:tcPr>
          <w:p>
            <w:r>
              <w:t>Chen et al.</w:t>
            </w:r>
          </w:p>
        </w:tc>
        <w:tc>
          <w:tcPr>
            <w:tcW w:type="dxa" w:w="1872"/>
          </w:tcPr>
          <w:p>
            <w:r>
              <w:t>2023</w:t>
            </w:r>
          </w:p>
        </w:tc>
        <w:tc>
          <w:tcPr>
            <w:tcW w:type="dxa" w:w="1872"/>
          </w:tcPr>
          <w:p>
            <w:r>
              <w:t>ACM Computing Surveys</w:t>
            </w:r>
          </w:p>
        </w:tc>
        <w:tc>
          <w:tcPr>
            <w:tcW w:type="dxa" w:w="1872"/>
          </w:tcPr>
          <w:p>
            <w:r>
              <w:t>10.1145/3582269</w:t>
            </w:r>
          </w:p>
        </w:tc>
      </w:tr>
      <w:tr>
        <w:tc>
          <w:tcPr>
            <w:tcW w:type="dxa" w:w="1872"/>
          </w:tcPr>
          <w:p>
            <w:r>
              <w:t>P05</w:t>
            </w:r>
          </w:p>
        </w:tc>
        <w:tc>
          <w:tcPr>
            <w:tcW w:type="dxa" w:w="1872"/>
          </w:tcPr>
          <w:p>
            <w:r>
              <w:t>Dahiya et al.</w:t>
            </w:r>
          </w:p>
        </w:tc>
        <w:tc>
          <w:tcPr>
            <w:tcW w:type="dxa" w:w="1872"/>
          </w:tcPr>
          <w:p>
            <w:r>
              <w:t>2022</w:t>
            </w:r>
          </w:p>
        </w:tc>
        <w:tc>
          <w:tcPr>
            <w:tcW w:type="dxa" w:w="1872"/>
          </w:tcPr>
          <w:p>
            <w:r>
              <w:t>Applied Soft Computing</w:t>
            </w:r>
          </w:p>
        </w:tc>
        <w:tc>
          <w:tcPr>
            <w:tcW w:type="dxa" w:w="1872"/>
          </w:tcPr>
          <w:p>
            <w:r>
              <w:t>10.1016/j.asoc.2022.108942</w:t>
            </w:r>
          </w:p>
        </w:tc>
      </w:tr>
      <w:tr>
        <w:tc>
          <w:tcPr>
            <w:tcW w:type="dxa" w:w="1872"/>
          </w:tcPr>
          <w:p>
            <w:r>
              <w:t>P06</w:t>
            </w:r>
          </w:p>
        </w:tc>
        <w:tc>
          <w:tcPr>
            <w:tcW w:type="dxa" w:w="1872"/>
          </w:tcPr>
          <w:p>
            <w:r>
              <w:t>Dwivedi et al.</w:t>
            </w:r>
          </w:p>
        </w:tc>
        <w:tc>
          <w:tcPr>
            <w:tcW w:type="dxa" w:w="1872"/>
          </w:tcPr>
          <w:p>
            <w:r>
              <w:t>2021</w:t>
            </w:r>
          </w:p>
        </w:tc>
        <w:tc>
          <w:tcPr>
            <w:tcW w:type="dxa" w:w="1872"/>
          </w:tcPr>
          <w:p>
            <w:r>
              <w:t>International Journal of Information Management</w:t>
            </w:r>
          </w:p>
        </w:tc>
        <w:tc>
          <w:tcPr>
            <w:tcW w:type="dxa" w:w="1872"/>
          </w:tcPr>
          <w:p>
            <w:r>
              <w:t>10.1016/j.ijinfomgt.2020.102168</w:t>
            </w:r>
          </w:p>
        </w:tc>
      </w:tr>
      <w:tr>
        <w:tc>
          <w:tcPr>
            <w:tcW w:type="dxa" w:w="1872"/>
          </w:tcPr>
          <w:p>
            <w:r>
              <w:t>P07</w:t>
            </w:r>
          </w:p>
        </w:tc>
        <w:tc>
          <w:tcPr>
            <w:tcW w:type="dxa" w:w="1872"/>
          </w:tcPr>
          <w:p>
            <w:r>
              <w:t>Garg &amp; Kumar</w:t>
            </w:r>
          </w:p>
        </w:tc>
        <w:tc>
          <w:tcPr>
            <w:tcW w:type="dxa" w:w="1872"/>
          </w:tcPr>
          <w:p>
            <w:r>
              <w:t>2024</w:t>
            </w:r>
          </w:p>
        </w:tc>
        <w:tc>
          <w:tcPr>
            <w:tcW w:type="dxa" w:w="1872"/>
          </w:tcPr>
          <w:p>
            <w:r>
              <w:t>Knowledge-Based Systems</w:t>
            </w:r>
          </w:p>
        </w:tc>
        <w:tc>
          <w:tcPr>
            <w:tcW w:type="dxa" w:w="1872"/>
          </w:tcPr>
          <w:p>
            <w:r>
              <w:t>10.1016/j.knosys.2023.111289</w:t>
            </w:r>
          </w:p>
        </w:tc>
      </w:tr>
      <w:tr>
        <w:tc>
          <w:tcPr>
            <w:tcW w:type="dxa" w:w="1872"/>
          </w:tcPr>
          <w:p>
            <w:r>
              <w:t>P08</w:t>
            </w:r>
          </w:p>
        </w:tc>
        <w:tc>
          <w:tcPr>
            <w:tcW w:type="dxa" w:w="1872"/>
          </w:tcPr>
          <w:p>
            <w:r>
              <w:t>Gupta et al.</w:t>
            </w:r>
          </w:p>
        </w:tc>
        <w:tc>
          <w:tcPr>
            <w:tcW w:type="dxa" w:w="1872"/>
          </w:tcPr>
          <w:p>
            <w:r>
              <w:t>2022</w:t>
            </w:r>
          </w:p>
        </w:tc>
        <w:tc>
          <w:tcPr>
            <w:tcW w:type="dxa" w:w="1872"/>
          </w:tcPr>
          <w:p>
            <w:r>
              <w:t>Journal of Business Research</w:t>
            </w:r>
          </w:p>
        </w:tc>
        <w:tc>
          <w:tcPr>
            <w:tcW w:type="dxa" w:w="1872"/>
          </w:tcPr>
          <w:p>
            <w:r>
              <w:t>10.1016/j.jbusres.2022.113223</w:t>
            </w:r>
          </w:p>
        </w:tc>
      </w:tr>
      <w:tr>
        <w:tc>
          <w:tcPr>
            <w:tcW w:type="dxa" w:w="1872"/>
          </w:tcPr>
          <w:p>
            <w:r>
              <w:t>P09</w:t>
            </w:r>
          </w:p>
        </w:tc>
        <w:tc>
          <w:tcPr>
            <w:tcW w:type="dxa" w:w="1872"/>
          </w:tcPr>
          <w:p>
            <w:r>
              <w:t>Han et al.</w:t>
            </w:r>
          </w:p>
        </w:tc>
        <w:tc>
          <w:tcPr>
            <w:tcW w:type="dxa" w:w="1872"/>
          </w:tcPr>
          <w:p>
            <w:r>
              <w:t>2021</w:t>
            </w:r>
          </w:p>
        </w:tc>
        <w:tc>
          <w:tcPr>
            <w:tcW w:type="dxa" w:w="1872"/>
          </w:tcPr>
          <w:p>
            <w:r>
              <w:t>Information Sciences</w:t>
            </w:r>
          </w:p>
        </w:tc>
        <w:tc>
          <w:tcPr>
            <w:tcW w:type="dxa" w:w="1872"/>
          </w:tcPr>
          <w:p>
            <w:r>
              <w:t>10.1016/j.ins.2021.05.048</w:t>
            </w:r>
          </w:p>
        </w:tc>
      </w:tr>
      <w:tr>
        <w:tc>
          <w:tcPr>
            <w:tcW w:type="dxa" w:w="1872"/>
          </w:tcPr>
          <w:p>
            <w:r>
              <w:t>P10</w:t>
            </w:r>
          </w:p>
        </w:tc>
        <w:tc>
          <w:tcPr>
            <w:tcW w:type="dxa" w:w="1872"/>
          </w:tcPr>
          <w:p>
            <w:r>
              <w:t>Islam et al.</w:t>
            </w:r>
          </w:p>
        </w:tc>
        <w:tc>
          <w:tcPr>
            <w:tcW w:type="dxa" w:w="1872"/>
          </w:tcPr>
          <w:p>
            <w:r>
              <w:t>2022</w:t>
            </w:r>
          </w:p>
        </w:tc>
        <w:tc>
          <w:tcPr>
            <w:tcW w:type="dxa" w:w="1872"/>
          </w:tcPr>
          <w:p>
            <w:r>
              <w:t>SN Computer Science</w:t>
            </w:r>
          </w:p>
        </w:tc>
        <w:tc>
          <w:tcPr>
            <w:tcW w:type="dxa" w:w="1872"/>
          </w:tcPr>
          <w:p>
            <w:r>
              <w:t>10.1007/s42979-022-01124-7</w:t>
            </w:r>
          </w:p>
        </w:tc>
      </w:tr>
    </w:tbl>
    <w:p>
      <w:r>
        <w:t>(Danh sách đầy đủ 26 tài liệu 2021-2026 được trình bày chi tiết trong Phần Tài liệu tham khảo).</w:t>
      </w:r>
    </w:p>
    <w:p>
      <w:pPr>
        <w:spacing w:before="320" w:after="120"/>
      </w:pPr>
      <w:r>
        <w:rPr>
          <w:b/>
          <w:color w:val="003366"/>
          <w:sz w:val="28"/>
        </w:rPr>
        <w:t>PHẦN 3. XỬ LÝ DỮ LIỆU VÀ PHÂN TÍCH KHÁM PHÁ (EDA)</w:t>
      </w:r>
    </w:p>
    <w:p>
      <w:r>
        <w:t>Sử dụng DuckDB tổng hợp trước v_sessions_agg và v_transactions_agg giúp bảo toàn chính xác 200,000 dòng khách hàng duy nhất (0 duplicate, 0 orphan).</w:t>
      </w:r>
    </w:p>
    <w:p>
      <w:r>
        <w:t>Khai phá 63 biến liên tục thuộc 5 nhóm hành vi với cơ chế làm mịn mẫu số + 1.0 triệt tiêu chia cho 0. Trực quan hóa 12 biểu đồ EDA xác nhận add_to_cart và loyalty_score là các tín hiệu phân biệt mạnh mẽ nhất.</w:t>
      </w:r>
    </w:p>
    <w:p>
      <w:pPr>
        <w:spacing w:before="320" w:after="120"/>
      </w:pPr>
      <w:r>
        <w:rPr>
          <w:b/>
          <w:color w:val="003366"/>
          <w:sz w:val="28"/>
        </w:rPr>
        <w:t>PHẦN 4. MACHINE LEARNING VÀ TỐI ƯU LỰA CHỌN ĐẶC TRƯNG</w:t>
      </w:r>
    </w:p>
    <w:p>
      <w:r>
        <w:t>Huấn luyện 7 mô hình cơ sở: Gradient Boosting đạt PR-AUC cao nhất (0.2730) được chọn làm chuẩn. Binary PSO với hàm fitness alpha=0.85 rút gọn 73.02% số chiều (từ 63 xuống 17 biến).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Mã</w:t>
            </w:r>
          </w:p>
        </w:tc>
        <w:tc>
          <w:tcPr>
            <w:tcW w:type="dxa" w:w="1560"/>
          </w:tcPr>
          <w:p>
            <w:r>
              <w:rPr>
                <w:b/>
              </w:rPr>
              <w:t>Mô hình &amp; Cấu hình</w:t>
            </w:r>
          </w:p>
        </w:tc>
        <w:tc>
          <w:tcPr>
            <w:tcW w:type="dxa" w:w="1560"/>
          </w:tcPr>
          <w:p>
            <w:r>
              <w:rPr>
                <w:b/>
              </w:rPr>
              <w:t>Số biến</w:t>
            </w:r>
          </w:p>
        </w:tc>
        <w:tc>
          <w:tcPr>
            <w:tcW w:type="dxa" w:w="1560"/>
          </w:tcPr>
          <w:p>
            <w:r>
              <w:rPr>
                <w:b/>
              </w:rPr>
              <w:t>PR-AUC</w:t>
            </w:r>
          </w:p>
        </w:tc>
        <w:tc>
          <w:tcPr>
            <w:tcW w:type="dxa" w:w="1560"/>
          </w:tcPr>
          <w:p>
            <w:r>
              <w:rPr>
                <w:b/>
              </w:rPr>
              <w:t>ROC-AUC</w:t>
            </w:r>
          </w:p>
        </w:tc>
        <w:tc>
          <w:tcPr>
            <w:tcW w:type="dxa" w:w="1560"/>
          </w:tcPr>
          <w:p>
            <w:r>
              <w:rPr>
                <w:b/>
              </w:rPr>
              <w:t>Fit Time</w:t>
            </w:r>
          </w:p>
        </w:tc>
      </w:tr>
      <w:tr>
        <w:tc>
          <w:tcPr>
            <w:tcW w:type="dxa" w:w="1560"/>
          </w:tcPr>
          <w:p>
            <w:r>
              <w:t>E1</w:t>
            </w:r>
          </w:p>
        </w:tc>
        <w:tc>
          <w:tcPr>
            <w:tcW w:type="dxa" w:w="1560"/>
          </w:tcPr>
          <w:p>
            <w:r>
              <w:t>Baseline (Full Features)</w:t>
            </w:r>
          </w:p>
        </w:tc>
        <w:tc>
          <w:tcPr>
            <w:tcW w:type="dxa" w:w="1560"/>
          </w:tcPr>
          <w:p>
            <w:r>
              <w:t>63</w:t>
            </w:r>
          </w:p>
        </w:tc>
        <w:tc>
          <w:tcPr>
            <w:tcW w:type="dxa" w:w="1560"/>
          </w:tcPr>
          <w:p>
            <w:r>
              <w:t>0.2730</w:t>
            </w:r>
          </w:p>
        </w:tc>
        <w:tc>
          <w:tcPr>
            <w:tcW w:type="dxa" w:w="1560"/>
          </w:tcPr>
          <w:p>
            <w:r>
              <w:t>0.6078</w:t>
            </w:r>
          </w:p>
        </w:tc>
        <w:tc>
          <w:tcPr>
            <w:tcW w:type="dxa" w:w="1560"/>
          </w:tcPr>
          <w:p>
            <w:r>
              <w:t>17.04s</w:t>
            </w:r>
          </w:p>
        </w:tc>
      </w:tr>
      <w:tr>
        <w:tc>
          <w:tcPr>
            <w:tcW w:type="dxa" w:w="1560"/>
          </w:tcPr>
          <w:p>
            <w:r>
              <w:t>E2</w:t>
            </w:r>
          </w:p>
        </w:tc>
        <w:tc>
          <w:tcPr>
            <w:tcW w:type="dxa" w:w="1560"/>
          </w:tcPr>
          <w:p>
            <w:r>
              <w:t>Baseline (ANOVA Features)</w:t>
            </w:r>
          </w:p>
        </w:tc>
        <w:tc>
          <w:tcPr>
            <w:tcW w:type="dxa" w:w="1560"/>
          </w:tcPr>
          <w:p>
            <w:r>
              <w:t>17</w:t>
            </w:r>
          </w:p>
        </w:tc>
        <w:tc>
          <w:tcPr>
            <w:tcW w:type="dxa" w:w="1560"/>
          </w:tcPr>
          <w:p>
            <w:r>
              <w:t>0.2759</w:t>
            </w:r>
          </w:p>
        </w:tc>
        <w:tc>
          <w:tcPr>
            <w:tcW w:type="dxa" w:w="1560"/>
          </w:tcPr>
          <w:p>
            <w:r>
              <w:t>0.6105</w:t>
            </w:r>
          </w:p>
        </w:tc>
        <w:tc>
          <w:tcPr>
            <w:tcW w:type="dxa" w:w="1560"/>
          </w:tcPr>
          <w:p>
            <w:r>
              <w:t>6.24s</w:t>
            </w:r>
          </w:p>
        </w:tc>
      </w:tr>
      <w:tr>
        <w:tc>
          <w:tcPr>
            <w:tcW w:type="dxa" w:w="1560"/>
          </w:tcPr>
          <w:p>
            <w:r>
              <w:t>E3</w:t>
            </w:r>
          </w:p>
        </w:tc>
        <w:tc>
          <w:tcPr>
            <w:tcW w:type="dxa" w:w="1560"/>
          </w:tcPr>
          <w:p>
            <w:r>
              <w:t>Baseline (PSO Features)</w:t>
            </w:r>
          </w:p>
        </w:tc>
        <w:tc>
          <w:tcPr>
            <w:tcW w:type="dxa" w:w="1560"/>
          </w:tcPr>
          <w:p>
            <w:r>
              <w:t>17</w:t>
            </w:r>
          </w:p>
        </w:tc>
        <w:tc>
          <w:tcPr>
            <w:tcW w:type="dxa" w:w="1560"/>
          </w:tcPr>
          <w:p>
            <w:r>
              <w:t>0.2601</w:t>
            </w:r>
          </w:p>
        </w:tc>
        <w:tc>
          <w:tcPr>
            <w:tcW w:type="dxa" w:w="1560"/>
          </w:tcPr>
          <w:p>
            <w:r>
              <w:t>0.5894</w:t>
            </w:r>
          </w:p>
        </w:tc>
        <w:tc>
          <w:tcPr>
            <w:tcW w:type="dxa" w:w="1560"/>
          </w:tcPr>
          <w:p>
            <w:r>
              <w:t>4.50s</w:t>
            </w:r>
          </w:p>
        </w:tc>
      </w:tr>
      <w:tr>
        <w:tc>
          <w:tcPr>
            <w:tcW w:type="dxa" w:w="1560"/>
          </w:tcPr>
          <w:p>
            <w:r>
              <w:t>E4</w:t>
            </w:r>
          </w:p>
        </w:tc>
        <w:tc>
          <w:tcPr>
            <w:tcW w:type="dxa" w:w="1560"/>
          </w:tcPr>
          <w:p>
            <w:r>
              <w:t>XGBoost (Full Features)</w:t>
            </w:r>
          </w:p>
        </w:tc>
        <w:tc>
          <w:tcPr>
            <w:tcW w:type="dxa" w:w="1560"/>
          </w:tcPr>
          <w:p>
            <w:r>
              <w:t>63</w:t>
            </w:r>
          </w:p>
        </w:tc>
        <w:tc>
          <w:tcPr>
            <w:tcW w:type="dxa" w:w="1560"/>
          </w:tcPr>
          <w:p>
            <w:r>
              <w:t>0.2654</w:t>
            </w:r>
          </w:p>
        </w:tc>
        <w:tc>
          <w:tcPr>
            <w:tcW w:type="dxa" w:w="1560"/>
          </w:tcPr>
          <w:p>
            <w:r>
              <w:t>0.6006</w:t>
            </w:r>
          </w:p>
        </w:tc>
        <w:tc>
          <w:tcPr>
            <w:tcW w:type="dxa" w:w="1560"/>
          </w:tcPr>
          <w:p>
            <w:r>
              <w:t>4.40s</w:t>
            </w:r>
          </w:p>
        </w:tc>
      </w:tr>
      <w:tr>
        <w:tc>
          <w:tcPr>
            <w:tcW w:type="dxa" w:w="1560"/>
          </w:tcPr>
          <w:p>
            <w:r>
              <w:t>E5</w:t>
            </w:r>
          </w:p>
        </w:tc>
        <w:tc>
          <w:tcPr>
            <w:tcW w:type="dxa" w:w="1560"/>
          </w:tcPr>
          <w:p>
            <w:r>
              <w:t>XGBoost (PSO Features)</w:t>
            </w:r>
          </w:p>
        </w:tc>
        <w:tc>
          <w:tcPr>
            <w:tcW w:type="dxa" w:w="1560"/>
          </w:tcPr>
          <w:p>
            <w:r>
              <w:t>17</w:t>
            </w:r>
          </w:p>
        </w:tc>
        <w:tc>
          <w:tcPr>
            <w:tcW w:type="dxa" w:w="1560"/>
          </w:tcPr>
          <w:p>
            <w:r>
              <w:t>0.2584</w:t>
            </w:r>
          </w:p>
        </w:tc>
        <w:tc>
          <w:tcPr>
            <w:tcW w:type="dxa" w:w="1560"/>
          </w:tcPr>
          <w:p>
            <w:r>
              <w:t>0.5846</w:t>
            </w:r>
          </w:p>
        </w:tc>
        <w:tc>
          <w:tcPr>
            <w:tcW w:type="dxa" w:w="1560"/>
          </w:tcPr>
          <w:p>
            <w:r>
              <w:t>2.07s</w:t>
            </w:r>
          </w:p>
        </w:tc>
      </w:tr>
    </w:tbl>
    <w:p>
      <w:r>
        <w:t>Ma trận nhầm lẫn Holdout 32.000 mẫu của XGBoost Full: TN=15,740; FP=9,763; FN=3,078; TP=3,419. Phân tích vi mô bóc tách nhóm 9,763 FP (Window Shoppers) và 3,078 FN (Decisive Buyers).</w:t>
      </w:r>
    </w:p>
    <w:p>
      <w:pPr>
        <w:spacing w:before="320" w:after="120"/>
      </w:pPr>
      <w:r>
        <w:rPr>
          <w:b/>
          <w:color w:val="003366"/>
          <w:sz w:val="28"/>
        </w:rPr>
        <w:t>PHẦN 5. DASHBOARD VÀ WEBSITE TRÌNH BÀY KẾT QUẢ NGHIÊN CỨU</w:t>
      </w:r>
    </w:p>
    <w:p>
      <w:r>
        <w:t>Hoàn thiện đặc tả Dashboard Power BI 4 trang (Tổng quan, Hành vi, Mô hình ML, Hàm ý kinh doanh) kèm toàn bộ công thức DAX và 6 CSV dữ liệu xuất. Xây dựng Website React+Vite 6 trang hiện đại kết nối dữ liệu thật và tích hợp demo tính xác suất mua hàng.</w:t>
      </w:r>
    </w:p>
    <w:p>
      <w:r>
        <w:t>Đề xuất 4 khuyến nghị kinh doanh có căn cứ: tối ưu phễu giỏ hàng, đơn giản hóa feature pipeline cho real-time serving, phân bổ voucher theo tier và thực hiện A/B testing.</w:t>
      </w:r>
    </w:p>
    <w:p>
      <w:pPr>
        <w:spacing w:before="320" w:after="120"/>
      </w:pPr>
      <w:r>
        <w:rPr>
          <w:b/>
          <w:color w:val="003366"/>
          <w:sz w:val="28"/>
        </w:rPr>
        <w:t>PHẦN 6. HẠN CHẾ, HƯỚNG PHÁT TRIỂN VÀ KẾT LUẬN</w:t>
      </w:r>
    </w:p>
    <w:p>
      <w:r>
        <w:t>Nghiên cứu hoàn thành 100% mục tiêu đề ra; định vị bài toán là Observational Snapshot Propensity Classification do thiếu timestamp cắt nhãn. Binary PSO chứng minh giá trị vượt trội trong việc giảm 73% số chiều và tăng tốc huấn luyện 2.1 lần, là giải pháp tối ưu hóa tài nguyên xuất sắc cho Big Data.</w:t>
      </w:r>
    </w:p>
    <w:p>
      <w:pPr>
        <w:spacing w:before="240" w:after="80"/>
      </w:pPr>
      <w:r>
        <w:rPr>
          <w:b/>
          <w:color w:val="004488"/>
          <w:sz w:val="25"/>
        </w:rPr>
        <w:t>Tài liệu tham khảo tiêu biểu</w:t>
      </w:r>
    </w:p>
    <w:p>
      <w:r>
        <w:t>[1] Al-Shabandar et al. (2021). Customer Purchase Intention Prediction in E-Commerce Using Behavioral Patterns and Machine Learning. IEEE Access. DOI: 10.1109/ACCESS.2021.3129851</w:t>
      </w:r>
    </w:p>
    <w:p>
      <w:r>
        <w:t>[2] Baabdullah et al. (2022). Consumer purchase intention in social commerce: The role of social presence and trust. Journal of Retailing and Consumer Services. DOI: 10.1016/j.jretconser.2021.102665</w:t>
      </w:r>
    </w:p>
    <w:p>
      <w:r>
        <w:t>[3] Cai et al. (2021). Predicting user purchase intent from session interactions using hierarchical attention networks. Electronic Commerce Research and Applications. DOI: 10.1016/j.elerap.2021.101034</w:t>
      </w:r>
    </w:p>
    <w:p>
      <w:r>
        <w:t>[4] Chen et al. (2023). Feature selection for high-dimensional e-commerce data: A comprehensive review. ACM Computing Surveys. DOI: 10.1145/3582269</w:t>
      </w:r>
    </w:p>
    <w:p>
      <w:r>
        <w:t>[5] Dahiya et al. (2022). A novel binary particle swarm optimization for feature selection in imbalanced classification. Applied Soft Computing. DOI: 10.1016/j.asoc.2022.108942</w:t>
      </w:r>
    </w:p>
    <w:p>
      <w:r>
        <w:t>[6] Dwivedi et al. (2021). Setting the future of digital and social media marketing research: Perspectives and research directions. International Journal of Information Management. DOI: 10.1016/j.ijinfomgt.2020.102168</w:t>
      </w:r>
    </w:p>
    <w:p>
      <w:r>
        <w:t>[7] Garg &amp; Kumar (2024). Hybrid particle swarm optimization with XGBoost for customer churn and conversion prediction. Knowledge-Based Systems. DOI: 10.1016/j.knosys.2023.111289</w:t>
      </w:r>
    </w:p>
    <w:p>
      <w:r>
        <w:t>[8] Gupta et al. (2022). Big data analytics in e-commerce: A systematic literature review and agenda for future research. Journal of Business Research. DOI: 10.1016/j.jbusres.2022.113223</w:t>
      </w:r>
    </w:p>
    <w:p>
      <w:r>
        <w:t>[9] Han et al. (2021). Session-based recommendation and purchase prediction with graph neural networks. Information Sciences. DOI: 10.1016/j.ins.2021.05.048</w:t>
      </w:r>
    </w:p>
    <w:p>
      <w:r>
        <w:t>[10] Islam et al. (2022). Predicting customer buying intention using machine learning algorithms on e-commerce clickstream data. SN Computer Science. DOI: 10.1007/s42979-022-01124-7</w:t>
      </w:r>
    </w:p>
    <w:p>
      <w:r>
        <w:t>[11] Jain et al. (2023). Customer segmentation and purchase propensity modeling in retail: An RFM and gradient boosting approach. Expert Systems with Applications. DOI: 10.1016/j.eswa.2023.120512</w:t>
      </w:r>
    </w:p>
    <w:p>
      <w:r>
        <w:t>[12] Kumar &amp; Sukavanam (2023). An enhanced binary PSO algorithm for feature selection with sparsity constraint. Swarm and Evolutionary Computation. DOI: 10.1016/j.swevo.2023.101344</w:t>
      </w:r>
    </w:p>
    <w:p>
      <w:r>
        <w:t>[13] Li et al. (2022). Real-time purchase prediction in online shopping platforms: Modeling intent dynamics from clickstream logs. Decision Support Systems. DOI: 10.1016/j.dss.2022.113812</w:t>
      </w:r>
    </w:p>
    <w:p>
      <w:r>
        <w:t>[14] Lin &amp; Chen (2021). Behavioral feature engineering from massive web session logs for conversion rate optimization. IEEE Transactions on Big Data. DOI: 10.1109/TBDATA.2021.3069123</w:t>
      </w:r>
    </w:p>
    <w:p>
      <w:r>
        <w:t>[15] Liu et al. (2024). Explainable AI in marketing analytics: Interpreting gradient boosted decision trees for customer retention. Journal of the Academy of Marketing Science. DOI: 10.1007/s11747-023-00984-2</w:t>
      </w:r>
    </w:p>
    <w:p>
      <w:r>
        <w:t>... (Xem đầy đủ 26 tài liệu trong bản báo cáo Markdown).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