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2E83" w:rsidRDefault="004272DB" w:rsidP="00072E8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72E83">
        <w:rPr>
          <w:rFonts w:ascii="Times New Roman" w:hAnsi="Times New Roman" w:cs="Times New Roman"/>
          <w:b/>
          <w:bCs/>
        </w:rPr>
        <w:t>Übersicht Eigentum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  <w:r w:rsidRPr="009D738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E726FFB" wp14:editId="173ECC20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49560343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Definition Eigentum: </w:t>
      </w:r>
      <w:r w:rsidRPr="00072E83">
        <w:rPr>
          <w:rFonts w:ascii="Times New Roman" w:hAnsi="Times New Roman" w:cs="Times New Roman"/>
          <w:i/>
          <w:iCs/>
        </w:rPr>
        <w:t>Das Recht zur umfassenden Sachherrschaft. Der Eigentümer darf nach Belieben mit der Sache verfahren und andere von der Nutzung ausschließen</w:t>
      </w:r>
      <w:r>
        <w:rPr>
          <w:rFonts w:ascii="Times New Roman" w:hAnsi="Times New Roman" w:cs="Times New Roman"/>
        </w:rPr>
        <w:t>, vgl. § 903 BGB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</w:p>
    <w:p w:rsidR="00072E83" w:rsidRPr="00A9081E" w:rsidRDefault="00072E83" w:rsidP="00072E83">
      <w:pPr>
        <w:spacing w:line="360" w:lineRule="auto"/>
        <w:rPr>
          <w:rFonts w:ascii="Times New Roman" w:hAnsi="Times New Roman" w:cs="Times New Roman"/>
          <w:b/>
          <w:bCs/>
        </w:rPr>
      </w:pPr>
      <w:r w:rsidRPr="00A9081E">
        <w:rPr>
          <w:rFonts w:ascii="Times New Roman" w:hAnsi="Times New Roman" w:cs="Times New Roman"/>
          <w:b/>
          <w:bCs/>
        </w:rPr>
        <w:t>Arten des Eigentumserwerbs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Rechtsgeschäftlicher Eigentumserwerb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Gesetzlicher Eigentumserwerb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Fund, §§ 965 ff.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Verbindung, Verarbeitung, Vermischung, §§ 946 ff.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Aneignung herrenloser Sachen, §958 ff.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Erwerb von Erzeugnissen, § 953 ff.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Ersitzung, §§ 937 ff.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</w:p>
    <w:p w:rsidR="00072E83" w:rsidRPr="00A9081E" w:rsidRDefault="00072E83" w:rsidP="00072E83">
      <w:pPr>
        <w:spacing w:line="360" w:lineRule="auto"/>
        <w:rPr>
          <w:rFonts w:ascii="Times New Roman" w:hAnsi="Times New Roman" w:cs="Times New Roman"/>
          <w:b/>
          <w:bCs/>
        </w:rPr>
      </w:pPr>
      <w:r w:rsidRPr="00A9081E">
        <w:rPr>
          <w:rFonts w:ascii="Times New Roman" w:hAnsi="Times New Roman" w:cs="Times New Roman"/>
          <w:b/>
          <w:bCs/>
        </w:rPr>
        <w:t>Der Rechtsgeschäftliche Eigentumserwerb</w:t>
      </w:r>
      <w:r w:rsidR="00F94C84" w:rsidRPr="00A9081E">
        <w:rPr>
          <w:rFonts w:ascii="Times New Roman" w:hAnsi="Times New Roman" w:cs="Times New Roman"/>
          <w:b/>
          <w:bCs/>
        </w:rPr>
        <w:t xml:space="preserve"> an beweglichen Sachen</w:t>
      </w:r>
      <w:r w:rsidRPr="00A9081E">
        <w:rPr>
          <w:rFonts w:ascii="Times New Roman" w:hAnsi="Times New Roman" w:cs="Times New Roman"/>
          <w:b/>
          <w:bCs/>
        </w:rPr>
        <w:t>, §§ 929 ff.</w:t>
      </w:r>
    </w:p>
    <w:p w:rsidR="00072E83" w:rsidRDefault="00072E83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Unterscheidung zwischen Eigentumserwerb vom Berechtigten und vom Nichtberechtigten</w:t>
      </w:r>
    </w:p>
    <w:p w:rsidR="00072E83" w:rsidRDefault="00072E83" w:rsidP="00072E83">
      <w:pPr>
        <w:spacing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Berechtigter ist der Eigentümer einer Sache und derjenige, der rechtsgeschäftlich oder gesetzlich zur Veräußerung ermächtigt ist</w:t>
      </w:r>
    </w:p>
    <w:p w:rsidR="00072E83" w:rsidRPr="00A9081E" w:rsidRDefault="00072E83" w:rsidP="00072E83">
      <w:pPr>
        <w:spacing w:line="360" w:lineRule="auto"/>
        <w:rPr>
          <w:rFonts w:ascii="Times New Roman" w:hAnsi="Times New Roman" w:cs="Times New Roman"/>
          <w:b/>
          <w:bCs/>
        </w:rPr>
      </w:pPr>
      <w:r w:rsidRPr="00A9081E">
        <w:rPr>
          <w:rFonts w:ascii="Times New Roman" w:hAnsi="Times New Roman" w:cs="Times New Roman"/>
          <w:b/>
          <w:bCs/>
        </w:rPr>
        <w:t>I. Eigentumserwerb vom Berechtigten gem. § 929</w:t>
      </w:r>
      <w:r w:rsidR="00F94C84" w:rsidRPr="00A9081E">
        <w:rPr>
          <w:rFonts w:ascii="Times New Roman" w:hAnsi="Times New Roman" w:cs="Times New Roman"/>
          <w:b/>
          <w:bCs/>
        </w:rPr>
        <w:t xml:space="preserve"> S. 1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1. Einigung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Dingliche Einigung, dass das Eigentum an der Sache übergehen soll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Zwei übereinstimmende Willenserklärungen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 Übergabe/Übergabesurrogat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a) Übergabe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Besitzverschaffung des Erwerbers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Vollständige Besitzaufgabe des Veräußerers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Auf Veranlassung des Veräußerers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b) Übereignung kurzer Hand gem. § 929 S. 2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Der Erwerber ist bereits im Besitz der Sache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c) Besitzkonstitut gem. § 930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Vereinbarung eines Besitzmittlungsverhältnisses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Verschaffung mittelbaren Besitzes ausreichend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Veräußerer besitzt weiterhin, aber für Erwerber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Wichtigster Fall: Sicherungsübereignung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d) Abtretung des Herausgabeanspruchs gem. § 931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Veräußerer ist nur mittelbarer Besitzer</w:t>
      </w:r>
    </w:p>
    <w:p w:rsidR="00F94C84" w:rsidRDefault="00F94C84" w:rsidP="00F94C84">
      <w:pPr>
        <w:spacing w:line="360" w:lineRule="auto"/>
        <w:ind w:left="21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Tritt Herausgabeanspruch aus Besitzmittlungsverhältnis an Erwerber ab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 Einigsein im Zeitpunkt der Übergabe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Bis zur Übergabe ist Einigung widerruflich, Umkehrschluss zu </w:t>
      </w:r>
      <w:r w:rsidR="00A9081E">
        <w:rPr>
          <w:rFonts w:ascii="Times New Roman" w:hAnsi="Times New Roman" w:cs="Times New Roman"/>
        </w:rPr>
        <w:t>§ 873 Abs. 2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4. Berechtigung des Veräußerers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</w:p>
    <w:p w:rsidR="00F94C84" w:rsidRPr="00A9081E" w:rsidRDefault="00F94C84" w:rsidP="00072E83">
      <w:pPr>
        <w:spacing w:line="360" w:lineRule="auto"/>
        <w:rPr>
          <w:rFonts w:ascii="Times New Roman" w:hAnsi="Times New Roman" w:cs="Times New Roman"/>
          <w:b/>
          <w:bCs/>
        </w:rPr>
      </w:pPr>
      <w:r w:rsidRPr="00A9081E">
        <w:rPr>
          <w:rFonts w:ascii="Times New Roman" w:hAnsi="Times New Roman" w:cs="Times New Roman"/>
          <w:b/>
          <w:bCs/>
        </w:rPr>
        <w:t>II. Eigentumserwerb vom Nichtberechtigten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1. Einigung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2. Übergabe/Übergabesurrogat</w:t>
      </w:r>
    </w:p>
    <w:p w:rsidR="00A9081E" w:rsidRDefault="00A9081E" w:rsidP="00A9081E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Übergabesurrogate beim Gutgläubigen Erwerb nur unter engeren Voraussetzungen:</w:t>
      </w:r>
    </w:p>
    <w:p w:rsidR="00A9081E" w:rsidRDefault="00A9081E" w:rsidP="00A9081E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Erwerb kurzer Hand, §§ 929 S. 2, 932 Abs. 1 S. 2: Besitz muss vom Veräußerer erlangt worden sein</w:t>
      </w:r>
    </w:p>
    <w:p w:rsidR="00A9081E" w:rsidRDefault="00A9081E" w:rsidP="00A9081E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Besitzkonstitut, §§ 930, 933: Sache muss vom Eigentümer übergeben werden und in diesem Zeitpunkt muss Erwerber noch gutgläubig sein</w:t>
      </w:r>
    </w:p>
    <w:p w:rsidR="00A9081E" w:rsidRDefault="00A9081E" w:rsidP="00A9081E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Abtretung des Herausgabeanspruchs, §§ 931, 934: Erwerb mit Abtretung des Anspruchs oder Erlangung des Besitzes der Sache vom Dritten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 Einigsein im Zeitpunkt der Übergabe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4. Guter Glaube des Erwerbers</w:t>
      </w:r>
      <w:r w:rsidR="00A9081E">
        <w:rPr>
          <w:rFonts w:ascii="Times New Roman" w:hAnsi="Times New Roman" w:cs="Times New Roman"/>
        </w:rPr>
        <w:t xml:space="preserve">, </w:t>
      </w:r>
      <w:r w:rsidR="00A9081E">
        <w:rPr>
          <w:rFonts w:ascii="Times New Roman" w:hAnsi="Times New Roman" w:cs="Times New Roman"/>
        </w:rPr>
        <w:t>§ 932 Abs. 2</w:t>
      </w:r>
    </w:p>
    <w:p w:rsidR="00A9081E" w:rsidRDefault="00A9081E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Kenntnis oder grob fahrlässige Unkenntnis von fehlender Berechtigung</w:t>
      </w:r>
    </w:p>
    <w:p w:rsidR="00F94C84" w:rsidRDefault="00F94C84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5. Kein Abhandenkommen</w:t>
      </w:r>
      <w:r w:rsidR="00A9081E">
        <w:rPr>
          <w:rFonts w:ascii="Times New Roman" w:hAnsi="Times New Roman" w:cs="Times New Roman"/>
        </w:rPr>
        <w:t>, § 935 Abs. 1</w:t>
      </w:r>
    </w:p>
    <w:p w:rsidR="00A9081E" w:rsidRDefault="00A9081E" w:rsidP="00072E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Die Sache darf dem Eigentümer nicht abhandengekommen sein</w:t>
      </w:r>
    </w:p>
    <w:p w:rsidR="00A9081E" w:rsidRDefault="00A9081E" w:rsidP="00A9081E">
      <w:pPr>
        <w:spacing w:line="360" w:lineRule="auto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Abhandenkommen: Wenn der Eigentümer </w:t>
      </w:r>
      <w:r w:rsidR="00752CE6">
        <w:rPr>
          <w:rFonts w:ascii="Times New Roman" w:hAnsi="Times New Roman" w:cs="Times New Roman"/>
        </w:rPr>
        <w:t>den unmittelbaren Besitz</w:t>
      </w:r>
      <w:r>
        <w:rPr>
          <w:rFonts w:ascii="Times New Roman" w:hAnsi="Times New Roman" w:cs="Times New Roman"/>
        </w:rPr>
        <w:t xml:space="preserve"> gegen oder ohne seinen Willen verliert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  <w:r w:rsidRPr="009D738E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A8A6175" wp14:editId="19C993E2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158137016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752CE6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752CE6">
        <w:rPr>
          <w:rFonts w:ascii="Times New Roman" w:hAnsi="Times New Roman" w:cs="Times New Roman"/>
          <w:b/>
          <w:bCs/>
        </w:rPr>
        <w:lastRenderedPageBreak/>
        <w:t>Der gesetzliche Eigentumserwerb</w:t>
      </w:r>
    </w:p>
    <w:p w:rsidR="00752CE6" w:rsidRDefault="002C3BEC" w:rsidP="00752C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I. Fund, § 973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Eigentumserwerb </w:t>
      </w:r>
      <w:proofErr w:type="spellStart"/>
      <w:r>
        <w:rPr>
          <w:rFonts w:ascii="Times New Roman" w:hAnsi="Times New Roman" w:cs="Times New Roman"/>
        </w:rPr>
        <w:t>grds</w:t>
      </w:r>
      <w:proofErr w:type="spellEnd"/>
      <w:r>
        <w:rPr>
          <w:rFonts w:ascii="Times New Roman" w:hAnsi="Times New Roman" w:cs="Times New Roman"/>
        </w:rPr>
        <w:t>. 6 Monate nach Anzeige des Fundes bei der zuständigen Behörde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Nicht, wenn Empfangsberechtigter binnen 6 Monaten bekannt wird</w:t>
      </w:r>
    </w:p>
    <w:p w:rsidR="002C3BEC" w:rsidRPr="002C3BEC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Bei Sachen bis 10€ ist Anzeige nicht erforderlich, aber Bösgläubigkeit schadet (Abs. 2)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II. Ersitzung, </w:t>
      </w:r>
      <w:r w:rsidR="0012194F">
        <w:rPr>
          <w:rFonts w:ascii="Times New Roman" w:hAnsi="Times New Roman" w:cs="Times New Roman"/>
          <w:b/>
          <w:bCs/>
        </w:rPr>
        <w:t>§ 937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Bewegliche Sachen können dadurch erworben werden, dass die über eine bestimmte Zeit im Eigenbesitz gehalten werden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Die Zeitspanne beträgt </w:t>
      </w:r>
      <w:proofErr w:type="spellStart"/>
      <w:r>
        <w:rPr>
          <w:rFonts w:ascii="Times New Roman" w:hAnsi="Times New Roman" w:cs="Times New Roman"/>
        </w:rPr>
        <w:t>grds</w:t>
      </w:r>
      <w:proofErr w:type="spellEnd"/>
      <w:r>
        <w:rPr>
          <w:rFonts w:ascii="Times New Roman" w:hAnsi="Times New Roman" w:cs="Times New Roman"/>
        </w:rPr>
        <w:t>. 10 Jahre</w:t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Hemmung und Unterbrechungen der Zeitspanne regeln die §§ 938 ff.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III. Erwerb von Erzeugnissen</w:t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Den Erwerb von Erzeugnissen und getrennten Bestandteilen einer Sache regeln die §§ 953 ff.</w:t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Grds</w:t>
      </w:r>
      <w:proofErr w:type="spellEnd"/>
      <w:r>
        <w:rPr>
          <w:rFonts w:ascii="Times New Roman" w:hAnsi="Times New Roman" w:cs="Times New Roman"/>
        </w:rPr>
        <w:t>. erwirbt der Eigentümer der Muttersache das Eigentum</w:t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Ausnahmen regeln die §§ 954 ff.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IV. Verbindung, Verarbeitung, Vermischung</w:t>
      </w:r>
      <w:r w:rsidR="0012194F">
        <w:rPr>
          <w:rFonts w:ascii="Times New Roman" w:hAnsi="Times New Roman" w:cs="Times New Roman"/>
          <w:b/>
          <w:bCs/>
        </w:rPr>
        <w:t>, §§ 946 ff.</w:t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Bei wirtschaftlicher Verwertung einer Sache können sich auch die Eigentumsverhältnisse an der Sache ändern</w:t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Bei Verbindung mit Grundstück, ist Eigentum am Grundstück maßgeblich</w:t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Bei Verbindung und Vermischung beweglicher Sachen kommt es nach §§ 947 ff. oftmals auf die Verkehrsanschauung an:</w:t>
      </w:r>
    </w:p>
    <w:p w:rsidR="0012194F" w:rsidRDefault="0012194F" w:rsidP="0012194F">
      <w:pPr>
        <w:spacing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Je nachdem, ob eine Sache als Hauptsache anzusehen ist oder nicht, kann Miteigentum entstehen oder ein Eigentümer erwirbt Alleineigentum</w:t>
      </w:r>
    </w:p>
    <w:p w:rsidR="0012194F" w:rsidRDefault="0012194F" w:rsidP="0012194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Bei der Verarbeitung von Stoffen kommt es auf den Wert der Stoffe an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V. Aneignung herrenloser Sachen</w:t>
      </w:r>
      <w:r w:rsidR="0012194F">
        <w:rPr>
          <w:rFonts w:ascii="Times New Roman" w:hAnsi="Times New Roman" w:cs="Times New Roman"/>
          <w:b/>
          <w:bCs/>
        </w:rPr>
        <w:t>, § 958</w:t>
      </w:r>
    </w:p>
    <w:p w:rsidR="002C3BEC" w:rsidRDefault="0012194F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Eigentumserwerb von herrenlosen beweglichen Sachen durch Begründung von Eigenbesitz</w:t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§§ 959 ff. regeln die Eigentumsaufgabe in verschiedenen Sonderfällen (Dereliktion)</w:t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  <w:r w:rsidRPr="009D738E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A8A6175" wp14:editId="19C993E2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198235537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194F" w:rsidRDefault="0012194F" w:rsidP="00752CE6">
      <w:pPr>
        <w:spacing w:line="360" w:lineRule="auto"/>
        <w:rPr>
          <w:rFonts w:ascii="Times New Roman" w:hAnsi="Times New Roman" w:cs="Times New Roman"/>
        </w:rPr>
      </w:pPr>
    </w:p>
    <w:p w:rsidR="0012194F" w:rsidRDefault="0012194F" w:rsidP="00752CE6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752CE6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Eigentumsschutz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Dem Eigentümer stehen zum Schutz seines Eigentums verschiedene Ansprüche zur Verfügung</w:t>
      </w:r>
    </w:p>
    <w:p w:rsidR="00752CE6" w:rsidRPr="002C3BEC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2C3BEC">
        <w:rPr>
          <w:rFonts w:ascii="Times New Roman" w:hAnsi="Times New Roman" w:cs="Times New Roman"/>
          <w:b/>
          <w:bCs/>
        </w:rPr>
        <w:t>I. Sachenrechtliche Ansprüche</w:t>
      </w:r>
    </w:p>
    <w:p w:rsidR="00752CE6" w:rsidRPr="002C3BEC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2C3BEC">
        <w:rPr>
          <w:rFonts w:ascii="Times New Roman" w:hAnsi="Times New Roman" w:cs="Times New Roman"/>
          <w:b/>
          <w:bCs/>
        </w:rPr>
        <w:t>1. Herausgabeanspruch, § 985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Anspruchsteller ist Eigentümer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Anspruchsgegner ist Besitzer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c) Anspruchsgegner hat kein Recht zum Besitz </w:t>
      </w:r>
      <w:proofErr w:type="spellStart"/>
      <w:r>
        <w:rPr>
          <w:rFonts w:ascii="Times New Roman" w:hAnsi="Times New Roman" w:cs="Times New Roman"/>
        </w:rPr>
        <w:t>ggü</w:t>
      </w:r>
      <w:proofErr w:type="spellEnd"/>
      <w:r>
        <w:rPr>
          <w:rFonts w:ascii="Times New Roman" w:hAnsi="Times New Roman" w:cs="Times New Roman"/>
        </w:rPr>
        <w:t>. dem Eigentümer (§ 986)</w:t>
      </w:r>
    </w:p>
    <w:p w:rsidR="00752CE6" w:rsidRDefault="00752CE6" w:rsidP="00752CE6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Beachte die </w:t>
      </w:r>
      <w:r w:rsidRPr="00752CE6">
        <w:rPr>
          <w:rFonts w:ascii="Times New Roman" w:hAnsi="Times New Roman" w:cs="Times New Roman"/>
          <w:u w:val="single"/>
        </w:rPr>
        <w:t>Relativität der Schuldverhältnisse</w:t>
      </w:r>
      <w:r>
        <w:rPr>
          <w:rFonts w:ascii="Times New Roman" w:hAnsi="Times New Roman" w:cs="Times New Roman"/>
        </w:rPr>
        <w:t xml:space="preserve">! Das </w:t>
      </w:r>
      <w:proofErr w:type="spellStart"/>
      <w:r>
        <w:rPr>
          <w:rFonts w:ascii="Times New Roman" w:hAnsi="Times New Roman" w:cs="Times New Roman"/>
        </w:rPr>
        <w:t>RzB</w:t>
      </w:r>
      <w:proofErr w:type="spellEnd"/>
      <w:r>
        <w:rPr>
          <w:rFonts w:ascii="Times New Roman" w:hAnsi="Times New Roman" w:cs="Times New Roman"/>
        </w:rPr>
        <w:t xml:space="preserve"> muss gerade im Verhältnis zwischen Besitzer und Eigentümer bestehen</w:t>
      </w:r>
    </w:p>
    <w:p w:rsidR="00752CE6" w:rsidRPr="002C3BEC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2C3BEC">
        <w:rPr>
          <w:rFonts w:ascii="Times New Roman" w:hAnsi="Times New Roman" w:cs="Times New Roman"/>
          <w:b/>
          <w:bCs/>
        </w:rPr>
        <w:t>2. Ansprüche aus dem Eigentümer-Besitzer-Verhältnis, §§ 98</w:t>
      </w:r>
      <w:r w:rsidR="002C3BEC" w:rsidRPr="002C3BEC">
        <w:rPr>
          <w:rFonts w:ascii="Times New Roman" w:hAnsi="Times New Roman" w:cs="Times New Roman"/>
          <w:b/>
          <w:bCs/>
        </w:rPr>
        <w:t>7</w:t>
      </w:r>
      <w:r w:rsidRPr="002C3BEC">
        <w:rPr>
          <w:rFonts w:ascii="Times New Roman" w:hAnsi="Times New Roman" w:cs="Times New Roman"/>
          <w:b/>
          <w:bCs/>
        </w:rPr>
        <w:t> ff.</w:t>
      </w:r>
    </w:p>
    <w:p w:rsidR="00752CE6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Neben dem Herausgabeanspruch können dem Eigentümer aus den §§ 987 ff. weitere Ansprüche gegen den nicht berechtigten Besitzer zustehen (Schadensersatz, Nutzungsersatz)</w:t>
      </w:r>
    </w:p>
    <w:p w:rsidR="00752CE6" w:rsidRPr="002C3BEC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2C3BEC">
        <w:rPr>
          <w:rFonts w:ascii="Times New Roman" w:hAnsi="Times New Roman" w:cs="Times New Roman"/>
          <w:b/>
          <w:bCs/>
        </w:rPr>
        <w:t>3. Unterlassungsanspruch, § 1004</w:t>
      </w:r>
    </w:p>
    <w:p w:rsidR="00752CE6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Anspruchsberechtigung: Eigentümer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Anspruchsgegner: Störer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c) Störung des Eigentums (vgl. § 903)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d) Keine Duldungspflicht, § 906</w:t>
      </w:r>
    </w:p>
    <w:p w:rsidR="002C3BEC" w:rsidRDefault="002C3BEC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e) Rechtsfolge: Beseitigungs- bzw. Unterlassungsanspruch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</w:p>
    <w:p w:rsidR="00752CE6" w:rsidRPr="00752CE6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752CE6">
        <w:rPr>
          <w:rFonts w:ascii="Times New Roman" w:hAnsi="Times New Roman" w:cs="Times New Roman"/>
          <w:b/>
          <w:bCs/>
        </w:rPr>
        <w:t>II. Deliktische Ansprüche</w:t>
      </w:r>
    </w:p>
    <w:p w:rsidR="00752CE6" w:rsidRPr="002C3BEC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2C3BEC">
        <w:rPr>
          <w:rFonts w:ascii="Times New Roman" w:hAnsi="Times New Roman" w:cs="Times New Roman"/>
          <w:b/>
          <w:bCs/>
        </w:rPr>
        <w:t>1. Anspruch aus § 823 Abs. 1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Das Eigentum ist ein von § 823 Abs. 1 geschütztes Recht</w:t>
      </w:r>
    </w:p>
    <w:p w:rsidR="00752CE6" w:rsidRPr="002C3BEC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2C3BEC">
        <w:rPr>
          <w:rFonts w:ascii="Times New Roman" w:hAnsi="Times New Roman" w:cs="Times New Roman"/>
          <w:b/>
          <w:bCs/>
        </w:rPr>
        <w:t xml:space="preserve">2. Anspruch aus § 823 Abs. 2 </w:t>
      </w:r>
      <w:proofErr w:type="spellStart"/>
      <w:r w:rsidRPr="002C3BEC">
        <w:rPr>
          <w:rFonts w:ascii="Times New Roman" w:hAnsi="Times New Roman" w:cs="Times New Roman"/>
          <w:b/>
          <w:bCs/>
        </w:rPr>
        <w:t>i.V.m</w:t>
      </w:r>
      <w:proofErr w:type="spellEnd"/>
      <w:r w:rsidRPr="002C3BEC">
        <w:rPr>
          <w:rFonts w:ascii="Times New Roman" w:hAnsi="Times New Roman" w:cs="Times New Roman"/>
          <w:b/>
          <w:bCs/>
        </w:rPr>
        <w:t>. Schutzgesetz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Verschiedene Gesetze dienen speziell auch dem Schutz des Eigentums des Einzelnen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insb. auch strafrechtliche Vorschriften, §§ 303 StGB (Sachbeschädigung), § 242 StGB (Diebstahl)</w:t>
      </w:r>
    </w:p>
    <w:p w:rsidR="00752CE6" w:rsidRPr="002C3BEC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2C3BEC">
        <w:rPr>
          <w:rFonts w:ascii="Times New Roman" w:hAnsi="Times New Roman" w:cs="Times New Roman"/>
          <w:b/>
          <w:bCs/>
        </w:rPr>
        <w:t>3. Anspruch aus § 826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u.U. kann eine Beeinträchtigung des Eigentums auch die Voraussetzungen der bewussten sittenwidrigen Schädigung </w:t>
      </w:r>
      <w:proofErr w:type="spellStart"/>
      <w:r>
        <w:rPr>
          <w:rFonts w:ascii="Times New Roman" w:hAnsi="Times New Roman" w:cs="Times New Roman"/>
        </w:rPr>
        <w:t>i.S.d</w:t>
      </w:r>
      <w:proofErr w:type="spellEnd"/>
      <w:r>
        <w:rPr>
          <w:rFonts w:ascii="Times New Roman" w:hAnsi="Times New Roman" w:cs="Times New Roman"/>
        </w:rPr>
        <w:t>. § 826 erfüllen</w:t>
      </w:r>
    </w:p>
    <w:p w:rsidR="00752CE6" w:rsidRDefault="00752CE6" w:rsidP="00752CE6">
      <w:pPr>
        <w:spacing w:line="360" w:lineRule="auto"/>
        <w:rPr>
          <w:rFonts w:ascii="Times New Roman" w:hAnsi="Times New Roman" w:cs="Times New Roman"/>
        </w:rPr>
      </w:pPr>
    </w:p>
    <w:p w:rsidR="00752CE6" w:rsidRPr="00752CE6" w:rsidRDefault="00752CE6" w:rsidP="00752CE6">
      <w:pPr>
        <w:spacing w:line="360" w:lineRule="auto"/>
        <w:rPr>
          <w:rFonts w:ascii="Times New Roman" w:hAnsi="Times New Roman" w:cs="Times New Roman"/>
          <w:b/>
          <w:bCs/>
        </w:rPr>
      </w:pPr>
      <w:r w:rsidRPr="00752CE6">
        <w:rPr>
          <w:rFonts w:ascii="Times New Roman" w:hAnsi="Times New Roman" w:cs="Times New Roman"/>
          <w:b/>
          <w:bCs/>
        </w:rPr>
        <w:t>III. Bereicherungsrechtliche Ansprüche</w:t>
      </w:r>
    </w:p>
    <w:p w:rsidR="004272DB" w:rsidRPr="002C3BEC" w:rsidRDefault="0012194F" w:rsidP="002C3BEC">
      <w:pPr>
        <w:spacing w:line="360" w:lineRule="auto"/>
        <w:rPr>
          <w:rFonts w:ascii="Times New Roman" w:hAnsi="Times New Roman" w:cs="Times New Roman"/>
        </w:rPr>
      </w:pPr>
      <w:r w:rsidRPr="009D738E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2A8A6175" wp14:editId="19C993E2">
            <wp:simplePos x="0" y="0"/>
            <wp:positionH relativeFrom="margin">
              <wp:posOffset>1908810</wp:posOffset>
            </wp:positionH>
            <wp:positionV relativeFrom="margin">
              <wp:posOffset>8956040</wp:posOffset>
            </wp:positionV>
            <wp:extent cx="1940560" cy="344805"/>
            <wp:effectExtent l="0" t="0" r="2540" b="0"/>
            <wp:wrapSquare wrapText="bothSides"/>
            <wp:docPr id="73635850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CE6">
        <w:rPr>
          <w:rFonts w:ascii="Times New Roman" w:hAnsi="Times New Roman" w:cs="Times New Roman"/>
        </w:rPr>
        <w:t>→</w:t>
      </w:r>
      <w:r w:rsidR="00752CE6">
        <w:rPr>
          <w:rFonts w:ascii="Times New Roman" w:hAnsi="Times New Roman" w:cs="Times New Roman"/>
        </w:rPr>
        <w:t xml:space="preserve"> Schließlich stellt das Eigentum auch eine vermögenswerte Position dar, die im Wege eines Bereicherungsanspruchs herausverlangt werden kann</w:t>
      </w:r>
    </w:p>
    <w:sectPr w:rsidR="004272DB" w:rsidRPr="002C3BE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07A0" w:rsidRDefault="001607A0" w:rsidP="00072E83">
      <w:r>
        <w:separator/>
      </w:r>
    </w:p>
  </w:endnote>
  <w:endnote w:type="continuationSeparator" w:id="0">
    <w:p w:rsidR="001607A0" w:rsidRDefault="001607A0" w:rsidP="00072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07A0" w:rsidRDefault="001607A0" w:rsidP="00072E83">
      <w:r>
        <w:separator/>
      </w:r>
    </w:p>
  </w:footnote>
  <w:footnote w:type="continuationSeparator" w:id="0">
    <w:p w:rsidR="001607A0" w:rsidRDefault="001607A0" w:rsidP="00072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2E83" w:rsidRPr="00103089" w:rsidRDefault="00072E83" w:rsidP="00072E83">
    <w:pPr>
      <w:pStyle w:val="Kopfzeile"/>
      <w:tabs>
        <w:tab w:val="clear" w:pos="4536"/>
        <w:tab w:val="left" w:pos="429"/>
      </w:tabs>
      <w:rPr>
        <w:rFonts w:ascii="Times New Roman" w:hAnsi="Times New Roman" w:cs="Times New Roman"/>
        <w:lang w:val="en-US"/>
      </w:rPr>
    </w:pPr>
    <w:r w:rsidRPr="00103089">
      <w:rPr>
        <w:rFonts w:ascii="Times New Roman" w:hAnsi="Times New Roman" w:cs="Times New Roman"/>
      </w:rPr>
      <w:t xml:space="preserve">Übung im Zivilrecht für </w:t>
    </w:r>
    <w:r w:rsidRPr="00103089">
      <w:rPr>
        <w:rFonts w:ascii="Times New Roman" w:hAnsi="Times New Roman" w:cs="Times New Roman"/>
      </w:rPr>
      <w:tab/>
      <w:t xml:space="preserve">Dipl.-Jur. </w:t>
    </w:r>
    <w:proofErr w:type="spellStart"/>
    <w:r w:rsidRPr="00103089">
      <w:rPr>
        <w:rFonts w:ascii="Times New Roman" w:hAnsi="Times New Roman" w:cs="Times New Roman"/>
        <w:lang w:val="en-US"/>
      </w:rPr>
      <w:t>Jona</w:t>
    </w:r>
    <w:proofErr w:type="spellEnd"/>
    <w:r w:rsidRPr="00103089">
      <w:rPr>
        <w:rFonts w:ascii="Times New Roman" w:hAnsi="Times New Roman" w:cs="Times New Roman"/>
        <w:lang w:val="en-US"/>
      </w:rPr>
      <w:t xml:space="preserve"> </w:t>
    </w:r>
    <w:proofErr w:type="spellStart"/>
    <w:r w:rsidRPr="00103089">
      <w:rPr>
        <w:rFonts w:ascii="Times New Roman" w:hAnsi="Times New Roman" w:cs="Times New Roman"/>
        <w:lang w:val="en-US"/>
      </w:rPr>
      <w:t>Buhrke</w:t>
    </w:r>
    <w:proofErr w:type="spellEnd"/>
  </w:p>
  <w:p w:rsidR="00072E83" w:rsidRPr="00072E83" w:rsidRDefault="00072E83" w:rsidP="00072E83">
    <w:pPr>
      <w:pStyle w:val="Kopfzeile"/>
      <w:tabs>
        <w:tab w:val="left" w:pos="429"/>
      </w:tabs>
      <w:rPr>
        <w:rFonts w:ascii="Times New Roman" w:hAnsi="Times New Roman" w:cs="Times New Roman"/>
        <w:lang w:val="en-US"/>
      </w:rPr>
    </w:pPr>
    <w:proofErr w:type="spellStart"/>
    <w:r w:rsidRPr="00103089">
      <w:rPr>
        <w:rFonts w:ascii="Times New Roman" w:hAnsi="Times New Roman" w:cs="Times New Roman"/>
        <w:lang w:val="en-US"/>
      </w:rPr>
      <w:t>Wirtschaftswissenschaftler</w:t>
    </w:r>
    <w:proofErr w:type="spellEnd"/>
    <w:r w:rsidRPr="00103089">
      <w:rPr>
        <w:rFonts w:ascii="Times New Roman" w:hAnsi="Times New Roman" w:cs="Times New Roman"/>
        <w:lang w:val="en-US"/>
      </w:rPr>
      <w:tab/>
    </w:r>
    <w:r w:rsidRPr="00103089">
      <w:rPr>
        <w:rFonts w:ascii="Times New Roman" w:hAnsi="Times New Roman" w:cs="Times New Roman"/>
        <w:lang w:val="en-US"/>
      </w:rPr>
      <w:tab/>
      <w:t>Jona.buhrke@jura.uni-goettingen.de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DB"/>
    <w:rsid w:val="00072E83"/>
    <w:rsid w:val="0012194F"/>
    <w:rsid w:val="001607A0"/>
    <w:rsid w:val="002C3BEC"/>
    <w:rsid w:val="004272DB"/>
    <w:rsid w:val="00752CE6"/>
    <w:rsid w:val="00A9081E"/>
    <w:rsid w:val="00DC45EF"/>
    <w:rsid w:val="00F9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D143C9"/>
  <w15:chartTrackingRefBased/>
  <w15:docId w15:val="{6ED7C14A-12B6-864B-8AB5-EA2708F8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72E8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72E83"/>
  </w:style>
  <w:style w:type="paragraph" w:styleId="Fuzeile">
    <w:name w:val="footer"/>
    <w:basedOn w:val="Standard"/>
    <w:link w:val="FuzeileZchn"/>
    <w:uiPriority w:val="99"/>
    <w:unhideWhenUsed/>
    <w:rsid w:val="00072E8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72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797</Words>
  <Characters>4969</Characters>
  <Application>Microsoft Office Word</Application>
  <DocSecurity>0</DocSecurity>
  <Lines>78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jonabuhrke@gmail.com</dc:creator>
  <cp:keywords/>
  <dc:description/>
  <cp:lastModifiedBy>jonabuhrke@gmail.com</cp:lastModifiedBy>
  <cp:revision>2</cp:revision>
  <dcterms:created xsi:type="dcterms:W3CDTF">2025-11-07T18:01:00Z</dcterms:created>
  <dcterms:modified xsi:type="dcterms:W3CDTF">2025-12-01T15:31:00Z</dcterms:modified>
</cp:coreProperties>
</file>