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45EF" w:rsidRPr="0053489E" w:rsidRDefault="00952E97" w:rsidP="0053489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3489E">
        <w:rPr>
          <w:rFonts w:ascii="Times New Roman" w:hAnsi="Times New Roman" w:cs="Times New Roman"/>
          <w:b/>
          <w:bCs/>
        </w:rPr>
        <w:t>Übersicht: Voraussetzungen der Stellvertretung</w:t>
      </w:r>
    </w:p>
    <w:p w:rsidR="0053489E" w:rsidRPr="0053489E" w:rsidRDefault="0053489E" w:rsidP="0053489E">
      <w:pPr>
        <w:spacing w:line="360" w:lineRule="auto"/>
        <w:rPr>
          <w:rFonts w:ascii="Times New Roman" w:hAnsi="Times New Roman" w:cs="Times New Roman"/>
          <w:b/>
          <w:bCs/>
        </w:rPr>
      </w:pPr>
      <w:r w:rsidRPr="0053489E">
        <w:rPr>
          <w:rFonts w:ascii="Times New Roman" w:hAnsi="Times New Roman" w:cs="Times New Roman"/>
          <w:b/>
          <w:bCs/>
        </w:rPr>
        <w:t>I. Eigene Willenserklärung des Vertreters, § 164 I</w:t>
      </w:r>
    </w:p>
    <w:p w:rsidR="0053489E" w:rsidRDefault="0053489E" w:rsidP="0053489E">
      <w:pPr>
        <w:spacing w:line="360" w:lineRule="auto"/>
        <w:ind w:left="7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Abgrenzung zur Botenschaft: Lediglich Übermittlung einer fremden Willenserklärung</w:t>
      </w:r>
    </w:p>
    <w:p w:rsidR="0053489E" w:rsidRDefault="0053489E" w:rsidP="0053489E">
      <w:pPr>
        <w:spacing w:line="360" w:lineRule="auto"/>
        <w:ind w:left="7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Entscheidend: Eigenständiger Entscheidungsspielraum des Vertreters?</w:t>
      </w:r>
    </w:p>
    <w:p w:rsidR="0053489E" w:rsidRPr="0053489E" w:rsidRDefault="0053489E" w:rsidP="0053489E">
      <w:pPr>
        <w:spacing w:line="360" w:lineRule="auto"/>
        <w:rPr>
          <w:rFonts w:ascii="Times New Roman" w:hAnsi="Times New Roman" w:cs="Times New Roman"/>
          <w:b/>
          <w:bCs/>
        </w:rPr>
      </w:pPr>
      <w:r w:rsidRPr="0053489E">
        <w:rPr>
          <w:rFonts w:ascii="Times New Roman" w:hAnsi="Times New Roman" w:cs="Times New Roman"/>
          <w:b/>
          <w:bCs/>
        </w:rPr>
        <w:t>II. Im Namen des Vertretenen, § 164 I, II</w:t>
      </w:r>
    </w:p>
    <w:p w:rsidR="0053489E" w:rsidRDefault="0053489E" w:rsidP="0053489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Offenkundigkeitsprinzip, § 164 II</w:t>
      </w:r>
    </w:p>
    <w:p w:rsidR="0053489E" w:rsidRDefault="0053489E" w:rsidP="0053489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Ausnahmen vom Offenkundigkeitsprinzip:</w:t>
      </w:r>
    </w:p>
    <w:p w:rsidR="0053489E" w:rsidRDefault="0053489E" w:rsidP="0053489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Bargeschäft des täglichen Lebens („Geschäft für den, den es angeht“)</w:t>
      </w:r>
    </w:p>
    <w:p w:rsidR="0053489E" w:rsidRDefault="0053489E" w:rsidP="0053489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Unternehmensbezogene Geschäfte</w:t>
      </w:r>
    </w:p>
    <w:p w:rsidR="0053489E" w:rsidRDefault="0053489E" w:rsidP="0053489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Handeln unter fremdem Namen</w:t>
      </w:r>
    </w:p>
    <w:p w:rsidR="0053489E" w:rsidRDefault="0053489E" w:rsidP="0053489E">
      <w:pPr>
        <w:spacing w:line="360" w:lineRule="auto"/>
        <w:ind w:left="2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Namenstäuschung: Das Rechtsgeschäft kommt mit dem Handelnden selbst zustande</w:t>
      </w:r>
    </w:p>
    <w:p w:rsidR="0053489E" w:rsidRDefault="0053489E" w:rsidP="0053489E">
      <w:pPr>
        <w:spacing w:line="360" w:lineRule="auto"/>
        <w:ind w:left="2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Identitätstäuschung: Das Rechtsgeschäft kommt analog §§ 164 ff. mit dem Namensinhaber zustande</w:t>
      </w:r>
    </w:p>
    <w:p w:rsidR="0053489E" w:rsidRPr="0053489E" w:rsidRDefault="0053489E" w:rsidP="0053489E">
      <w:pPr>
        <w:spacing w:line="360" w:lineRule="auto"/>
        <w:rPr>
          <w:rFonts w:ascii="Times New Roman" w:hAnsi="Times New Roman" w:cs="Times New Roman"/>
          <w:b/>
          <w:bCs/>
        </w:rPr>
      </w:pPr>
      <w:r w:rsidRPr="0053489E">
        <w:rPr>
          <w:rFonts w:ascii="Times New Roman" w:hAnsi="Times New Roman" w:cs="Times New Roman"/>
          <w:b/>
          <w:bCs/>
        </w:rPr>
        <w:t>III. Mit Vertretungsmacht, § 164 I</w:t>
      </w:r>
    </w:p>
    <w:p w:rsidR="0053489E" w:rsidRDefault="0053489E" w:rsidP="0053489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Rechtsgeschäftliche Vertretungsmacht = Vollmacht</w:t>
      </w:r>
    </w:p>
    <w:p w:rsidR="0053489E" w:rsidRDefault="0053489E" w:rsidP="0053489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Gesetzliche Vertretungsmacht</w:t>
      </w:r>
    </w:p>
    <w:p w:rsidR="00FE30AE" w:rsidRDefault="00FE30AE" w:rsidP="0053489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Beachte: Auch Rechtsscheinvollmachten: Anscheins- und Duldungsvollmacht!</w:t>
      </w:r>
    </w:p>
    <w:p w:rsidR="0053489E" w:rsidRPr="0053489E" w:rsidRDefault="0053489E" w:rsidP="0053489E">
      <w:pPr>
        <w:spacing w:line="360" w:lineRule="auto"/>
        <w:rPr>
          <w:rFonts w:ascii="Times New Roman" w:hAnsi="Times New Roman" w:cs="Times New Roman"/>
          <w:b/>
          <w:bCs/>
        </w:rPr>
      </w:pPr>
      <w:r w:rsidRPr="0053489E">
        <w:rPr>
          <w:rFonts w:ascii="Times New Roman" w:hAnsi="Times New Roman" w:cs="Times New Roman"/>
          <w:b/>
          <w:bCs/>
        </w:rPr>
        <w:t>IV. Kein Ausschluss der Stellvertretung</w:t>
      </w:r>
    </w:p>
    <w:p w:rsidR="0053489E" w:rsidRDefault="0053489E" w:rsidP="0053489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Das konkrete Rechtsgeschäft muss die Stellvertretung zulassen</w:t>
      </w:r>
    </w:p>
    <w:p w:rsidR="0053489E" w:rsidRDefault="0053489E" w:rsidP="0053489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Nicht zulässig bei höchstpersönlichen Rechtsgeschäften (z.B. Eheschließung)</w:t>
      </w:r>
    </w:p>
    <w:p w:rsidR="0053489E" w:rsidRPr="0053489E" w:rsidRDefault="0053489E" w:rsidP="0053489E">
      <w:pPr>
        <w:spacing w:line="360" w:lineRule="auto"/>
        <w:rPr>
          <w:rFonts w:ascii="Times New Roman" w:hAnsi="Times New Roman" w:cs="Times New Roman"/>
          <w:b/>
          <w:bCs/>
        </w:rPr>
      </w:pPr>
      <w:r w:rsidRPr="0053489E">
        <w:rPr>
          <w:rFonts w:ascii="Times New Roman" w:hAnsi="Times New Roman" w:cs="Times New Roman"/>
          <w:b/>
          <w:bCs/>
        </w:rPr>
        <w:t>V. Rechtsfolge</w:t>
      </w:r>
      <w:r>
        <w:rPr>
          <w:rFonts w:ascii="Times New Roman" w:hAnsi="Times New Roman" w:cs="Times New Roman"/>
          <w:b/>
          <w:bCs/>
        </w:rPr>
        <w:t>n</w:t>
      </w:r>
    </w:p>
    <w:p w:rsidR="0053489E" w:rsidRDefault="0053489E" w:rsidP="0053489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Die Willenserklärung des Vertreters wirkt für und gegen den Vertretenen, § 164 I</w:t>
      </w:r>
    </w:p>
    <w:p w:rsidR="0053489E" w:rsidRDefault="0053489E" w:rsidP="0053489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Empfangsvertretung § 164 III</w:t>
      </w:r>
    </w:p>
    <w:p w:rsidR="0053489E" w:rsidRDefault="0053489E" w:rsidP="0053489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Willensmängel des Vertreters maßgeblich, § 166 I</w:t>
      </w:r>
    </w:p>
    <w:p w:rsidR="0053489E" w:rsidRDefault="0053489E" w:rsidP="0053489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Haftung: Vertreter ohne Vertretungsmacht haftet nach §§ 177 ff.</w:t>
      </w:r>
    </w:p>
    <w:p w:rsidR="0053489E" w:rsidRDefault="0053489E" w:rsidP="0053489E">
      <w:pPr>
        <w:spacing w:line="360" w:lineRule="auto"/>
        <w:ind w:left="1416" w:firstLine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bei Kenntnis von der fehlenden Vertretungsmacht auf das Erfüllungsinteresse (Wahlmöglichkeit des anderen Teils)</w:t>
      </w:r>
    </w:p>
    <w:p w:rsidR="0053489E" w:rsidRDefault="0053489E" w:rsidP="0053489E">
      <w:pPr>
        <w:spacing w:line="360" w:lineRule="auto"/>
        <w:ind w:left="14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bei Unkenntnis von der fehlenden Vertretungsmacht nur auf das negative Interesse</w:t>
      </w:r>
    </w:p>
    <w:p w:rsidR="0053489E" w:rsidRDefault="0053489E" w:rsidP="0053489E">
      <w:pPr>
        <w:spacing w:line="360" w:lineRule="auto"/>
        <w:rPr>
          <w:rFonts w:ascii="Times New Roman" w:hAnsi="Times New Roman" w:cs="Times New Roman"/>
        </w:rPr>
      </w:pPr>
    </w:p>
    <w:p w:rsidR="0053489E" w:rsidRPr="0053489E" w:rsidRDefault="00FE30AE" w:rsidP="0053489E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355D2D9" wp14:editId="6E86ADEA">
            <wp:simplePos x="0" y="0"/>
            <wp:positionH relativeFrom="margin">
              <wp:posOffset>1908810</wp:posOffset>
            </wp:positionH>
            <wp:positionV relativeFrom="margin">
              <wp:posOffset>9019102</wp:posOffset>
            </wp:positionV>
            <wp:extent cx="1940560" cy="344805"/>
            <wp:effectExtent l="0" t="0" r="2540" b="0"/>
            <wp:wrapSquare wrapText="bothSides"/>
            <wp:docPr id="144039544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560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489E">
        <w:rPr>
          <w:rFonts w:ascii="Times New Roman" w:hAnsi="Times New Roman" w:cs="Times New Roman"/>
        </w:rPr>
        <w:t>Sonderfall: Anfechtung der ausgeübten Innenvollmacht – siehe Übersicht Anfechtung</w:t>
      </w:r>
    </w:p>
    <w:sectPr w:rsidR="0053489E" w:rsidRPr="0053489E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3796A" w:rsidRDefault="0093796A" w:rsidP="0053489E">
      <w:r>
        <w:separator/>
      </w:r>
    </w:p>
  </w:endnote>
  <w:endnote w:type="continuationSeparator" w:id="0">
    <w:p w:rsidR="0093796A" w:rsidRDefault="0093796A" w:rsidP="00534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3796A" w:rsidRDefault="0093796A" w:rsidP="0053489E">
      <w:r>
        <w:separator/>
      </w:r>
    </w:p>
  </w:footnote>
  <w:footnote w:type="continuationSeparator" w:id="0">
    <w:p w:rsidR="0093796A" w:rsidRDefault="0093796A" w:rsidP="005348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3489E" w:rsidRPr="00103089" w:rsidRDefault="0053489E" w:rsidP="0053489E">
    <w:pPr>
      <w:pStyle w:val="Kopfzeile"/>
      <w:tabs>
        <w:tab w:val="clear" w:pos="4536"/>
        <w:tab w:val="left" w:pos="429"/>
      </w:tabs>
      <w:rPr>
        <w:rFonts w:ascii="Times New Roman" w:hAnsi="Times New Roman" w:cs="Times New Roman"/>
        <w:lang w:val="en-US"/>
      </w:rPr>
    </w:pPr>
    <w:r w:rsidRPr="00103089">
      <w:rPr>
        <w:rFonts w:ascii="Times New Roman" w:hAnsi="Times New Roman" w:cs="Times New Roman"/>
      </w:rPr>
      <w:t xml:space="preserve">Übung im Zivilrecht für </w:t>
    </w:r>
    <w:r w:rsidRPr="00103089">
      <w:rPr>
        <w:rFonts w:ascii="Times New Roman" w:hAnsi="Times New Roman" w:cs="Times New Roman"/>
      </w:rPr>
      <w:tab/>
      <w:t xml:space="preserve">Dipl.-Jur. </w:t>
    </w:r>
    <w:proofErr w:type="spellStart"/>
    <w:r w:rsidRPr="00103089">
      <w:rPr>
        <w:rFonts w:ascii="Times New Roman" w:hAnsi="Times New Roman" w:cs="Times New Roman"/>
        <w:lang w:val="en-US"/>
      </w:rPr>
      <w:t>Jona</w:t>
    </w:r>
    <w:proofErr w:type="spellEnd"/>
    <w:r w:rsidRPr="00103089">
      <w:rPr>
        <w:rFonts w:ascii="Times New Roman" w:hAnsi="Times New Roman" w:cs="Times New Roman"/>
        <w:lang w:val="en-US"/>
      </w:rPr>
      <w:t xml:space="preserve"> </w:t>
    </w:r>
    <w:proofErr w:type="spellStart"/>
    <w:r w:rsidRPr="00103089">
      <w:rPr>
        <w:rFonts w:ascii="Times New Roman" w:hAnsi="Times New Roman" w:cs="Times New Roman"/>
        <w:lang w:val="en-US"/>
      </w:rPr>
      <w:t>Buhrke</w:t>
    </w:r>
    <w:proofErr w:type="spellEnd"/>
  </w:p>
  <w:p w:rsidR="0053489E" w:rsidRPr="0053489E" w:rsidRDefault="0053489E" w:rsidP="0053489E">
    <w:pPr>
      <w:pStyle w:val="Kopfzeile"/>
      <w:tabs>
        <w:tab w:val="left" w:pos="429"/>
      </w:tabs>
      <w:rPr>
        <w:rFonts w:ascii="Times New Roman" w:hAnsi="Times New Roman" w:cs="Times New Roman"/>
        <w:lang w:val="en-US"/>
      </w:rPr>
    </w:pPr>
    <w:proofErr w:type="spellStart"/>
    <w:r w:rsidRPr="00103089">
      <w:rPr>
        <w:rFonts w:ascii="Times New Roman" w:hAnsi="Times New Roman" w:cs="Times New Roman"/>
        <w:lang w:val="en-US"/>
      </w:rPr>
      <w:t>Wirtschaftswissenschaftler</w:t>
    </w:r>
    <w:proofErr w:type="spellEnd"/>
    <w:r w:rsidRPr="00103089">
      <w:rPr>
        <w:rFonts w:ascii="Times New Roman" w:hAnsi="Times New Roman" w:cs="Times New Roman"/>
        <w:lang w:val="en-US"/>
      </w:rPr>
      <w:tab/>
    </w:r>
    <w:r w:rsidRPr="00103089">
      <w:rPr>
        <w:rFonts w:ascii="Times New Roman" w:hAnsi="Times New Roman" w:cs="Times New Roman"/>
        <w:lang w:val="en-US"/>
      </w:rPr>
      <w:tab/>
      <w:t>Jona.buhrke@jura.uni-goettingen.de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E97"/>
    <w:rsid w:val="0053489E"/>
    <w:rsid w:val="005F1933"/>
    <w:rsid w:val="0093796A"/>
    <w:rsid w:val="00952E97"/>
    <w:rsid w:val="00DC45EF"/>
    <w:rsid w:val="00FE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7FCBF7"/>
  <w15:chartTrackingRefBased/>
  <w15:docId w15:val="{0EADCF80-ACFD-7647-9485-040572E97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3489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3489E"/>
  </w:style>
  <w:style w:type="paragraph" w:styleId="Fuzeile">
    <w:name w:val="footer"/>
    <w:basedOn w:val="Standard"/>
    <w:link w:val="FuzeileZchn"/>
    <w:uiPriority w:val="99"/>
    <w:unhideWhenUsed/>
    <w:rsid w:val="0053489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348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1406</Characters>
  <Application>Microsoft Office Word</Application>
  <DocSecurity>0</DocSecurity>
  <Lines>20</Lines>
  <Paragraphs>5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jonabuhrke@gmail.com</dc:creator>
  <cp:keywords/>
  <dc:description/>
  <cp:lastModifiedBy>jonabuhrke@gmail.com</cp:lastModifiedBy>
  <cp:revision>3</cp:revision>
  <dcterms:created xsi:type="dcterms:W3CDTF">2025-11-07T17:20:00Z</dcterms:created>
  <dcterms:modified xsi:type="dcterms:W3CDTF">2025-12-08T10:15:00Z</dcterms:modified>
</cp:coreProperties>
</file>