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4FFC" w14:textId="1E682C54" w:rsidR="00F86BC9" w:rsidRPr="004E2E23" w:rsidRDefault="004E3910">
      <w:pPr>
        <w:pStyle w:val="Heading2"/>
        <w:keepNext w:val="0"/>
        <w:keepLines w:val="0"/>
        <w:spacing w:before="0" w:after="100"/>
        <w:rPr>
          <w:bCs/>
          <w:color w:val="auto"/>
          <w:sz w:val="34"/>
          <w:szCs w:val="34"/>
        </w:rPr>
      </w:pPr>
      <w:r w:rsidRPr="004E2E23">
        <w:rPr>
          <w:bCs/>
          <w:color w:val="auto"/>
          <w:sz w:val="34"/>
          <w:szCs w:val="34"/>
        </w:rPr>
        <w:t>Policy Gap &amp; Compliance Status</w:t>
      </w:r>
    </w:p>
    <w:p w14:paraId="0CC06286" w14:textId="77777777" w:rsidR="00F86BC9" w:rsidRPr="004E2E23" w:rsidRDefault="00F86BC9">
      <w:pPr>
        <w:pStyle w:val="Heading3"/>
        <w:keepNext w:val="0"/>
        <w:keepLines w:val="0"/>
        <w:spacing w:before="0" w:after="100"/>
        <w:rPr>
          <w:bCs/>
          <w:color w:val="auto"/>
          <w:sz w:val="26"/>
          <w:szCs w:val="26"/>
        </w:rPr>
      </w:pPr>
      <w:bookmarkStart w:id="0" w:name="_k3vh464h8t95" w:colFirst="0" w:colLast="0"/>
      <w:bookmarkEnd w:id="0"/>
    </w:p>
    <w:p w14:paraId="4B905857" w14:textId="77777777" w:rsidR="00F86BC9" w:rsidRPr="004E2E23" w:rsidRDefault="004E3910">
      <w:pPr>
        <w:pStyle w:val="Heading3"/>
        <w:keepNext w:val="0"/>
        <w:keepLines w:val="0"/>
        <w:spacing w:before="0" w:after="100"/>
        <w:rPr>
          <w:bCs/>
          <w:color w:val="auto"/>
          <w:sz w:val="26"/>
          <w:szCs w:val="26"/>
        </w:rPr>
      </w:pPr>
      <w:bookmarkStart w:id="1" w:name="_1ghf2lj9m87t" w:colFirst="0" w:colLast="0"/>
      <w:bookmarkEnd w:id="1"/>
      <w:r w:rsidRPr="004E2E23">
        <w:rPr>
          <w:bCs/>
          <w:color w:val="auto"/>
          <w:sz w:val="26"/>
          <w:szCs w:val="26"/>
        </w:rPr>
        <w:t>1. Responsible AI Policy Gap Analysis</w:t>
      </w:r>
    </w:p>
    <w:p w14:paraId="7B99DB24" w14:textId="77777777" w:rsidR="00D53436" w:rsidRPr="004E2E23" w:rsidRDefault="00000000">
      <w:pPr>
        <w:shd w:val="clear" w:color="auto" w:fill="EEF4F7"/>
        <w:spacing w:after="100"/>
      </w:pPr>
      <w:r w:rsidRPr="004E2E23">
        <w:rPr>
          <w:b/>
        </w:rPr>
        <w:t xml:space="preserve">System profile used across this portfolio: </w:t>
      </w:r>
      <w:r w:rsidRPr="004E2E23">
        <w:t>FinanceGuard AI is a fine-tuned LLM used for financial document review. It processes PII and confidential financial data through an internal API gateway and operates across a hybrid cloud environment. Current-state evidence indicates incomplete data lineage, monitoring, impact assessment, adversarial testing, transparency, and retention enforcement. These assumptions drive the control ratings and the Conditional Go recommendation.</w:t>
      </w:r>
    </w:p>
    <w:p w14:paraId="5878F69A" w14:textId="46E3C3C3" w:rsidR="00F86BC9" w:rsidRPr="004E2E23" w:rsidRDefault="00F86BC9">
      <w:pPr>
        <w:spacing w:after="100"/>
      </w:pPr>
    </w:p>
    <w:tbl>
      <w:tblPr>
        <w:tblStyle w:val="a"/>
        <w:tblW w:w="9123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64"/>
        <w:gridCol w:w="1427"/>
        <w:gridCol w:w="3415"/>
        <w:gridCol w:w="875"/>
        <w:gridCol w:w="2642"/>
      </w:tblGrid>
      <w:tr w:rsidR="00F86BC9" w:rsidRPr="004E2E23" w14:paraId="57D52DE0" w14:textId="77777777" w:rsidTr="00331625">
        <w:trPr>
          <w:trHeight w:val="1193"/>
          <w:tblHeader/>
          <w:jc w:val="center"/>
        </w:trPr>
        <w:tc>
          <w:tcPr>
            <w:tcW w:w="93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95BF8" w14:textId="77777777" w:rsidR="00F86BC9" w:rsidRPr="004E2E23" w:rsidRDefault="004E3910">
            <w:pPr>
              <w:spacing w:line="240" w:lineRule="auto"/>
              <w:rPr>
                <w:sz w:val="20"/>
                <w:szCs w:val="20"/>
              </w:rPr>
            </w:pPr>
            <w:r w:rsidRPr="004E2E23">
              <w:rPr>
                <w:b/>
                <w:bCs/>
                <w:sz w:val="15"/>
                <w:szCs w:val="20"/>
              </w:rPr>
              <w:t>Gap ID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A13C2" w14:textId="77777777" w:rsidR="00F86BC9" w:rsidRPr="004E2E23" w:rsidRDefault="004E3910" w:rsidP="004E3910">
            <w:pPr>
              <w:spacing w:line="240" w:lineRule="auto"/>
              <w:rPr>
                <w:sz w:val="20"/>
                <w:szCs w:val="20"/>
              </w:rPr>
            </w:pPr>
            <w:r w:rsidRPr="004E2E23">
              <w:rPr>
                <w:b/>
                <w:bCs/>
                <w:sz w:val="15"/>
                <w:szCs w:val="20"/>
              </w:rPr>
              <w:t>Responsible AI Principle/Standard Requirement</w:t>
            </w:r>
          </w:p>
        </w:tc>
        <w:tc>
          <w:tcPr>
            <w:tcW w:w="439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4CB14" w14:textId="77777777" w:rsidR="00F86BC9" w:rsidRPr="004E2E23" w:rsidRDefault="004E3910">
            <w:pPr>
              <w:spacing w:line="240" w:lineRule="auto"/>
              <w:rPr>
                <w:sz w:val="20"/>
                <w:szCs w:val="20"/>
              </w:rPr>
            </w:pPr>
            <w:r w:rsidRPr="004E2E23">
              <w:rPr>
                <w:b/>
                <w:bCs/>
                <w:sz w:val="15"/>
                <w:szCs w:val="20"/>
              </w:rPr>
              <w:t>Identified Deficiency (FinanceGuard AI Context)</w:t>
            </w:r>
          </w:p>
        </w:tc>
        <w:tc>
          <w:tcPr>
            <w:tcW w:w="10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F6A53" w14:textId="77777777" w:rsidR="00F86BC9" w:rsidRPr="004E2E23" w:rsidRDefault="004E3910" w:rsidP="004E3910">
            <w:pPr>
              <w:spacing w:line="240" w:lineRule="auto"/>
              <w:rPr>
                <w:sz w:val="20"/>
                <w:szCs w:val="20"/>
              </w:rPr>
            </w:pPr>
            <w:r w:rsidRPr="004E2E23">
              <w:rPr>
                <w:b/>
                <w:bCs/>
                <w:sz w:val="15"/>
                <w:szCs w:val="20"/>
              </w:rPr>
              <w:t>Se</w:t>
            </w:r>
            <w:r w:rsidR="00331625" w:rsidRPr="004E2E23">
              <w:rPr>
                <w:b/>
                <w:bCs/>
                <w:sz w:val="15"/>
                <w:szCs w:val="20"/>
              </w:rPr>
              <w:t xml:space="preserve">verity Rating </w:t>
            </w:r>
            <w:r w:rsidRPr="004E2E23">
              <w:rPr>
                <w:b/>
                <w:bCs/>
                <w:sz w:val="15"/>
                <w:szCs w:val="20"/>
              </w:rPr>
              <w:t>(High/Med/Low)</w:t>
            </w:r>
          </w:p>
        </w:tc>
        <w:tc>
          <w:tcPr>
            <w:tcW w:w="338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EC480" w14:textId="77777777" w:rsidR="00F86BC9" w:rsidRPr="004E2E23" w:rsidRDefault="004E3910">
            <w:pPr>
              <w:spacing w:line="240" w:lineRule="auto"/>
              <w:rPr>
                <w:sz w:val="20"/>
                <w:szCs w:val="20"/>
              </w:rPr>
            </w:pPr>
            <w:r w:rsidRPr="004E2E23">
              <w:rPr>
                <w:b/>
                <w:bCs/>
                <w:sz w:val="15"/>
                <w:szCs w:val="20"/>
              </w:rPr>
              <w:t>Remediation Action Plan</w:t>
            </w:r>
          </w:p>
        </w:tc>
      </w:tr>
      <w:tr w:rsidR="00F86BC9" w:rsidRPr="004E2E23" w14:paraId="63407EBF" w14:textId="77777777" w:rsidTr="00331625">
        <w:trPr>
          <w:trHeight w:val="810"/>
          <w:jc w:val="center"/>
        </w:trPr>
        <w:tc>
          <w:tcPr>
            <w:tcW w:w="93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DE03D" w14:textId="7624F18B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G</w:t>
            </w:r>
            <w:r w:rsidR="00EE7A58" w:rsidRPr="004E2E23">
              <w:rPr>
                <w:b/>
                <w:sz w:val="15"/>
              </w:rPr>
              <w:t xml:space="preserve">ap </w:t>
            </w:r>
            <w:r w:rsidRPr="004E2E23">
              <w:rPr>
                <w:b/>
                <w:sz w:val="15"/>
              </w:rPr>
              <w:t>1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05349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Privacy and security</w:t>
            </w:r>
          </w:p>
        </w:tc>
        <w:tc>
          <w:tcPr>
            <w:tcW w:w="439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7EA2A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PII and confidential financial data lack complete lineage, minimization, retention, and deletion evidence across hybrid-cloud data flows.</w:t>
            </w:r>
          </w:p>
        </w:tc>
        <w:tc>
          <w:tcPr>
            <w:tcW w:w="10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C000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F3481" w14:textId="77777777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High</w:t>
            </w:r>
          </w:p>
        </w:tc>
        <w:tc>
          <w:tcPr>
            <w:tcW w:w="338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E44C1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Data Steward and Cyber Security must inventory data flows, document lawful purpose and lineage, enforce minimization and encryption, and test automated retention/deletion before scaling.</w:t>
            </w:r>
          </w:p>
        </w:tc>
      </w:tr>
      <w:tr w:rsidR="00F86BC9" w:rsidRPr="004E2E23" w14:paraId="512C1AD4" w14:textId="77777777" w:rsidTr="00331625">
        <w:trPr>
          <w:trHeight w:val="810"/>
          <w:jc w:val="center"/>
        </w:trPr>
        <w:tc>
          <w:tcPr>
            <w:tcW w:w="93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B4F09" w14:textId="211F7D4D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G</w:t>
            </w:r>
            <w:r w:rsidR="00EE7A58" w:rsidRPr="004E2E23">
              <w:rPr>
                <w:b/>
                <w:sz w:val="15"/>
              </w:rPr>
              <w:t xml:space="preserve">ap </w:t>
            </w:r>
            <w:r w:rsidRPr="004E2E23">
              <w:rPr>
                <w:b/>
                <w:sz w:val="15"/>
              </w:rPr>
              <w:t>2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3EA75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Reliability and safety</w:t>
            </w:r>
          </w:p>
        </w:tc>
        <w:tc>
          <w:tcPr>
            <w:tcW w:w="439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64A57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The API gateway does not produce a complete, reviewed record of prompts, outputs, anomalies, or data-exfiltration indicators across all environments.</w:t>
            </w:r>
          </w:p>
        </w:tc>
        <w:tc>
          <w:tcPr>
            <w:tcW w:w="10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C000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EE284" w14:textId="77777777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High</w:t>
            </w:r>
          </w:p>
        </w:tc>
        <w:tc>
          <w:tcPr>
            <w:tcW w:w="338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4C5FC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Cyber Security must enable centralized logging and continuous detection, define alert thresholds, conduct weekly review, and retain incident and remediation evidence.</w:t>
            </w:r>
          </w:p>
        </w:tc>
      </w:tr>
      <w:tr w:rsidR="00F86BC9" w:rsidRPr="004E2E23" w14:paraId="0020D759" w14:textId="77777777" w:rsidTr="00331625">
        <w:trPr>
          <w:trHeight w:val="810"/>
          <w:jc w:val="center"/>
        </w:trPr>
        <w:tc>
          <w:tcPr>
            <w:tcW w:w="93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E1F65" w14:textId="22679A8A" w:rsidR="00D53436" w:rsidRPr="004E2E23" w:rsidRDefault="00EE7A58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 xml:space="preserve">Gap </w:t>
            </w:r>
            <w:r w:rsidR="00000000" w:rsidRPr="004E2E23">
              <w:rPr>
                <w:b/>
                <w:sz w:val="15"/>
              </w:rPr>
              <w:t>3</w:t>
            </w:r>
          </w:p>
        </w:tc>
        <w:tc>
          <w:tcPr>
            <w:tcW w:w="180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71A24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Transparency and accountability</w:t>
            </w:r>
          </w:p>
        </w:tc>
        <w:tc>
          <w:tcPr>
            <w:tcW w:w="4392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2B69C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No approved impact assessment or model card fully explains intended use, limitations, bias risks, human-review boundaries, and accountable remediation owners.</w:t>
            </w:r>
          </w:p>
        </w:tc>
        <w:tc>
          <w:tcPr>
            <w:tcW w:w="10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BF8F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46F37" w14:textId="77777777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Medium</w:t>
            </w:r>
          </w:p>
        </w:tc>
        <w:tc>
          <w:tcPr>
            <w:tcW w:w="338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B643A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AI Program Lead and Model Owner must complete an impact assessment, model card, user guidance, human-review criteria, and quarterly governance attestation.</w:t>
            </w:r>
          </w:p>
        </w:tc>
      </w:tr>
    </w:tbl>
    <w:p w14:paraId="06F20F62" w14:textId="77777777" w:rsidR="00F86BC9" w:rsidRPr="004E2E23" w:rsidRDefault="00F86BC9">
      <w:pPr>
        <w:pStyle w:val="Heading3"/>
        <w:keepNext w:val="0"/>
        <w:keepLines w:val="0"/>
        <w:spacing w:before="0" w:after="100"/>
        <w:rPr>
          <w:bCs/>
          <w:color w:val="auto"/>
          <w:sz w:val="26"/>
          <w:szCs w:val="26"/>
        </w:rPr>
      </w:pPr>
      <w:bookmarkStart w:id="2" w:name="_dbg8bz3u0n4r" w:colFirst="0" w:colLast="0"/>
      <w:bookmarkEnd w:id="2"/>
    </w:p>
    <w:p w14:paraId="0F44CFDD" w14:textId="77777777" w:rsidR="00F86BC9" w:rsidRPr="004E2E23" w:rsidRDefault="004E3910">
      <w:pPr>
        <w:pStyle w:val="Heading3"/>
        <w:keepNext w:val="0"/>
        <w:keepLines w:val="0"/>
        <w:spacing w:before="0" w:after="100"/>
        <w:rPr>
          <w:bCs/>
          <w:color w:val="auto"/>
          <w:sz w:val="26"/>
          <w:szCs w:val="26"/>
        </w:rPr>
      </w:pPr>
      <w:bookmarkStart w:id="3" w:name="_lbef85h87lsu" w:colFirst="0" w:colLast="0"/>
      <w:bookmarkEnd w:id="3"/>
      <w:r w:rsidRPr="004E2E23">
        <w:rPr>
          <w:bCs/>
          <w:color w:val="auto"/>
          <w:sz w:val="26"/>
          <w:szCs w:val="26"/>
        </w:rPr>
        <w:t>2. ISO/IEC 42001 Compliance Control Matrix Excerpt</w:t>
      </w:r>
    </w:p>
    <w:p w14:paraId="5DE7080C" w14:textId="7BA065AA" w:rsidR="00F86BC9" w:rsidRPr="004E2E23" w:rsidRDefault="00F86BC9">
      <w:pPr>
        <w:spacing w:after="100"/>
      </w:pPr>
    </w:p>
    <w:tbl>
      <w:tblPr>
        <w:tblStyle w:val="a0"/>
        <w:tblW w:w="874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91"/>
        <w:gridCol w:w="1475"/>
        <w:gridCol w:w="2581"/>
        <w:gridCol w:w="949"/>
        <w:gridCol w:w="2949"/>
      </w:tblGrid>
      <w:tr w:rsidR="00F86BC9" w:rsidRPr="004E2E23" w14:paraId="2B8C8E8C" w14:textId="77777777">
        <w:trPr>
          <w:trHeight w:val="1650"/>
          <w:tblHeader/>
          <w:jc w:val="center"/>
        </w:trPr>
        <w:tc>
          <w:tcPr>
            <w:tcW w:w="100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C9CDA" w14:textId="77777777" w:rsidR="00F86BC9" w:rsidRPr="004E2E23" w:rsidRDefault="004E3910">
            <w:pPr>
              <w:spacing w:line="240" w:lineRule="auto"/>
            </w:pPr>
            <w:r w:rsidRPr="004E2E23">
              <w:rPr>
                <w:b/>
                <w:bCs/>
                <w:sz w:val="15"/>
              </w:rPr>
              <w:t>Control ID</w:t>
            </w:r>
          </w:p>
        </w:tc>
        <w:tc>
          <w:tcPr>
            <w:tcW w:w="194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A02F4" w14:textId="77777777" w:rsidR="00F86BC9" w:rsidRPr="004E2E23" w:rsidRDefault="004E3910">
            <w:pPr>
              <w:spacing w:line="240" w:lineRule="auto"/>
            </w:pPr>
            <w:r w:rsidRPr="004E2E23">
              <w:rPr>
                <w:b/>
                <w:bCs/>
                <w:sz w:val="15"/>
              </w:rPr>
              <w:t>ISO/IEC 42001 Standard Control Title</w:t>
            </w:r>
          </w:p>
        </w:tc>
        <w:tc>
          <w:tcPr>
            <w:tcW w:w="345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0277C" w14:textId="77777777" w:rsidR="00F86BC9" w:rsidRPr="004E2E23" w:rsidRDefault="004E3910">
            <w:pPr>
              <w:spacing w:line="240" w:lineRule="auto"/>
            </w:pPr>
            <w:r w:rsidRPr="004E2E23">
              <w:rPr>
                <w:b/>
                <w:bCs/>
                <w:sz w:val="15"/>
              </w:rPr>
              <w:t>Control Intent &amp; Objective</w:t>
            </w:r>
          </w:p>
        </w:tc>
        <w:tc>
          <w:tcPr>
            <w:tcW w:w="122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7662F" w14:textId="77777777" w:rsidR="00F86BC9" w:rsidRPr="004E2E23" w:rsidRDefault="004E3910">
            <w:pPr>
              <w:spacing w:line="240" w:lineRule="auto"/>
            </w:pPr>
            <w:r w:rsidRPr="004E2E23">
              <w:rPr>
                <w:b/>
                <w:bCs/>
                <w:sz w:val="15"/>
              </w:rPr>
              <w:t>Implementation Status (Implemented/Partial/Gap)</w:t>
            </w:r>
          </w:p>
        </w:tc>
        <w:tc>
          <w:tcPr>
            <w:tcW w:w="39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80460" w14:textId="77777777" w:rsidR="00F86BC9" w:rsidRPr="004E2E23" w:rsidRDefault="004E3910">
            <w:pPr>
              <w:spacing w:line="240" w:lineRule="auto"/>
            </w:pPr>
            <w:r w:rsidRPr="004E2E23">
              <w:rPr>
                <w:b/>
                <w:bCs/>
                <w:sz w:val="15"/>
              </w:rPr>
              <w:t>Evidence/Validation Method</w:t>
            </w:r>
          </w:p>
        </w:tc>
      </w:tr>
      <w:tr w:rsidR="00F86BC9" w:rsidRPr="004E2E23" w14:paraId="2244938F" w14:textId="77777777">
        <w:trPr>
          <w:trHeight w:val="540"/>
          <w:jc w:val="center"/>
        </w:trPr>
        <w:tc>
          <w:tcPr>
            <w:tcW w:w="100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56920" w14:textId="77777777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A.5.2</w:t>
            </w:r>
          </w:p>
        </w:tc>
        <w:tc>
          <w:tcPr>
            <w:tcW w:w="194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EC96A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Data for AI Systems</w:t>
            </w:r>
          </w:p>
        </w:tc>
        <w:tc>
          <w:tcPr>
            <w:tcW w:w="345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1CAB6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Ensure fine-tuning and validation data is high quality, representative, and collected within appropriate privacy boundaries.</w:t>
            </w:r>
          </w:p>
        </w:tc>
        <w:tc>
          <w:tcPr>
            <w:tcW w:w="122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C000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A94D7" w14:textId="77777777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Gap</w:t>
            </w:r>
          </w:p>
        </w:tc>
        <w:tc>
          <w:tcPr>
            <w:tcW w:w="39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CC52A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No complete data lineage or sanitization logs. Required: approved source inventory, lineage map, minimization record, consent/legal-basis review, and deletion-test results.</w:t>
            </w:r>
          </w:p>
        </w:tc>
      </w:tr>
      <w:tr w:rsidR="00F86BC9" w:rsidRPr="004E2E23" w14:paraId="3B1C307C" w14:textId="77777777">
        <w:trPr>
          <w:trHeight w:val="540"/>
          <w:jc w:val="center"/>
        </w:trPr>
        <w:tc>
          <w:tcPr>
            <w:tcW w:w="100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D8A60" w14:textId="77777777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A.6.2</w:t>
            </w:r>
          </w:p>
        </w:tc>
        <w:tc>
          <w:tcPr>
            <w:tcW w:w="194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124BE8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Logging and Monitoring</w:t>
            </w:r>
          </w:p>
        </w:tc>
        <w:tc>
          <w:tcPr>
            <w:tcW w:w="345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6E49E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Record inputs, outputs, and runtime behaviors through the internal API gateway to detect anomalies or data exfiltration.</w:t>
            </w:r>
          </w:p>
        </w:tc>
        <w:tc>
          <w:tcPr>
            <w:tcW w:w="122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BF8F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D32FF" w14:textId="77777777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Partial</w:t>
            </w:r>
          </w:p>
        </w:tc>
        <w:tc>
          <w:tcPr>
            <w:tcW w:w="39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A6A48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Gateway logging exists as a design element, but coverage and review evidence are incomplete. Required: configuration export, log samples, alert rules, review tickets, and retention settings.</w:t>
            </w:r>
          </w:p>
        </w:tc>
      </w:tr>
      <w:tr w:rsidR="00F86BC9" w:rsidRPr="004E2E23" w14:paraId="114603ED" w14:textId="77777777">
        <w:trPr>
          <w:trHeight w:val="540"/>
          <w:jc w:val="center"/>
        </w:trPr>
        <w:tc>
          <w:tcPr>
            <w:tcW w:w="100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CE734" w14:textId="77777777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A.7.2</w:t>
            </w:r>
          </w:p>
        </w:tc>
        <w:tc>
          <w:tcPr>
            <w:tcW w:w="194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E8DC8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AI System Impact Assessment</w:t>
            </w:r>
          </w:p>
        </w:tc>
        <w:tc>
          <w:tcPr>
            <w:tcW w:w="345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20DF9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Assess consequences of automated document review on stakeholders and regulatory filings.</w:t>
            </w:r>
          </w:p>
        </w:tc>
        <w:tc>
          <w:tcPr>
            <w:tcW w:w="122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C000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EEB48A" w14:textId="77777777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Gap</w:t>
            </w:r>
          </w:p>
        </w:tc>
        <w:tc>
          <w:tcPr>
            <w:tcW w:w="39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0FCFA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No approved impact and bias/fairness assessment. Required: signed assessment, test methodology, results, risk acceptance, and remediation plan.</w:t>
            </w:r>
          </w:p>
        </w:tc>
      </w:tr>
      <w:tr w:rsidR="00F86BC9" w:rsidRPr="004E2E23" w14:paraId="259B7898" w14:textId="77777777">
        <w:trPr>
          <w:trHeight w:val="540"/>
          <w:jc w:val="center"/>
        </w:trPr>
        <w:tc>
          <w:tcPr>
            <w:tcW w:w="100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14D60" w14:textId="77777777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lastRenderedPageBreak/>
              <w:t>A.8.3</w:t>
            </w:r>
          </w:p>
        </w:tc>
        <w:tc>
          <w:tcPr>
            <w:tcW w:w="194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D23125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Security of AI Systems</w:t>
            </w:r>
          </w:p>
        </w:tc>
        <w:tc>
          <w:tcPr>
            <w:tcW w:w="345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4270B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Protect the LLM infrastructure from adversarial attacks, prompt injection, and unauthorized model-weight modification.</w:t>
            </w:r>
          </w:p>
        </w:tc>
        <w:tc>
          <w:tcPr>
            <w:tcW w:w="122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BF8F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A993A" w14:textId="77777777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Partial</w:t>
            </w:r>
          </w:p>
        </w:tc>
        <w:tc>
          <w:tcPr>
            <w:tcW w:w="39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523CE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Hybrid-cloud protections are not fully validated. Required: vulnerability and prompt-injection test reports, access-control review, change logs, and remediation closure.</w:t>
            </w:r>
          </w:p>
        </w:tc>
      </w:tr>
      <w:tr w:rsidR="00F86BC9" w:rsidRPr="004E2E23" w14:paraId="3A43D299" w14:textId="77777777">
        <w:trPr>
          <w:trHeight w:val="540"/>
          <w:jc w:val="center"/>
        </w:trPr>
        <w:tc>
          <w:tcPr>
            <w:tcW w:w="100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E2221" w14:textId="77777777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A.9.2</w:t>
            </w:r>
          </w:p>
        </w:tc>
        <w:tc>
          <w:tcPr>
            <w:tcW w:w="194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02DB3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AI System Transparency</w:t>
            </w:r>
          </w:p>
        </w:tc>
        <w:tc>
          <w:tcPr>
            <w:tcW w:w="345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5DA1C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Document model capabilities, limitations, intended use, and human-review expectations for internal analysts.</w:t>
            </w:r>
          </w:p>
        </w:tc>
        <w:tc>
          <w:tcPr>
            <w:tcW w:w="122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BF8F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D32D8" w14:textId="77777777" w:rsidR="00D53436" w:rsidRPr="004E2E23" w:rsidRDefault="00000000">
            <w:pPr>
              <w:spacing w:line="240" w:lineRule="auto"/>
              <w:jc w:val="center"/>
            </w:pPr>
            <w:r w:rsidRPr="004E2E23">
              <w:rPr>
                <w:b/>
                <w:sz w:val="15"/>
              </w:rPr>
              <w:t>Partial</w:t>
            </w:r>
          </w:p>
        </w:tc>
        <w:tc>
          <w:tcPr>
            <w:tcW w:w="39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47E08" w14:textId="77777777" w:rsidR="00D53436" w:rsidRPr="004E2E23" w:rsidRDefault="00000000">
            <w:pPr>
              <w:spacing w:line="240" w:lineRule="auto"/>
            </w:pPr>
            <w:r w:rsidRPr="004E2E23">
              <w:rPr>
                <w:sz w:val="15"/>
              </w:rPr>
              <w:t>User-facing documentation is incomplete. Required: approved model card, limitations, prohibited uses, human-validation guidance, and training completion records.</w:t>
            </w:r>
          </w:p>
        </w:tc>
      </w:tr>
    </w:tbl>
    <w:p w14:paraId="56F2FB51" w14:textId="77777777" w:rsidR="00F86BC9" w:rsidRPr="004E2E23" w:rsidRDefault="00F86BC9">
      <w:pPr>
        <w:spacing w:after="100"/>
      </w:pPr>
    </w:p>
    <w:sectPr w:rsidR="00F86BC9" w:rsidRPr="004E2E23">
      <w:headerReference w:type="default" r:id="rId6"/>
      <w:footerReference w:type="default" r:id="rId7"/>
      <w:pgSz w:w="11909" w:h="16834"/>
      <w:pgMar w:top="792" w:right="792" w:bottom="792" w:left="79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1AA70" w14:textId="77777777" w:rsidR="00746C4E" w:rsidRDefault="00746C4E">
      <w:pPr>
        <w:spacing w:line="240" w:lineRule="auto"/>
      </w:pPr>
      <w:r>
        <w:separator/>
      </w:r>
    </w:p>
  </w:endnote>
  <w:endnote w:type="continuationSeparator" w:id="0">
    <w:p w14:paraId="234FCA79" w14:textId="77777777" w:rsidR="00746C4E" w:rsidRDefault="00746C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355A8DF-415D-460F-B3C9-86FDBBA030CC}"/>
    <w:embedBold r:id="rId2" w:fontKey="{B35F018F-C6CE-4ECC-A6B8-F0504518D7E6}"/>
    <w:embedItalic r:id="rId3" w:fontKey="{36F2B1C8-DA8F-47C8-8E8D-A10C8CD0F7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fontKey="{881356D0-4446-4CC0-BA3B-52B66C26D3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5FCD64C-6EFF-44EA-BD53-449DA9BDEC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49A7FA2-6637-43BF-AB92-6B93F149FF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2ED2" w14:textId="166F0D23" w:rsidR="00D53436" w:rsidRDefault="00D5343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12C4A" w14:textId="77777777" w:rsidR="00746C4E" w:rsidRDefault="00746C4E">
      <w:pPr>
        <w:spacing w:line="240" w:lineRule="auto"/>
      </w:pPr>
      <w:r>
        <w:separator/>
      </w:r>
    </w:p>
  </w:footnote>
  <w:footnote w:type="continuationSeparator" w:id="0">
    <w:p w14:paraId="50FD6B17" w14:textId="77777777" w:rsidR="00746C4E" w:rsidRDefault="00746C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9D8AE" w14:textId="1947592C" w:rsidR="00D53436" w:rsidRDefault="00D53436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BC9"/>
    <w:rsid w:val="000621F4"/>
    <w:rsid w:val="000E21A1"/>
    <w:rsid w:val="001C55C6"/>
    <w:rsid w:val="00331625"/>
    <w:rsid w:val="004E0DAD"/>
    <w:rsid w:val="004E2E23"/>
    <w:rsid w:val="004E3910"/>
    <w:rsid w:val="005D50F7"/>
    <w:rsid w:val="00746C4E"/>
    <w:rsid w:val="00BC30D3"/>
    <w:rsid w:val="00D17F90"/>
    <w:rsid w:val="00D53436"/>
    <w:rsid w:val="00EB1A28"/>
    <w:rsid w:val="00EE7A58"/>
    <w:rsid w:val="00F8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03A9"/>
  <w15:docId w15:val="{1051F4FA-FED2-4EB3-BD8D-4359694F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ascii="Aptos" w:hAnsi="Aptos"/>
      <w:sz w:val="18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b/>
      <w:color w:val="17365D"/>
      <w:sz w:val="32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b/>
      <w:color w:val="1F7285"/>
      <w:sz w:val="24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b/>
      <w:color w:val="1F7285"/>
      <w:sz w:val="20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rFonts w:ascii="Aptos Display" w:hAnsi="Aptos Display"/>
      <w:b/>
      <w:color w:val="17365D"/>
      <w:sz w:val="44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E7A5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A58"/>
    <w:rPr>
      <w:rFonts w:ascii="Aptos" w:hAnsi="Aptos"/>
      <w:sz w:val="18"/>
    </w:rPr>
  </w:style>
  <w:style w:type="paragraph" w:styleId="Footer">
    <w:name w:val="footer"/>
    <w:basedOn w:val="Normal"/>
    <w:link w:val="FooterChar"/>
    <w:uiPriority w:val="99"/>
    <w:unhideWhenUsed/>
    <w:rsid w:val="00EE7A5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A58"/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473</Words>
  <Characters>3096</Characters>
  <Application>Microsoft Office Word</Application>
  <DocSecurity>0</DocSecurity>
  <Lines>103</Lines>
  <Paragraphs>50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Bailly, Hayden</dc:creator>
  <cp:lastModifiedBy>Bailly, Hayden</cp:lastModifiedBy>
  <cp:revision>6</cp:revision>
  <dcterms:created xsi:type="dcterms:W3CDTF">2026-10-13T19:09:00Z</dcterms:created>
  <dcterms:modified xsi:type="dcterms:W3CDTF">2026-10-13T19:24:00Z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8c05f9f4-adf3-4eec-966b-442eb1379191</vt:lpwstr>
  </property>
  <property fmtid="{D5CDD505-2E9C-101B-9397-08002B2CF9AE}" pid="3" name="MSIP_Label_419954af-3d4d-4e34-b6d3-a2c1aff7c6fb_Enabled">
    <vt:lpwstr>true</vt:lpwstr>
  </property>
  <property fmtid="{D5CDD505-2E9C-101B-9397-08002B2CF9AE}" pid="4" name="MSIP_Label_419954af-3d4d-4e34-b6d3-a2c1aff7c6fb_SetDate">
    <vt:lpwstr>2026-10-13T18:57:50Z</vt:lpwstr>
  </property>
  <property fmtid="{D5CDD505-2E9C-101B-9397-08002B2CF9AE}" pid="5" name="MSIP_Label_419954af-3d4d-4e34-b6d3-a2c1aff7c6fb_Method">
    <vt:lpwstr>Privileged</vt:lpwstr>
  </property>
  <property fmtid="{D5CDD505-2E9C-101B-9397-08002B2CF9AE}" pid="6" name="MSIP_Label_419954af-3d4d-4e34-b6d3-a2c1aff7c6fb_Name">
    <vt:lpwstr>defa4170-0d19-0005-0004-bc88714345d2</vt:lpwstr>
  </property>
  <property fmtid="{D5CDD505-2E9C-101B-9397-08002B2CF9AE}" pid="7" name="MSIP_Label_419954af-3d4d-4e34-b6d3-a2c1aff7c6fb_SiteId">
    <vt:lpwstr>7d76d45a-a201-4a68-bf3a-597f0a5fa533</vt:lpwstr>
  </property>
  <property fmtid="{D5CDD505-2E9C-101B-9397-08002B2CF9AE}" pid="8" name="MSIP_Label_419954af-3d4d-4e34-b6d3-a2c1aff7c6fb_ActionId">
    <vt:lpwstr>5029bf57-a0ef-4055-8da2-2e72048ade49</vt:lpwstr>
  </property>
  <property fmtid="{D5CDD505-2E9C-101B-9397-08002B2CF9AE}" pid="9" name="MSIP_Label_419954af-3d4d-4e34-b6d3-a2c1aff7c6fb_ContentBits">
    <vt:lpwstr>0</vt:lpwstr>
  </property>
</Properties>
</file>