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1A589" w14:textId="77777777" w:rsidR="00CF488A" w:rsidRPr="00A830CF" w:rsidRDefault="00000000">
      <w:pPr>
        <w:pStyle w:val="Title"/>
        <w:spacing w:after="40"/>
        <w:rPr>
          <w:rFonts w:ascii="Aptos" w:hAnsi="Aptos"/>
          <w:color w:val="auto"/>
        </w:rPr>
      </w:pPr>
      <w:r w:rsidRPr="00A830CF">
        <w:rPr>
          <w:rFonts w:ascii="Aptos" w:hAnsi="Aptos"/>
          <w:color w:val="auto"/>
        </w:rPr>
        <w:t>Program Charter</w:t>
      </w:r>
    </w:p>
    <w:p w14:paraId="3FB84772" w14:textId="35120362" w:rsidR="00CF488A" w:rsidRPr="00A830CF" w:rsidRDefault="00000000">
      <w:pPr>
        <w:spacing w:after="160"/>
        <w:rPr>
          <w:color w:val="auto"/>
        </w:rPr>
      </w:pPr>
      <w:r w:rsidRPr="00A830CF">
        <w:rPr>
          <w:b/>
          <w:color w:val="auto"/>
          <w:sz w:val="20"/>
        </w:rPr>
        <w:t>AI Governance and Compliance Portfolio</w:t>
      </w:r>
    </w:p>
    <w:p w14:paraId="3E72136D" w14:textId="77777777" w:rsidR="00A830CF" w:rsidRPr="00A830CF" w:rsidRDefault="00A830CF">
      <w:pPr>
        <w:spacing w:after="0"/>
        <w:rPr>
          <w:b/>
          <w:bCs/>
          <w:color w:val="auto"/>
          <w:sz w:val="20"/>
          <w:szCs w:val="24"/>
        </w:rPr>
      </w:pPr>
    </w:p>
    <w:p w14:paraId="34EF2A27" w14:textId="494A3222" w:rsidR="00CF488A" w:rsidRPr="00A830CF" w:rsidRDefault="00B62A83">
      <w:pPr>
        <w:spacing w:after="0"/>
        <w:rPr>
          <w:b/>
          <w:bCs/>
          <w:color w:val="auto"/>
          <w:sz w:val="20"/>
          <w:szCs w:val="24"/>
        </w:rPr>
      </w:pPr>
      <w:r w:rsidRPr="00A830CF">
        <w:rPr>
          <w:b/>
          <w:bCs/>
          <w:color w:val="auto"/>
          <w:sz w:val="20"/>
          <w:szCs w:val="24"/>
        </w:rPr>
        <w:t>PROJECT INTRO</w:t>
      </w:r>
    </w:p>
    <w:p w14:paraId="231FF4B1" w14:textId="77777777" w:rsidR="00B62A83" w:rsidRPr="00A830CF" w:rsidRDefault="00B62A83">
      <w:pPr>
        <w:spacing w:after="0"/>
        <w:rPr>
          <w:color w:val="auto"/>
        </w:rPr>
      </w:pPr>
    </w:p>
    <w:p w14:paraId="14D33D71" w14:textId="3960049B" w:rsidR="00B62A83" w:rsidRPr="00A830CF" w:rsidRDefault="00B62A83" w:rsidP="00A830CF">
      <w:pPr>
        <w:rPr>
          <w:color w:val="auto"/>
        </w:rPr>
      </w:pPr>
      <w:r w:rsidRPr="00A830CF">
        <w:rPr>
          <w:color w:val="auto"/>
          <w:sz w:val="17"/>
        </w:rPr>
        <w:t>FinanceGuard AI is a fine-tuned large language model supporting financial document review while processing PII and confidential financial data through an internal API gateway and hybrid-cloud environment. The portfolio supports an executive decision on continued deployment and scaling.</w:t>
      </w:r>
    </w:p>
    <w:p w14:paraId="035C0FBB" w14:textId="77777777" w:rsidR="00B62A83" w:rsidRPr="00A830CF" w:rsidRDefault="00B62A83">
      <w:pPr>
        <w:spacing w:after="0"/>
        <w:rPr>
          <w:color w:val="auto"/>
        </w:rPr>
      </w:pPr>
    </w:p>
    <w:tbl>
      <w:tblPr>
        <w:tblW w:w="1100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501"/>
        <w:gridCol w:w="5501"/>
      </w:tblGrid>
      <w:tr w:rsidR="00CF488A" w:rsidRPr="00A830CF" w14:paraId="63578AEB" w14:textId="77777777" w:rsidTr="00B62A83">
        <w:trPr>
          <w:jc w:val="center"/>
        </w:trPr>
        <w:tc>
          <w:tcPr>
            <w:tcW w:w="5501" w:type="dxa"/>
            <w:shd w:val="clear" w:color="auto" w:fill="F7F9FB"/>
            <w:tcMar>
              <w:top w:w="125" w:type="dxa"/>
              <w:left w:w="125" w:type="dxa"/>
              <w:bottom w:w="125" w:type="dxa"/>
              <w:right w:w="125" w:type="dxa"/>
            </w:tcMar>
          </w:tcPr>
          <w:p w14:paraId="5630EE3D" w14:textId="77777777" w:rsidR="00CF488A" w:rsidRPr="00A830CF" w:rsidRDefault="00000000">
            <w:pPr>
              <w:spacing w:after="60"/>
              <w:rPr>
                <w:color w:val="auto"/>
              </w:rPr>
            </w:pPr>
            <w:r w:rsidRPr="00A830CF">
              <w:rPr>
                <w:b/>
                <w:color w:val="auto"/>
                <w:sz w:val="20"/>
              </w:rPr>
              <w:t>OVERVIEW</w:t>
            </w:r>
          </w:p>
          <w:p w14:paraId="2E306C5C" w14:textId="77777777" w:rsidR="00CF488A" w:rsidRPr="00A830CF" w:rsidRDefault="00000000">
            <w:pPr>
              <w:spacing w:after="20" w:line="240" w:lineRule="auto"/>
              <w:rPr>
                <w:color w:val="auto"/>
              </w:rPr>
            </w:pPr>
            <w:r w:rsidRPr="00A830CF">
              <w:rPr>
                <w:color w:val="auto"/>
              </w:rPr>
              <w:t>Develop an integrated governance package that connects accountability, responsible-AI gaps, ISO/IEC 42001 control alignment, and SOC 2 audit evidence. The final narrative is designed for CISO and steering-committee review.</w:t>
            </w:r>
          </w:p>
        </w:tc>
        <w:tc>
          <w:tcPr>
            <w:tcW w:w="5501" w:type="dxa"/>
            <w:shd w:val="clear" w:color="auto" w:fill="F7F9FB"/>
            <w:tcMar>
              <w:top w:w="125" w:type="dxa"/>
              <w:left w:w="125" w:type="dxa"/>
              <w:bottom w:w="125" w:type="dxa"/>
              <w:right w:w="125" w:type="dxa"/>
            </w:tcMar>
          </w:tcPr>
          <w:p w14:paraId="12B9C2DE" w14:textId="77777777" w:rsidR="00CF488A" w:rsidRPr="00A830CF" w:rsidRDefault="00000000">
            <w:pPr>
              <w:spacing w:after="60"/>
              <w:rPr>
                <w:color w:val="auto"/>
              </w:rPr>
            </w:pPr>
            <w:r w:rsidRPr="00A830CF">
              <w:rPr>
                <w:b/>
                <w:color w:val="auto"/>
                <w:sz w:val="20"/>
              </w:rPr>
              <w:t>METHODOLOGY</w:t>
            </w:r>
          </w:p>
          <w:p w14:paraId="7B757006" w14:textId="77777777" w:rsidR="00CF488A" w:rsidRPr="00A830CF" w:rsidRDefault="00000000">
            <w:pPr>
              <w:spacing w:after="20" w:line="240" w:lineRule="auto"/>
              <w:rPr>
                <w:color w:val="auto"/>
              </w:rPr>
            </w:pPr>
            <w:r w:rsidRPr="00A830CF">
              <w:rPr>
                <w:color w:val="auto"/>
              </w:rPr>
              <w:t>1. Establish a single system profile and risk assumptions.</w:t>
            </w:r>
            <w:r w:rsidRPr="00A830CF">
              <w:rPr>
                <w:color w:val="auto"/>
              </w:rPr>
              <w:br/>
              <w:t>2. Assign RACI ownership across the AI lifecycle.</w:t>
            </w:r>
            <w:r w:rsidRPr="00A830CF">
              <w:rPr>
                <w:color w:val="auto"/>
              </w:rPr>
              <w:br/>
              <w:t>3. Assess Microsoft Responsible AI principles and map gaps to ISO/IEC 42001 controls.</w:t>
            </w:r>
            <w:r w:rsidRPr="00A830CF">
              <w:rPr>
                <w:color w:val="auto"/>
              </w:rPr>
              <w:br/>
              <w:t>4. Evaluate SOC 2 evidence as Pass, Partial, or Fail.</w:t>
            </w:r>
            <w:r w:rsidRPr="00A830CF">
              <w:rPr>
                <w:color w:val="auto"/>
              </w:rPr>
              <w:br/>
              <w:t>5. Confirm cross-document consistency and formulate the executive decision.</w:t>
            </w:r>
          </w:p>
        </w:tc>
      </w:tr>
      <w:tr w:rsidR="00CF488A" w:rsidRPr="00A830CF" w14:paraId="08A1D7CA" w14:textId="77777777" w:rsidTr="00B62A83">
        <w:trPr>
          <w:jc w:val="center"/>
        </w:trPr>
        <w:tc>
          <w:tcPr>
            <w:tcW w:w="5501" w:type="dxa"/>
            <w:shd w:val="clear" w:color="auto" w:fill="FFFFFF"/>
            <w:tcMar>
              <w:top w:w="125" w:type="dxa"/>
              <w:left w:w="125" w:type="dxa"/>
              <w:bottom w:w="125" w:type="dxa"/>
              <w:right w:w="125" w:type="dxa"/>
            </w:tcMar>
          </w:tcPr>
          <w:p w14:paraId="30793336" w14:textId="77777777" w:rsidR="00CF488A" w:rsidRPr="00A830CF" w:rsidRDefault="00000000">
            <w:pPr>
              <w:spacing w:after="60"/>
              <w:rPr>
                <w:color w:val="auto"/>
              </w:rPr>
            </w:pPr>
            <w:r w:rsidRPr="00A830CF">
              <w:rPr>
                <w:b/>
                <w:color w:val="auto"/>
                <w:sz w:val="20"/>
              </w:rPr>
              <w:t>OBJECTIVES</w:t>
            </w:r>
          </w:p>
          <w:p w14:paraId="34AE704A" w14:textId="77777777" w:rsidR="00CF488A" w:rsidRPr="00A830CF" w:rsidRDefault="00000000">
            <w:pPr>
              <w:spacing w:after="20" w:line="240" w:lineRule="auto"/>
              <w:rPr>
                <w:color w:val="auto"/>
              </w:rPr>
            </w:pPr>
            <w:r w:rsidRPr="00A830CF">
              <w:rPr>
                <w:color w:val="auto"/>
              </w:rPr>
              <w:t>• Establish one accountable owner for each lifecycle decision.</w:t>
            </w:r>
            <w:r w:rsidRPr="00A830CF">
              <w:rPr>
                <w:color w:val="auto"/>
              </w:rPr>
              <w:br/>
              <w:t>• Identify and prioritize PII, monitoring, impact, security, and transparency gaps.</w:t>
            </w:r>
            <w:r w:rsidRPr="00A830CF">
              <w:rPr>
                <w:color w:val="auto"/>
              </w:rPr>
              <w:br/>
              <w:t>• Define audit-ready evidence and remediation exit criteria.</w:t>
            </w:r>
            <w:r w:rsidRPr="00A830CF">
              <w:rPr>
                <w:color w:val="auto"/>
              </w:rPr>
              <w:br/>
              <w:t>• Produce a defensible deployment recommendation with traceability across artifacts.</w:t>
            </w:r>
          </w:p>
        </w:tc>
        <w:tc>
          <w:tcPr>
            <w:tcW w:w="5501" w:type="dxa"/>
            <w:shd w:val="clear" w:color="auto" w:fill="FFFFFF"/>
            <w:tcMar>
              <w:top w:w="125" w:type="dxa"/>
              <w:left w:w="125" w:type="dxa"/>
              <w:bottom w:w="125" w:type="dxa"/>
              <w:right w:w="125" w:type="dxa"/>
            </w:tcMar>
          </w:tcPr>
          <w:p w14:paraId="2316A046" w14:textId="77777777" w:rsidR="00CF488A" w:rsidRPr="00A830CF" w:rsidRDefault="00000000">
            <w:pPr>
              <w:spacing w:after="60"/>
              <w:rPr>
                <w:color w:val="auto"/>
              </w:rPr>
            </w:pPr>
            <w:r w:rsidRPr="00A830CF">
              <w:rPr>
                <w:b/>
                <w:color w:val="auto"/>
                <w:sz w:val="20"/>
              </w:rPr>
              <w:t>NAVIGATION</w:t>
            </w:r>
          </w:p>
          <w:p w14:paraId="360F6BA8" w14:textId="77777777" w:rsidR="00CF488A" w:rsidRPr="00A830CF" w:rsidRDefault="00000000">
            <w:pPr>
              <w:spacing w:after="20" w:line="240" w:lineRule="auto"/>
              <w:rPr>
                <w:color w:val="auto"/>
              </w:rPr>
            </w:pPr>
            <w:r w:rsidRPr="00A830CF">
              <w:rPr>
                <w:color w:val="auto"/>
              </w:rPr>
              <w:t>1. AI Governance RACI: ownership and escalation.</w:t>
            </w:r>
            <w:r w:rsidRPr="00A830CF">
              <w:rPr>
                <w:color w:val="auto"/>
              </w:rPr>
              <w:br/>
              <w:t>2. Governance Gap Analysis: responsible-AI deficiencies and remediation.</w:t>
            </w:r>
            <w:r w:rsidRPr="00A830CF">
              <w:rPr>
                <w:color w:val="auto"/>
              </w:rPr>
              <w:br/>
              <w:t>3. ISO/IEC 42001 Control Matrix: implementation status and audit artifacts.</w:t>
            </w:r>
            <w:r w:rsidRPr="00A830CF">
              <w:rPr>
                <w:color w:val="auto"/>
              </w:rPr>
              <w:br/>
              <w:t>4. SOC 2 Evidence Tracker: evidence sufficiency, residual risk, and CISO recommendation.</w:t>
            </w:r>
            <w:r w:rsidRPr="00A830CF">
              <w:rPr>
                <w:color w:val="auto"/>
              </w:rPr>
              <w:br/>
              <w:t>5. Evidence and Lessons Learned: sample artifacts, evaluation notes, and retrospective.</w:t>
            </w:r>
          </w:p>
        </w:tc>
      </w:tr>
      <w:tr w:rsidR="00CF488A" w:rsidRPr="00A830CF" w14:paraId="7186661D" w14:textId="77777777" w:rsidTr="00B62A83">
        <w:trPr>
          <w:jc w:val="center"/>
        </w:trPr>
        <w:tc>
          <w:tcPr>
            <w:tcW w:w="5501" w:type="dxa"/>
            <w:shd w:val="clear" w:color="auto" w:fill="F7F9FB"/>
            <w:tcMar>
              <w:top w:w="125" w:type="dxa"/>
              <w:left w:w="125" w:type="dxa"/>
              <w:bottom w:w="125" w:type="dxa"/>
              <w:right w:w="125" w:type="dxa"/>
            </w:tcMar>
          </w:tcPr>
          <w:p w14:paraId="43E005FF" w14:textId="77777777" w:rsidR="00CF488A" w:rsidRPr="00A830CF" w:rsidRDefault="00000000">
            <w:pPr>
              <w:spacing w:after="60"/>
              <w:rPr>
                <w:color w:val="auto"/>
              </w:rPr>
            </w:pPr>
            <w:r w:rsidRPr="00A830CF">
              <w:rPr>
                <w:b/>
                <w:color w:val="auto"/>
                <w:sz w:val="20"/>
              </w:rPr>
              <w:t>SCOPE</w:t>
            </w:r>
          </w:p>
          <w:p w14:paraId="0452E886" w14:textId="77777777" w:rsidR="00CF488A" w:rsidRPr="00A830CF" w:rsidRDefault="00000000">
            <w:pPr>
              <w:spacing w:after="20" w:line="240" w:lineRule="auto"/>
              <w:rPr>
                <w:color w:val="auto"/>
              </w:rPr>
            </w:pPr>
            <w:r w:rsidRPr="00A830CF">
              <w:rPr>
                <w:color w:val="auto"/>
              </w:rPr>
              <w:t>In scope: model governance, PII boundaries, hybrid-cloud oversight, monitoring, impact assessment, AI security, transparency, SOC 2 Security and Confidentiality evidence, exceptions, and executive risk acceptance.</w:t>
            </w:r>
            <w:r w:rsidRPr="00A830CF">
              <w:rPr>
                <w:color w:val="auto"/>
              </w:rPr>
              <w:br/>
            </w:r>
            <w:r w:rsidRPr="00A830CF">
              <w:rPr>
                <w:color w:val="auto"/>
              </w:rPr>
              <w:br/>
              <w:t>Out of scope: model redevelopment, production configuration changes, legal opinions, independent certification, and live control testing.</w:t>
            </w:r>
          </w:p>
        </w:tc>
        <w:tc>
          <w:tcPr>
            <w:tcW w:w="5501" w:type="dxa"/>
            <w:shd w:val="clear" w:color="auto" w:fill="F7F9FB"/>
            <w:tcMar>
              <w:top w:w="125" w:type="dxa"/>
              <w:left w:w="125" w:type="dxa"/>
              <w:bottom w:w="125" w:type="dxa"/>
              <w:right w:w="125" w:type="dxa"/>
            </w:tcMar>
          </w:tcPr>
          <w:p w14:paraId="7BAF0AD5" w14:textId="77777777" w:rsidR="00CF488A" w:rsidRPr="00A830CF" w:rsidRDefault="00000000">
            <w:pPr>
              <w:spacing w:after="60"/>
              <w:rPr>
                <w:color w:val="auto"/>
              </w:rPr>
            </w:pPr>
            <w:r w:rsidRPr="00A830CF">
              <w:rPr>
                <w:b/>
                <w:color w:val="auto"/>
                <w:sz w:val="20"/>
              </w:rPr>
              <w:t>SUCCESS CRITERIA</w:t>
            </w:r>
          </w:p>
          <w:p w14:paraId="053F8964" w14:textId="77777777" w:rsidR="00CF488A" w:rsidRPr="00A830CF" w:rsidRDefault="00000000">
            <w:pPr>
              <w:spacing w:after="20" w:line="240" w:lineRule="auto"/>
              <w:rPr>
                <w:color w:val="auto"/>
              </w:rPr>
            </w:pPr>
            <w:r w:rsidRPr="00A830CF">
              <w:rPr>
                <w:color w:val="auto"/>
              </w:rPr>
              <w:t>Exactly one Accountable role per lifecycle activity; consistent system assumptions; control ratings supported by evidence; audit findings traceable to governance gaps; enforceable remediation ownership; and a clear Go, Conditional Go, or No-Go decision.</w:t>
            </w:r>
          </w:p>
        </w:tc>
      </w:tr>
    </w:tbl>
    <w:p w14:paraId="02407C7D" w14:textId="77777777" w:rsidR="00CF488A" w:rsidRPr="00A830CF" w:rsidRDefault="00CF488A">
      <w:pPr>
        <w:spacing w:after="0"/>
        <w:rPr>
          <w:color w:val="auto"/>
        </w:rPr>
      </w:pPr>
    </w:p>
    <w:sectPr w:rsidR="00CF488A" w:rsidRPr="00A830CF" w:rsidSect="00034616">
      <w:headerReference w:type="default" r:id="rId8"/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B7C35" w14:textId="77777777" w:rsidR="007C0281" w:rsidRDefault="007C0281">
      <w:pPr>
        <w:spacing w:after="0" w:line="240" w:lineRule="auto"/>
      </w:pPr>
      <w:r>
        <w:separator/>
      </w:r>
    </w:p>
  </w:endnote>
  <w:endnote w:type="continuationSeparator" w:id="0">
    <w:p w14:paraId="0041A56A" w14:textId="77777777" w:rsidR="007C0281" w:rsidRDefault="007C0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984DF" w14:textId="40D62286" w:rsidR="00CF488A" w:rsidRDefault="00CF488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2E723" w14:textId="77777777" w:rsidR="007C0281" w:rsidRDefault="007C0281">
      <w:pPr>
        <w:spacing w:after="0" w:line="240" w:lineRule="auto"/>
      </w:pPr>
      <w:r>
        <w:separator/>
      </w:r>
    </w:p>
  </w:footnote>
  <w:footnote w:type="continuationSeparator" w:id="0">
    <w:p w14:paraId="44839A24" w14:textId="77777777" w:rsidR="007C0281" w:rsidRDefault="007C02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AFA56" w14:textId="6E936926" w:rsidR="00CF488A" w:rsidRDefault="00CF488A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2284112">
    <w:abstractNumId w:val="8"/>
  </w:num>
  <w:num w:numId="2" w16cid:durableId="258148322">
    <w:abstractNumId w:val="6"/>
  </w:num>
  <w:num w:numId="3" w16cid:durableId="326986086">
    <w:abstractNumId w:val="5"/>
  </w:num>
  <w:num w:numId="4" w16cid:durableId="1211578851">
    <w:abstractNumId w:val="4"/>
  </w:num>
  <w:num w:numId="5" w16cid:durableId="525482278">
    <w:abstractNumId w:val="7"/>
  </w:num>
  <w:num w:numId="6" w16cid:durableId="778842096">
    <w:abstractNumId w:val="3"/>
  </w:num>
  <w:num w:numId="7" w16cid:durableId="504713451">
    <w:abstractNumId w:val="2"/>
  </w:num>
  <w:num w:numId="8" w16cid:durableId="1836802255">
    <w:abstractNumId w:val="1"/>
  </w:num>
  <w:num w:numId="9" w16cid:durableId="975379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C0281"/>
    <w:rsid w:val="00A830CF"/>
    <w:rsid w:val="00AA1D8D"/>
    <w:rsid w:val="00B47730"/>
    <w:rsid w:val="00B62A83"/>
    <w:rsid w:val="00BC30D3"/>
    <w:rsid w:val="00CB0664"/>
    <w:rsid w:val="00CF488A"/>
    <w:rsid w:val="00F932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C8C9E4"/>
  <w14:defaultImageDpi w14:val="300"/>
  <w15:docId w15:val="{63F518D7-7D68-45C9-BCE7-8582FE150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22222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728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298</Words>
  <Characters>1954</Characters>
  <Application>Microsoft Office Word</Application>
  <DocSecurity>0</DocSecurity>
  <Lines>65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Bailly, Hayden</dc:creator>
  <cp:keywords/>
  <dc:description>generated by python-docx</dc:description>
  <cp:lastModifiedBy>Bailly, Hayden</cp:lastModifiedBy>
  <cp:revision>4</cp:revision>
  <dcterms:created xsi:type="dcterms:W3CDTF">2026-10-13T19:21:00Z</dcterms:created>
  <dcterms:modified xsi:type="dcterms:W3CDTF">2026-10-13T19:24:00Z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9954af-3d4d-4e34-b6d3-a2c1aff7c6fb_Enabled">
    <vt:lpwstr>true</vt:lpwstr>
  </property>
  <property fmtid="{D5CDD505-2E9C-101B-9397-08002B2CF9AE}" pid="3" name="MSIP_Label_419954af-3d4d-4e34-b6d3-a2c1aff7c6fb_SetDate">
    <vt:lpwstr>2026-10-13T19:05:25Z</vt:lpwstr>
  </property>
  <property fmtid="{D5CDD505-2E9C-101B-9397-08002B2CF9AE}" pid="4" name="MSIP_Label_419954af-3d4d-4e34-b6d3-a2c1aff7c6fb_Method">
    <vt:lpwstr>Privileged</vt:lpwstr>
  </property>
  <property fmtid="{D5CDD505-2E9C-101B-9397-08002B2CF9AE}" pid="5" name="MSIP_Label_419954af-3d4d-4e34-b6d3-a2c1aff7c6fb_Name">
    <vt:lpwstr>defa4170-0d19-0005-0004-bc88714345d2</vt:lpwstr>
  </property>
  <property fmtid="{D5CDD505-2E9C-101B-9397-08002B2CF9AE}" pid="6" name="MSIP_Label_419954af-3d4d-4e34-b6d3-a2c1aff7c6fb_SiteId">
    <vt:lpwstr>7d76d45a-a201-4a68-bf3a-597f0a5fa533</vt:lpwstr>
  </property>
  <property fmtid="{D5CDD505-2E9C-101B-9397-08002B2CF9AE}" pid="7" name="MSIP_Label_419954af-3d4d-4e34-b6d3-a2c1aff7c6fb_ActionId">
    <vt:lpwstr>6645fb21-3f20-4744-ad48-9d8ca7294bf8</vt:lpwstr>
  </property>
  <property fmtid="{D5CDD505-2E9C-101B-9397-08002B2CF9AE}" pid="8" name="MSIP_Label_419954af-3d4d-4e34-b6d3-a2c1aff7c6fb_ContentBits">
    <vt:lpwstr>0</vt:lpwstr>
  </property>
</Properties>
</file>