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4F03A" w14:textId="77777777" w:rsidR="00022F87" w:rsidRPr="00BD5C51" w:rsidRDefault="00000000">
      <w:pPr>
        <w:pStyle w:val="Title"/>
        <w:spacing w:after="40"/>
        <w:rPr>
          <w:rFonts w:ascii="Aptos" w:hAnsi="Aptos"/>
          <w:color w:val="auto"/>
        </w:rPr>
      </w:pPr>
      <w:r w:rsidRPr="00BD5C51">
        <w:rPr>
          <w:rFonts w:ascii="Aptos" w:hAnsi="Aptos"/>
          <w:color w:val="auto"/>
        </w:rPr>
        <w:t>Evidence and Lessons Learned</w:t>
      </w:r>
    </w:p>
    <w:p w14:paraId="1E10C8EC" w14:textId="77777777" w:rsidR="00022F87" w:rsidRPr="00BD5C51" w:rsidRDefault="00000000">
      <w:pPr>
        <w:spacing w:after="160"/>
        <w:rPr>
          <w:color w:val="auto"/>
        </w:rPr>
      </w:pPr>
      <w:r w:rsidRPr="00BD5C51">
        <w:rPr>
          <w:b/>
          <w:color w:val="auto"/>
          <w:sz w:val="20"/>
        </w:rPr>
        <w:t>FinanceGuard AI Governance and Compliance Portfolio</w:t>
      </w:r>
    </w:p>
    <w:p w14:paraId="76B1CBEE" w14:textId="22C28FE1" w:rsidR="00BD5C51" w:rsidRPr="00BD5C51" w:rsidRDefault="00BD5C51" w:rsidP="00BD5C51">
      <w:pPr>
        <w:pStyle w:val="Heading1"/>
        <w:rPr>
          <w:rFonts w:ascii="Aptos" w:hAnsi="Aptos"/>
          <w:b w:val="0"/>
          <w:bCs w:val="0"/>
          <w:color w:val="auto"/>
        </w:rPr>
      </w:pPr>
      <w:r w:rsidRPr="00BD5C51">
        <w:rPr>
          <w:rFonts w:ascii="Aptos" w:hAnsi="Aptos"/>
          <w:color w:val="auto"/>
        </w:rPr>
        <w:t>Purpose</w:t>
      </w:r>
    </w:p>
    <w:p w14:paraId="1DE95762" w14:textId="77777777" w:rsidR="00BD5C51" w:rsidRPr="00BD5C51" w:rsidRDefault="00BD5C51" w:rsidP="00BD5C51">
      <w:pPr>
        <w:spacing w:after="0"/>
        <w:rPr>
          <w:color w:val="auto"/>
        </w:rPr>
      </w:pPr>
    </w:p>
    <w:p w14:paraId="1DD45AF3" w14:textId="46DF8AB4" w:rsidR="00BD5C51" w:rsidRPr="00BD5C51" w:rsidRDefault="00BD5C51" w:rsidP="00BD5C51">
      <w:pPr>
        <w:rPr>
          <w:color w:val="auto"/>
        </w:rPr>
      </w:pPr>
      <w:r w:rsidRPr="00BD5C51">
        <w:rPr>
          <w:color w:val="auto"/>
          <w:sz w:val="17"/>
        </w:rPr>
        <w:t>This companion artifact shows what evidence would support the portfolio’s control conclusions, how that evidence should be evaluated, and what the team learned from building a traceable executive governance package.</w:t>
      </w:r>
    </w:p>
    <w:p w14:paraId="122CFA38" w14:textId="77777777" w:rsidR="00022F87" w:rsidRPr="00BD5C51" w:rsidRDefault="00000000">
      <w:pPr>
        <w:pStyle w:val="Heading1"/>
        <w:rPr>
          <w:rFonts w:ascii="Aptos" w:hAnsi="Aptos"/>
          <w:color w:val="auto"/>
        </w:rPr>
      </w:pPr>
      <w:r w:rsidRPr="00BD5C51">
        <w:rPr>
          <w:rFonts w:ascii="Aptos" w:hAnsi="Aptos"/>
          <w:color w:val="auto"/>
        </w:rPr>
        <w:t>Sample Evidence Register</w:t>
      </w:r>
    </w:p>
    <w:tbl>
      <w:tblPr>
        <w:tblW w:w="11520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2304"/>
        <w:gridCol w:w="2304"/>
        <w:gridCol w:w="2304"/>
        <w:gridCol w:w="2304"/>
      </w:tblGrid>
      <w:tr w:rsidR="00022F87" w:rsidRPr="00BD5C51" w14:paraId="2BF4983A" w14:textId="77777777" w:rsidTr="00BD5C51">
        <w:trPr>
          <w:jc w:val="center"/>
        </w:trPr>
        <w:tc>
          <w:tcPr>
            <w:tcW w:w="2304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87F5E2" w14:textId="77777777" w:rsidR="00022F87" w:rsidRPr="00BD5C51" w:rsidRDefault="00000000">
            <w:pPr>
              <w:rPr>
                <w:color w:val="auto"/>
              </w:rPr>
            </w:pPr>
            <w:r w:rsidRPr="00BD5C51">
              <w:rPr>
                <w:b/>
                <w:color w:val="auto"/>
                <w:sz w:val="15"/>
              </w:rPr>
              <w:t>Evidence ID</w:t>
            </w:r>
          </w:p>
        </w:tc>
        <w:tc>
          <w:tcPr>
            <w:tcW w:w="2304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F0BA24" w14:textId="77777777" w:rsidR="00022F87" w:rsidRPr="00BD5C51" w:rsidRDefault="00000000">
            <w:pPr>
              <w:rPr>
                <w:color w:val="auto"/>
              </w:rPr>
            </w:pPr>
            <w:r w:rsidRPr="00BD5C51">
              <w:rPr>
                <w:b/>
                <w:color w:val="auto"/>
                <w:sz w:val="15"/>
              </w:rPr>
              <w:t>Sample artifact</w:t>
            </w:r>
          </w:p>
        </w:tc>
        <w:tc>
          <w:tcPr>
            <w:tcW w:w="2304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21C527" w14:textId="77777777" w:rsidR="00022F87" w:rsidRPr="00BD5C51" w:rsidRDefault="00000000">
            <w:pPr>
              <w:rPr>
                <w:color w:val="auto"/>
              </w:rPr>
            </w:pPr>
            <w:r w:rsidRPr="00BD5C51">
              <w:rPr>
                <w:b/>
                <w:color w:val="auto"/>
                <w:sz w:val="15"/>
              </w:rPr>
              <w:t>Linked requirement</w:t>
            </w:r>
          </w:p>
        </w:tc>
        <w:tc>
          <w:tcPr>
            <w:tcW w:w="2304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954D5A" w14:textId="77777777" w:rsidR="00022F87" w:rsidRPr="00BD5C51" w:rsidRDefault="00000000">
            <w:pPr>
              <w:rPr>
                <w:color w:val="auto"/>
              </w:rPr>
            </w:pPr>
            <w:r w:rsidRPr="00BD5C51">
              <w:rPr>
                <w:b/>
                <w:color w:val="auto"/>
                <w:sz w:val="15"/>
              </w:rPr>
              <w:t>Evaluation notes</w:t>
            </w:r>
          </w:p>
        </w:tc>
        <w:tc>
          <w:tcPr>
            <w:tcW w:w="2304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C523A0" w14:textId="77777777" w:rsidR="00022F87" w:rsidRPr="00BD5C51" w:rsidRDefault="00000000">
            <w:pPr>
              <w:rPr>
                <w:color w:val="auto"/>
              </w:rPr>
            </w:pPr>
            <w:r w:rsidRPr="00BD5C51">
              <w:rPr>
                <w:b/>
                <w:color w:val="auto"/>
                <w:sz w:val="15"/>
              </w:rPr>
              <w:t>Current result</w:t>
            </w:r>
          </w:p>
        </w:tc>
      </w:tr>
      <w:tr w:rsidR="00022F87" w:rsidRPr="00BD5C51" w14:paraId="474925C8" w14:textId="77777777" w:rsidTr="00BD5C51">
        <w:trPr>
          <w:jc w:val="center"/>
        </w:trPr>
        <w:tc>
          <w:tcPr>
            <w:tcW w:w="2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80C083" w14:textId="77777777" w:rsidR="00022F87" w:rsidRPr="00BD5C51" w:rsidRDefault="00000000">
            <w:pPr>
              <w:spacing w:after="0" w:line="240" w:lineRule="auto"/>
              <w:rPr>
                <w:color w:val="auto"/>
              </w:rPr>
            </w:pPr>
            <w:r w:rsidRPr="00BD5C51">
              <w:rPr>
                <w:b/>
                <w:color w:val="auto"/>
                <w:sz w:val="14"/>
              </w:rPr>
              <w:t>EV-01</w:t>
            </w:r>
          </w:p>
        </w:tc>
        <w:tc>
          <w:tcPr>
            <w:tcW w:w="2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663A75" w14:textId="77777777" w:rsidR="00022F87" w:rsidRPr="00BD5C51" w:rsidRDefault="00000000">
            <w:pPr>
              <w:spacing w:after="0" w:line="240" w:lineRule="auto"/>
              <w:rPr>
                <w:color w:val="auto"/>
              </w:rPr>
            </w:pPr>
            <w:r w:rsidRPr="00BD5C51">
              <w:rPr>
                <w:color w:val="auto"/>
                <w:sz w:val="14"/>
              </w:rPr>
              <w:t>Approved data inventory and lineage map showing PII sources, transformations, storage locations, subprocessors, and deletion points.</w:t>
            </w:r>
          </w:p>
        </w:tc>
        <w:tc>
          <w:tcPr>
            <w:tcW w:w="2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DD5E51" w14:textId="77777777" w:rsidR="00022F87" w:rsidRPr="00BD5C51" w:rsidRDefault="00000000">
            <w:pPr>
              <w:spacing w:after="0" w:line="240" w:lineRule="auto"/>
              <w:rPr>
                <w:color w:val="auto"/>
              </w:rPr>
            </w:pPr>
            <w:r w:rsidRPr="00BD5C51">
              <w:rPr>
                <w:color w:val="auto"/>
                <w:sz w:val="14"/>
              </w:rPr>
              <w:t>GAP-01; ISO A.5.2; SOC 2 CC7.1</w:t>
            </w:r>
          </w:p>
        </w:tc>
        <w:tc>
          <w:tcPr>
            <w:tcW w:w="2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780BA9" w14:textId="77777777" w:rsidR="00022F87" w:rsidRPr="00BD5C51" w:rsidRDefault="00000000">
            <w:pPr>
              <w:spacing w:after="0" w:line="240" w:lineRule="auto"/>
              <w:rPr>
                <w:color w:val="auto"/>
              </w:rPr>
            </w:pPr>
            <w:r w:rsidRPr="00BD5C51">
              <w:rPr>
                <w:color w:val="auto"/>
                <w:sz w:val="14"/>
              </w:rPr>
              <w:t>Accept only if scope covers on-premises and cloud flows, owners approve the record, and sampled records reconcile to deletion logs. A policy alone does not prove operation.</w:t>
            </w:r>
          </w:p>
        </w:tc>
        <w:tc>
          <w:tcPr>
            <w:tcW w:w="2304" w:type="dxa"/>
            <w:shd w:val="clear" w:color="auto" w:fill="C0000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64421C" w14:textId="77777777" w:rsidR="00022F87" w:rsidRPr="00BD5C51" w:rsidRDefault="00000000">
            <w:pPr>
              <w:spacing w:after="0" w:line="240" w:lineRule="auto"/>
              <w:rPr>
                <w:color w:val="auto"/>
              </w:rPr>
            </w:pPr>
            <w:r w:rsidRPr="00BD5C51">
              <w:rPr>
                <w:b/>
                <w:color w:val="auto"/>
                <w:sz w:val="14"/>
              </w:rPr>
              <w:t>Fail</w:t>
            </w:r>
          </w:p>
        </w:tc>
      </w:tr>
      <w:tr w:rsidR="00022F87" w:rsidRPr="00BD5C51" w14:paraId="54C45007" w14:textId="77777777" w:rsidTr="00BD5C51">
        <w:trPr>
          <w:jc w:val="center"/>
        </w:trPr>
        <w:tc>
          <w:tcPr>
            <w:tcW w:w="2304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3B3BED" w14:textId="77777777" w:rsidR="00022F87" w:rsidRPr="00BD5C51" w:rsidRDefault="00000000">
            <w:pPr>
              <w:spacing w:after="0" w:line="240" w:lineRule="auto"/>
              <w:rPr>
                <w:color w:val="auto"/>
              </w:rPr>
            </w:pPr>
            <w:r w:rsidRPr="00BD5C51">
              <w:rPr>
                <w:b/>
                <w:color w:val="auto"/>
                <w:sz w:val="14"/>
              </w:rPr>
              <w:t>EV-02</w:t>
            </w:r>
          </w:p>
        </w:tc>
        <w:tc>
          <w:tcPr>
            <w:tcW w:w="2304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76DDDE" w14:textId="77777777" w:rsidR="00022F87" w:rsidRPr="00BD5C51" w:rsidRDefault="00000000">
            <w:pPr>
              <w:spacing w:after="0" w:line="240" w:lineRule="auto"/>
              <w:rPr>
                <w:color w:val="auto"/>
              </w:rPr>
            </w:pPr>
            <w:r w:rsidRPr="00BD5C51">
              <w:rPr>
                <w:color w:val="auto"/>
                <w:sz w:val="14"/>
              </w:rPr>
              <w:t>API gateway configuration export, prompt/response log samples, alert rules, review tickets, and retention settings.</w:t>
            </w:r>
          </w:p>
        </w:tc>
        <w:tc>
          <w:tcPr>
            <w:tcW w:w="2304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2A87A1" w14:textId="77777777" w:rsidR="00022F87" w:rsidRPr="00BD5C51" w:rsidRDefault="00000000">
            <w:pPr>
              <w:spacing w:after="0" w:line="240" w:lineRule="auto"/>
              <w:rPr>
                <w:color w:val="auto"/>
              </w:rPr>
            </w:pPr>
            <w:r w:rsidRPr="00BD5C51">
              <w:rPr>
                <w:color w:val="auto"/>
                <w:sz w:val="14"/>
              </w:rPr>
              <w:t>GAP-02; ISO A.6.2</w:t>
            </w:r>
          </w:p>
        </w:tc>
        <w:tc>
          <w:tcPr>
            <w:tcW w:w="2304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A2209A" w14:textId="77777777" w:rsidR="00022F87" w:rsidRPr="00BD5C51" w:rsidRDefault="00000000">
            <w:pPr>
              <w:spacing w:after="0" w:line="240" w:lineRule="auto"/>
              <w:rPr>
                <w:color w:val="auto"/>
              </w:rPr>
            </w:pPr>
            <w:r w:rsidRPr="00BD5C51">
              <w:rPr>
                <w:color w:val="auto"/>
                <w:sz w:val="14"/>
              </w:rPr>
              <w:t>Verify all production endpoints are covered, alerts are actionable, reviews occur at the required cadence, and exceptions generate tracked remediation.</w:t>
            </w:r>
          </w:p>
        </w:tc>
        <w:tc>
          <w:tcPr>
            <w:tcW w:w="2304" w:type="dxa"/>
            <w:shd w:val="clear" w:color="auto" w:fill="BF8F0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C98A1D" w14:textId="77777777" w:rsidR="00022F87" w:rsidRPr="00BD5C51" w:rsidRDefault="00000000">
            <w:pPr>
              <w:spacing w:after="0" w:line="240" w:lineRule="auto"/>
              <w:rPr>
                <w:color w:val="auto"/>
              </w:rPr>
            </w:pPr>
            <w:r w:rsidRPr="00BD5C51">
              <w:rPr>
                <w:b/>
                <w:color w:val="auto"/>
                <w:sz w:val="14"/>
              </w:rPr>
              <w:t>Partial</w:t>
            </w:r>
          </w:p>
        </w:tc>
      </w:tr>
      <w:tr w:rsidR="00022F87" w:rsidRPr="00BD5C51" w14:paraId="6AB9BCA9" w14:textId="77777777" w:rsidTr="00BD5C51">
        <w:trPr>
          <w:jc w:val="center"/>
        </w:trPr>
        <w:tc>
          <w:tcPr>
            <w:tcW w:w="2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3F000D" w14:textId="77777777" w:rsidR="00022F87" w:rsidRPr="00BD5C51" w:rsidRDefault="00000000">
            <w:pPr>
              <w:spacing w:after="0" w:line="240" w:lineRule="auto"/>
              <w:rPr>
                <w:color w:val="auto"/>
              </w:rPr>
            </w:pPr>
            <w:r w:rsidRPr="00BD5C51">
              <w:rPr>
                <w:b/>
                <w:color w:val="auto"/>
                <w:sz w:val="14"/>
              </w:rPr>
              <w:t>EV-03</w:t>
            </w:r>
          </w:p>
        </w:tc>
        <w:tc>
          <w:tcPr>
            <w:tcW w:w="2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F1AE97" w14:textId="77777777" w:rsidR="00022F87" w:rsidRPr="00BD5C51" w:rsidRDefault="00000000">
            <w:pPr>
              <w:spacing w:after="0" w:line="240" w:lineRule="auto"/>
              <w:rPr>
                <w:color w:val="auto"/>
              </w:rPr>
            </w:pPr>
            <w:r w:rsidRPr="00BD5C51">
              <w:rPr>
                <w:color w:val="auto"/>
                <w:sz w:val="14"/>
              </w:rPr>
              <w:t>AI system impact assessment with privacy, fairness, safety, stakeholder, and regulatory analysis plus approved treatment actions.</w:t>
            </w:r>
          </w:p>
        </w:tc>
        <w:tc>
          <w:tcPr>
            <w:tcW w:w="2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C3B5B7" w14:textId="77777777" w:rsidR="00022F87" w:rsidRPr="00BD5C51" w:rsidRDefault="00000000">
            <w:pPr>
              <w:spacing w:after="0" w:line="240" w:lineRule="auto"/>
              <w:rPr>
                <w:color w:val="auto"/>
              </w:rPr>
            </w:pPr>
            <w:r w:rsidRPr="00BD5C51">
              <w:rPr>
                <w:color w:val="auto"/>
                <w:sz w:val="14"/>
              </w:rPr>
              <w:t>GAP-03; ISO A.7.2; Clause 6.1.2</w:t>
            </w:r>
          </w:p>
        </w:tc>
        <w:tc>
          <w:tcPr>
            <w:tcW w:w="2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1F05AD" w14:textId="77777777" w:rsidR="00022F87" w:rsidRPr="00BD5C51" w:rsidRDefault="00000000">
            <w:pPr>
              <w:spacing w:after="0" w:line="240" w:lineRule="auto"/>
              <w:rPr>
                <w:color w:val="auto"/>
              </w:rPr>
            </w:pPr>
            <w:r w:rsidRPr="00BD5C51">
              <w:rPr>
                <w:color w:val="auto"/>
                <w:sz w:val="14"/>
              </w:rPr>
              <w:t>Confirm the assessment matches the deployed use case, identifies affected stakeholders, assigns risk owners, and is approved before expansion.</w:t>
            </w:r>
          </w:p>
        </w:tc>
        <w:tc>
          <w:tcPr>
            <w:tcW w:w="2304" w:type="dxa"/>
            <w:shd w:val="clear" w:color="auto" w:fill="C0000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29694E" w14:textId="77777777" w:rsidR="00022F87" w:rsidRPr="00BD5C51" w:rsidRDefault="00000000">
            <w:pPr>
              <w:spacing w:after="0" w:line="240" w:lineRule="auto"/>
              <w:rPr>
                <w:color w:val="auto"/>
              </w:rPr>
            </w:pPr>
            <w:r w:rsidRPr="00BD5C51">
              <w:rPr>
                <w:b/>
                <w:color w:val="auto"/>
                <w:sz w:val="14"/>
              </w:rPr>
              <w:t>Fail</w:t>
            </w:r>
          </w:p>
        </w:tc>
      </w:tr>
      <w:tr w:rsidR="00022F87" w:rsidRPr="00BD5C51" w14:paraId="628E1FA5" w14:textId="77777777" w:rsidTr="00BD5C51">
        <w:trPr>
          <w:jc w:val="center"/>
        </w:trPr>
        <w:tc>
          <w:tcPr>
            <w:tcW w:w="2304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878BBD" w14:textId="77777777" w:rsidR="00022F87" w:rsidRPr="00BD5C51" w:rsidRDefault="00000000">
            <w:pPr>
              <w:spacing w:after="0" w:line="240" w:lineRule="auto"/>
              <w:rPr>
                <w:color w:val="auto"/>
              </w:rPr>
            </w:pPr>
            <w:r w:rsidRPr="00BD5C51">
              <w:rPr>
                <w:b/>
                <w:color w:val="auto"/>
                <w:sz w:val="14"/>
              </w:rPr>
              <w:t>EV-04</w:t>
            </w:r>
          </w:p>
        </w:tc>
        <w:tc>
          <w:tcPr>
            <w:tcW w:w="2304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08C486" w14:textId="77777777" w:rsidR="00022F87" w:rsidRPr="00BD5C51" w:rsidRDefault="00000000">
            <w:pPr>
              <w:spacing w:after="0" w:line="240" w:lineRule="auto"/>
              <w:rPr>
                <w:color w:val="auto"/>
              </w:rPr>
            </w:pPr>
            <w:r w:rsidRPr="00BD5C51">
              <w:rPr>
                <w:color w:val="auto"/>
                <w:sz w:val="14"/>
              </w:rPr>
              <w:t>Vulnerability assessment, prompt-injection and adversarial test results, RBAC review, model-weight change log, and closure tickets.</w:t>
            </w:r>
          </w:p>
        </w:tc>
        <w:tc>
          <w:tcPr>
            <w:tcW w:w="2304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68340D" w14:textId="77777777" w:rsidR="00022F87" w:rsidRPr="00BD5C51" w:rsidRDefault="00000000">
            <w:pPr>
              <w:spacing w:after="0" w:line="240" w:lineRule="auto"/>
              <w:rPr>
                <w:color w:val="auto"/>
              </w:rPr>
            </w:pPr>
            <w:r w:rsidRPr="00BD5C51">
              <w:rPr>
                <w:color w:val="auto"/>
                <w:sz w:val="14"/>
              </w:rPr>
              <w:t>ISO A.8.3; SOC 2 CC6.1 and CC6.3</w:t>
            </w:r>
          </w:p>
        </w:tc>
        <w:tc>
          <w:tcPr>
            <w:tcW w:w="2304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A1BBBA" w14:textId="77777777" w:rsidR="00022F87" w:rsidRPr="00BD5C51" w:rsidRDefault="00000000">
            <w:pPr>
              <w:spacing w:after="0" w:line="240" w:lineRule="auto"/>
              <w:rPr>
                <w:color w:val="auto"/>
              </w:rPr>
            </w:pPr>
            <w:r w:rsidRPr="00BD5C51">
              <w:rPr>
                <w:color w:val="auto"/>
                <w:sz w:val="14"/>
              </w:rPr>
              <w:t>Testing must cover hybrid-cloud endpoints and model-specific threats. Open high-risk findings or missing retest evidence prevent a Pass.</w:t>
            </w:r>
          </w:p>
        </w:tc>
        <w:tc>
          <w:tcPr>
            <w:tcW w:w="2304" w:type="dxa"/>
            <w:shd w:val="clear" w:color="auto" w:fill="BF8F0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ABA2B7" w14:textId="77777777" w:rsidR="00022F87" w:rsidRPr="00BD5C51" w:rsidRDefault="00000000">
            <w:pPr>
              <w:spacing w:after="0" w:line="240" w:lineRule="auto"/>
              <w:rPr>
                <w:color w:val="auto"/>
              </w:rPr>
            </w:pPr>
            <w:r w:rsidRPr="00BD5C51">
              <w:rPr>
                <w:b/>
                <w:color w:val="auto"/>
                <w:sz w:val="14"/>
              </w:rPr>
              <w:t>Partial</w:t>
            </w:r>
          </w:p>
        </w:tc>
      </w:tr>
      <w:tr w:rsidR="00022F87" w:rsidRPr="00BD5C51" w14:paraId="59782BEA" w14:textId="77777777" w:rsidTr="00BD5C51">
        <w:trPr>
          <w:jc w:val="center"/>
        </w:trPr>
        <w:tc>
          <w:tcPr>
            <w:tcW w:w="2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60DCA1" w14:textId="77777777" w:rsidR="00022F87" w:rsidRPr="00BD5C51" w:rsidRDefault="00000000">
            <w:pPr>
              <w:spacing w:after="0" w:line="240" w:lineRule="auto"/>
              <w:rPr>
                <w:color w:val="auto"/>
              </w:rPr>
            </w:pPr>
            <w:r w:rsidRPr="00BD5C51">
              <w:rPr>
                <w:b/>
                <w:color w:val="auto"/>
                <w:sz w:val="14"/>
              </w:rPr>
              <w:t>EV-05</w:t>
            </w:r>
          </w:p>
        </w:tc>
        <w:tc>
          <w:tcPr>
            <w:tcW w:w="2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FCBE3D" w14:textId="77777777" w:rsidR="00022F87" w:rsidRPr="00BD5C51" w:rsidRDefault="00000000">
            <w:pPr>
              <w:spacing w:after="0" w:line="240" w:lineRule="auto"/>
              <w:rPr>
                <w:color w:val="auto"/>
              </w:rPr>
            </w:pPr>
            <w:r w:rsidRPr="00BD5C51">
              <w:rPr>
                <w:color w:val="auto"/>
                <w:sz w:val="14"/>
              </w:rPr>
              <w:t>Approved model card, intended-use limits, prohibited uses, human-review criteria, analyst training, and acknowledgements.</w:t>
            </w:r>
          </w:p>
        </w:tc>
        <w:tc>
          <w:tcPr>
            <w:tcW w:w="2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1B1B61" w14:textId="77777777" w:rsidR="00022F87" w:rsidRPr="00BD5C51" w:rsidRDefault="00000000">
            <w:pPr>
              <w:spacing w:after="0" w:line="240" w:lineRule="auto"/>
              <w:rPr>
                <w:color w:val="auto"/>
              </w:rPr>
            </w:pPr>
            <w:r w:rsidRPr="00BD5C51">
              <w:rPr>
                <w:color w:val="auto"/>
                <w:sz w:val="14"/>
              </w:rPr>
              <w:t>GAP-03; ISO A.9.2</w:t>
            </w:r>
          </w:p>
        </w:tc>
        <w:tc>
          <w:tcPr>
            <w:tcW w:w="2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F628EF" w14:textId="77777777" w:rsidR="00022F87" w:rsidRPr="00BD5C51" w:rsidRDefault="00000000">
            <w:pPr>
              <w:spacing w:after="0" w:line="240" w:lineRule="auto"/>
              <w:rPr>
                <w:color w:val="auto"/>
              </w:rPr>
            </w:pPr>
            <w:r w:rsidRPr="00BD5C51">
              <w:rPr>
                <w:color w:val="auto"/>
                <w:sz w:val="14"/>
              </w:rPr>
              <w:t>Check that limitations are specific, users understand escalation requirements, and training completion is retained for the full authorized population.</w:t>
            </w:r>
          </w:p>
        </w:tc>
        <w:tc>
          <w:tcPr>
            <w:tcW w:w="2304" w:type="dxa"/>
            <w:shd w:val="clear" w:color="auto" w:fill="BF8F0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8D4AB7" w14:textId="77777777" w:rsidR="00022F87" w:rsidRPr="00BD5C51" w:rsidRDefault="00000000">
            <w:pPr>
              <w:spacing w:after="0" w:line="240" w:lineRule="auto"/>
              <w:rPr>
                <w:color w:val="auto"/>
              </w:rPr>
            </w:pPr>
            <w:r w:rsidRPr="00BD5C51">
              <w:rPr>
                <w:b/>
                <w:color w:val="auto"/>
                <w:sz w:val="14"/>
              </w:rPr>
              <w:t>Partial</w:t>
            </w:r>
          </w:p>
        </w:tc>
      </w:tr>
      <w:tr w:rsidR="00022F87" w:rsidRPr="00BD5C51" w14:paraId="6B1BEFDE" w14:textId="77777777" w:rsidTr="00BD5C51">
        <w:trPr>
          <w:jc w:val="center"/>
        </w:trPr>
        <w:tc>
          <w:tcPr>
            <w:tcW w:w="2304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399D40" w14:textId="77777777" w:rsidR="00022F87" w:rsidRPr="00BD5C51" w:rsidRDefault="00000000">
            <w:pPr>
              <w:spacing w:after="0" w:line="240" w:lineRule="auto"/>
              <w:rPr>
                <w:color w:val="auto"/>
              </w:rPr>
            </w:pPr>
            <w:r w:rsidRPr="00BD5C51">
              <w:rPr>
                <w:b/>
                <w:color w:val="auto"/>
                <w:sz w:val="14"/>
              </w:rPr>
              <w:t>EV-06</w:t>
            </w:r>
          </w:p>
        </w:tc>
        <w:tc>
          <w:tcPr>
            <w:tcW w:w="2304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529A03" w14:textId="77777777" w:rsidR="00022F87" w:rsidRPr="00BD5C51" w:rsidRDefault="00000000">
            <w:pPr>
              <w:spacing w:after="0" w:line="240" w:lineRule="auto"/>
              <w:rPr>
                <w:color w:val="auto"/>
              </w:rPr>
            </w:pPr>
            <w:r w:rsidRPr="00BD5C51">
              <w:rPr>
                <w:color w:val="auto"/>
                <w:sz w:val="14"/>
              </w:rPr>
              <w:t>Steering Committee decision record, exception register, remediation plan, milestone reporting, and written CISO residual-risk acceptance.</w:t>
            </w:r>
          </w:p>
        </w:tc>
        <w:tc>
          <w:tcPr>
            <w:tcW w:w="2304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EB1F03" w14:textId="77777777" w:rsidR="00022F87" w:rsidRPr="00BD5C51" w:rsidRDefault="00000000">
            <w:pPr>
              <w:spacing w:after="0" w:line="240" w:lineRule="auto"/>
              <w:rPr>
                <w:color w:val="auto"/>
              </w:rPr>
            </w:pPr>
            <w:r w:rsidRPr="00BD5C51">
              <w:rPr>
                <w:color w:val="auto"/>
                <w:sz w:val="14"/>
              </w:rPr>
              <w:t>RACI; executive decision gate</w:t>
            </w:r>
          </w:p>
        </w:tc>
        <w:tc>
          <w:tcPr>
            <w:tcW w:w="2304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11793A" w14:textId="77777777" w:rsidR="00022F87" w:rsidRPr="00BD5C51" w:rsidRDefault="00000000">
            <w:pPr>
              <w:spacing w:after="0" w:line="240" w:lineRule="auto"/>
              <w:rPr>
                <w:color w:val="auto"/>
              </w:rPr>
            </w:pPr>
            <w:r w:rsidRPr="00BD5C51">
              <w:rPr>
                <w:color w:val="auto"/>
                <w:sz w:val="14"/>
              </w:rPr>
              <w:t>Evidence must show one decision owner, time-bound conditions, named action owners, closure criteria, and escalation for overdue High risks.</w:t>
            </w:r>
          </w:p>
        </w:tc>
        <w:tc>
          <w:tcPr>
            <w:tcW w:w="2304" w:type="dxa"/>
            <w:shd w:val="clear" w:color="auto" w:fill="BF8F0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647652" w14:textId="77777777" w:rsidR="00022F87" w:rsidRPr="00BD5C51" w:rsidRDefault="00000000">
            <w:pPr>
              <w:spacing w:after="0" w:line="240" w:lineRule="auto"/>
              <w:rPr>
                <w:color w:val="auto"/>
              </w:rPr>
            </w:pPr>
            <w:r w:rsidRPr="00BD5C51">
              <w:rPr>
                <w:b/>
                <w:color w:val="auto"/>
                <w:sz w:val="14"/>
              </w:rPr>
              <w:t>Required before scaling</w:t>
            </w:r>
          </w:p>
        </w:tc>
      </w:tr>
    </w:tbl>
    <w:p w14:paraId="29CE0DD0" w14:textId="77777777" w:rsidR="00022F87" w:rsidRPr="00BD5C51" w:rsidRDefault="00000000">
      <w:pPr>
        <w:pStyle w:val="Heading1"/>
        <w:rPr>
          <w:rFonts w:ascii="Aptos" w:hAnsi="Aptos"/>
          <w:color w:val="auto"/>
        </w:rPr>
      </w:pPr>
      <w:r w:rsidRPr="00BD5C51">
        <w:rPr>
          <w:rFonts w:ascii="Aptos" w:hAnsi="Aptos"/>
          <w:color w:val="auto"/>
        </w:rPr>
        <w:t>Evidence Evaluation Notes</w:t>
      </w:r>
    </w:p>
    <w:p w14:paraId="60F4A945" w14:textId="77777777" w:rsidR="00022F87" w:rsidRPr="00BD5C51" w:rsidRDefault="00000000">
      <w:pPr>
        <w:spacing w:after="60"/>
        <w:rPr>
          <w:color w:val="auto"/>
        </w:rPr>
      </w:pPr>
      <w:r w:rsidRPr="00BD5C51">
        <w:rPr>
          <w:b/>
          <w:color w:val="auto"/>
        </w:rPr>
        <w:t xml:space="preserve">Relevance: </w:t>
      </w:r>
      <w:r w:rsidRPr="00BD5C51">
        <w:rPr>
          <w:color w:val="auto"/>
        </w:rPr>
        <w:t>The artifact must directly support the stated control and the deployed FinanceGuard AI use case, not a generic enterprise process.</w:t>
      </w:r>
    </w:p>
    <w:p w14:paraId="250EAB90" w14:textId="77777777" w:rsidR="00022F87" w:rsidRPr="00BD5C51" w:rsidRDefault="00000000">
      <w:pPr>
        <w:spacing w:after="60"/>
        <w:rPr>
          <w:color w:val="auto"/>
        </w:rPr>
      </w:pPr>
      <w:r w:rsidRPr="00BD5C51">
        <w:rPr>
          <w:b/>
          <w:color w:val="auto"/>
        </w:rPr>
        <w:t xml:space="preserve">Completeness: </w:t>
      </w:r>
      <w:r w:rsidRPr="00BD5C51">
        <w:rPr>
          <w:color w:val="auto"/>
        </w:rPr>
        <w:t>Evidence must cover the hybrid-cloud boundary, PII-bearing workflows, authorized users, production endpoints, and the review period being asserted.</w:t>
      </w:r>
    </w:p>
    <w:p w14:paraId="3ED87194" w14:textId="77777777" w:rsidR="00022F87" w:rsidRPr="00BD5C51" w:rsidRDefault="00000000">
      <w:pPr>
        <w:spacing w:after="60"/>
        <w:rPr>
          <w:color w:val="auto"/>
        </w:rPr>
      </w:pPr>
      <w:r w:rsidRPr="00BD5C51">
        <w:rPr>
          <w:b/>
          <w:color w:val="auto"/>
        </w:rPr>
        <w:t xml:space="preserve">Reliability: </w:t>
      </w:r>
      <w:r w:rsidRPr="00BD5C51">
        <w:rPr>
          <w:color w:val="auto"/>
        </w:rPr>
        <w:t>Prefer system-generated records, approved configurations, signed assessments, tickets, and test outputs over narrative descriptions or screenshots without provenance.</w:t>
      </w:r>
    </w:p>
    <w:p w14:paraId="108A126F" w14:textId="77777777" w:rsidR="00022F87" w:rsidRPr="00BD5C51" w:rsidRDefault="00000000">
      <w:pPr>
        <w:spacing w:after="60"/>
        <w:rPr>
          <w:color w:val="auto"/>
        </w:rPr>
      </w:pPr>
      <w:r w:rsidRPr="00BD5C51">
        <w:rPr>
          <w:b/>
          <w:color w:val="auto"/>
        </w:rPr>
        <w:t xml:space="preserve">Operating effectiveness: </w:t>
      </w:r>
      <w:r w:rsidRPr="00BD5C51">
        <w:rPr>
          <w:color w:val="auto"/>
        </w:rPr>
        <w:t>Design documentation is insufficient by itself. A Pass requires proof that the control operated, was reviewed, produced exceptions, and drove remediation.</w:t>
      </w:r>
    </w:p>
    <w:p w14:paraId="1BF1F3BC" w14:textId="77777777" w:rsidR="00022F87" w:rsidRPr="00BD5C51" w:rsidRDefault="00000000">
      <w:pPr>
        <w:spacing w:after="60"/>
        <w:rPr>
          <w:color w:val="auto"/>
        </w:rPr>
      </w:pPr>
      <w:r w:rsidRPr="00BD5C51">
        <w:rPr>
          <w:b/>
          <w:color w:val="auto"/>
        </w:rPr>
        <w:lastRenderedPageBreak/>
        <w:t xml:space="preserve">Traceability: </w:t>
      </w:r>
      <w:r w:rsidRPr="00BD5C51">
        <w:rPr>
          <w:color w:val="auto"/>
        </w:rPr>
        <w:t>Each artifact should identify the control, evidence owner, collection date, system/environment, reviewer, result, exception, and linked closure record.</w:t>
      </w:r>
    </w:p>
    <w:p w14:paraId="2C202ABF" w14:textId="77777777" w:rsidR="00022F87" w:rsidRPr="00BD5C51" w:rsidRDefault="00000000">
      <w:pPr>
        <w:spacing w:after="60"/>
        <w:rPr>
          <w:color w:val="auto"/>
        </w:rPr>
      </w:pPr>
      <w:r w:rsidRPr="00BD5C51">
        <w:rPr>
          <w:b/>
          <w:color w:val="auto"/>
        </w:rPr>
        <w:t xml:space="preserve">Decision rule: </w:t>
      </w:r>
      <w:r w:rsidRPr="00BD5C51">
        <w:rPr>
          <w:color w:val="auto"/>
        </w:rPr>
        <w:t>Pass means complete and operating evidence; Partial means control elements exist but coverage, review, or documentation is incomplete; Fail means evidence is absent or the control is fundamentally ineffective.</w:t>
      </w:r>
    </w:p>
    <w:p w14:paraId="6914A4BF" w14:textId="77777777" w:rsidR="00022F87" w:rsidRDefault="00000000">
      <w:pPr>
        <w:pStyle w:val="Heading1"/>
        <w:rPr>
          <w:rFonts w:ascii="Aptos" w:hAnsi="Aptos"/>
          <w:color w:val="auto"/>
        </w:rPr>
      </w:pPr>
      <w:r w:rsidRPr="00BD5C51">
        <w:rPr>
          <w:rFonts w:ascii="Aptos" w:hAnsi="Aptos"/>
          <w:color w:val="auto"/>
        </w:rPr>
        <w:t>Project Retrospective</w:t>
      </w:r>
    </w:p>
    <w:p w14:paraId="6A0B4FDF" w14:textId="77777777" w:rsidR="00BD5C51" w:rsidRPr="00BD5C51" w:rsidRDefault="00BD5C51" w:rsidP="00BD5C51"/>
    <w:p w14:paraId="5B194AD1" w14:textId="51AB8B95" w:rsidR="00BD5C51" w:rsidRPr="00BD5C51" w:rsidRDefault="00BD5C51" w:rsidP="00BD5C51">
      <w:r w:rsidRPr="00BD5C51">
        <w:rPr>
          <w:b/>
          <w:bCs/>
        </w:rPr>
        <w:t>What Worked:</w:t>
      </w:r>
      <w:r w:rsidRPr="00BD5C51">
        <w:t xml:space="preserve"> Using a single system profile and consistent gap IDs kept the RACI, ISO/IEC 42001 matrix, SOC 2 assessment, and executive recommendation aligned.</w:t>
      </w:r>
    </w:p>
    <w:p w14:paraId="745811F5" w14:textId="7CCCCD25" w:rsidR="00BD5C51" w:rsidRPr="00BD5C51" w:rsidRDefault="00BD5C51" w:rsidP="00BD5C51">
      <w:r w:rsidRPr="00BD5C51">
        <w:rPr>
          <w:b/>
          <w:bCs/>
        </w:rPr>
        <w:t>Key Challenge:</w:t>
      </w:r>
      <w:r w:rsidRPr="00BD5C51">
        <w:t xml:space="preserve"> The project required distinguishing between controls that were documented or designed and controls that had sufficient evidence to demonstrate operating effectiveness.</w:t>
      </w:r>
    </w:p>
    <w:p w14:paraId="71B5E2A1" w14:textId="7DA5F5F8" w:rsidR="00BD5C51" w:rsidRPr="00BD5C51" w:rsidRDefault="00BD5C51" w:rsidP="00BD5C51">
      <w:r w:rsidRPr="00BD5C51">
        <w:rPr>
          <w:b/>
          <w:bCs/>
        </w:rPr>
        <w:t>Key Lesson:</w:t>
      </w:r>
      <w:r w:rsidRPr="00BD5C51">
        <w:t xml:space="preserve"> Audit readiness depends on both strong control design and reliable evidence. Policies alone are not enough without supporting logs, approvals, assessments, testing results, and remediation records.</w:t>
      </w:r>
    </w:p>
    <w:p w14:paraId="69C439CA" w14:textId="77F65FD3" w:rsidR="00BD5C51" w:rsidRPr="00BD5C51" w:rsidRDefault="00BD5C51" w:rsidP="00BD5C51">
      <w:r w:rsidRPr="00BD5C51">
        <w:rPr>
          <w:b/>
          <w:bCs/>
        </w:rPr>
        <w:t>Risk Insight:</w:t>
      </w:r>
      <w:r w:rsidRPr="00BD5C51">
        <w:t xml:space="preserve"> PII management, hybrid-cloud monitoring, AI security testing, and impact assessments are interconnected. A weakness in one area can create compliance gaps across multiple governance frameworks.</w:t>
      </w:r>
    </w:p>
    <w:p w14:paraId="27E9EB9A" w14:textId="53C545AF" w:rsidR="00BD5C51" w:rsidRPr="00BD5C51" w:rsidRDefault="00BD5C51" w:rsidP="00BD5C51">
      <w:r w:rsidRPr="00BD5C51">
        <w:rPr>
          <w:b/>
          <w:bCs/>
        </w:rPr>
        <w:t>Improvement Opportunity:</w:t>
      </w:r>
      <w:r w:rsidRPr="00BD5C51">
        <w:t xml:space="preserve"> Future assessments should define evidence requirements, owners, reviewers, and acceptance criteria at project kickoff rather than during the audit-readiness review.</w:t>
      </w:r>
    </w:p>
    <w:p w14:paraId="54003807" w14:textId="628B984A" w:rsidR="00BD5C51" w:rsidRPr="00BD5C51" w:rsidRDefault="00BD5C51" w:rsidP="00BD5C51">
      <w:r>
        <w:t>F</w:t>
      </w:r>
      <w:r w:rsidRPr="00BD5C51">
        <w:rPr>
          <w:b/>
          <w:bCs/>
        </w:rPr>
        <w:t>inal Takeaway:</w:t>
      </w:r>
      <w:r w:rsidRPr="00BD5C51">
        <w:t xml:space="preserve"> The Conditional Go recommendation balanced business enablement with risk management by allowing bounded use while preventing further scaling until identified high-risk gaps are remediated and residual risk is formally accepted.</w:t>
      </w:r>
    </w:p>
    <w:p w14:paraId="6B94FAD3" w14:textId="77777777" w:rsidR="00BD5C51" w:rsidRPr="00BD5C51" w:rsidRDefault="00BD5C51" w:rsidP="00BD5C51"/>
    <w:p w14:paraId="104542A4" w14:textId="77777777" w:rsidR="00BD5C51" w:rsidRPr="00BD5C51" w:rsidRDefault="00BD5C51" w:rsidP="00BD5C51"/>
    <w:p w14:paraId="290A478F" w14:textId="77777777" w:rsidR="00BD5C51" w:rsidRPr="00BD5C51" w:rsidRDefault="00BD5C51" w:rsidP="00BD5C51"/>
    <w:p w14:paraId="5147735D" w14:textId="77777777" w:rsidR="00BD5C51" w:rsidRPr="00BD5C51" w:rsidRDefault="00BD5C51" w:rsidP="00BD5C51"/>
    <w:p w14:paraId="4A6B8AAB" w14:textId="77777777" w:rsidR="00BD5C51" w:rsidRPr="00BD5C51" w:rsidRDefault="00BD5C51" w:rsidP="00BD5C51"/>
    <w:p w14:paraId="796A0767" w14:textId="77777777" w:rsidR="00BD5C51" w:rsidRPr="00BD5C51" w:rsidRDefault="00BD5C51" w:rsidP="00BD5C51"/>
    <w:p w14:paraId="02744AE5" w14:textId="77777777" w:rsidR="00BD5C51" w:rsidRPr="00BD5C51" w:rsidRDefault="00BD5C51" w:rsidP="00BD5C51"/>
    <w:p w14:paraId="714A9C3F" w14:textId="77777777" w:rsidR="00BD5C51" w:rsidRPr="00BD5C51" w:rsidRDefault="00BD5C51" w:rsidP="00BD5C51"/>
    <w:p w14:paraId="2F42E0A1" w14:textId="77777777" w:rsidR="00BD5C51" w:rsidRPr="00BD5C51" w:rsidRDefault="00BD5C51" w:rsidP="00BD5C51"/>
    <w:p w14:paraId="0EA8C426" w14:textId="77777777" w:rsidR="00BD5C51" w:rsidRPr="00BD5C51" w:rsidRDefault="00BD5C51" w:rsidP="00BD5C51"/>
    <w:p w14:paraId="04787FA2" w14:textId="77777777" w:rsidR="00BD5C51" w:rsidRPr="00BD5C51" w:rsidRDefault="00BD5C51" w:rsidP="00BD5C51"/>
    <w:p w14:paraId="2C4E04D9" w14:textId="77777777" w:rsidR="00BD5C51" w:rsidRPr="00BD5C51" w:rsidRDefault="00BD5C51" w:rsidP="00BD5C51"/>
    <w:p w14:paraId="10DCCF6C" w14:textId="77777777" w:rsidR="00BD5C51" w:rsidRPr="00BD5C51" w:rsidRDefault="00BD5C51" w:rsidP="00BD5C51"/>
    <w:p w14:paraId="74C211FD" w14:textId="77777777" w:rsidR="00BD5C51" w:rsidRPr="00BD5C51" w:rsidRDefault="00BD5C51" w:rsidP="00BD5C51"/>
    <w:p w14:paraId="2BD9EBFD" w14:textId="77777777" w:rsidR="00BD5C51" w:rsidRPr="00BD5C51" w:rsidRDefault="00BD5C51" w:rsidP="00BD5C51"/>
    <w:p w14:paraId="2A531ADD" w14:textId="77777777" w:rsidR="00BD5C51" w:rsidRPr="00BD5C51" w:rsidRDefault="00BD5C51" w:rsidP="00BD5C51"/>
    <w:p w14:paraId="480C0A8C" w14:textId="77777777" w:rsidR="00BD5C51" w:rsidRPr="00BD5C51" w:rsidRDefault="00BD5C51" w:rsidP="00BD5C51"/>
    <w:p w14:paraId="68AB0C95" w14:textId="77777777" w:rsidR="00BD5C51" w:rsidRPr="00BD5C51" w:rsidRDefault="00BD5C51" w:rsidP="00BD5C51"/>
    <w:p w14:paraId="1D5EF7C6" w14:textId="77777777" w:rsidR="00BD5C51" w:rsidRPr="00BD5C51" w:rsidRDefault="00BD5C51" w:rsidP="00BD5C51"/>
    <w:p w14:paraId="3826FDB9" w14:textId="77777777" w:rsidR="00BD5C51" w:rsidRPr="00BD5C51" w:rsidRDefault="00BD5C51" w:rsidP="00BD5C51"/>
    <w:p w14:paraId="1E54A8F1" w14:textId="77777777" w:rsidR="00BD5C51" w:rsidRPr="00BD5C51" w:rsidRDefault="00BD5C51" w:rsidP="00BD5C51"/>
    <w:p w14:paraId="671E275F" w14:textId="77777777" w:rsidR="00BD5C51" w:rsidRPr="00BD5C51" w:rsidRDefault="00BD5C51" w:rsidP="00BD5C51"/>
    <w:p w14:paraId="4EF72579" w14:textId="77777777" w:rsidR="00BD5C51" w:rsidRPr="00BD5C51" w:rsidRDefault="00BD5C51" w:rsidP="00BD5C51"/>
    <w:p w14:paraId="22FF9DC5" w14:textId="77777777" w:rsidR="00BD5C51" w:rsidRPr="00BD5C51" w:rsidRDefault="00BD5C51" w:rsidP="00BD5C51"/>
    <w:p w14:paraId="16B500C9" w14:textId="77777777" w:rsidR="00BD5C51" w:rsidRPr="00BD5C51" w:rsidRDefault="00BD5C51" w:rsidP="00BD5C51"/>
    <w:p w14:paraId="7DE0523D" w14:textId="77777777" w:rsidR="00BD5C51" w:rsidRPr="00BD5C51" w:rsidRDefault="00BD5C51" w:rsidP="00BD5C51"/>
    <w:sectPr w:rsidR="00BD5C51" w:rsidRPr="00BD5C51" w:rsidSect="00034616">
      <w:headerReference w:type="default" r:id="rId8"/>
      <w:footerReference w:type="default" r:id="rId9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29160" w14:textId="77777777" w:rsidR="00D64D9A" w:rsidRDefault="00D64D9A">
      <w:pPr>
        <w:spacing w:after="0" w:line="240" w:lineRule="auto"/>
      </w:pPr>
      <w:r>
        <w:separator/>
      </w:r>
    </w:p>
  </w:endnote>
  <w:endnote w:type="continuationSeparator" w:id="0">
    <w:p w14:paraId="02F61F38" w14:textId="77777777" w:rsidR="00D64D9A" w:rsidRDefault="00D64D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B8C98" w14:textId="0789B750" w:rsidR="00022F87" w:rsidRDefault="00022F87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A4B09" w14:textId="77777777" w:rsidR="00D64D9A" w:rsidRDefault="00D64D9A">
      <w:pPr>
        <w:spacing w:after="0" w:line="240" w:lineRule="auto"/>
      </w:pPr>
      <w:r>
        <w:separator/>
      </w:r>
    </w:p>
  </w:footnote>
  <w:footnote w:type="continuationSeparator" w:id="0">
    <w:p w14:paraId="4B29DDDD" w14:textId="77777777" w:rsidR="00D64D9A" w:rsidRDefault="00D64D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C16FA" w14:textId="12E0DE1A" w:rsidR="00022F87" w:rsidRDefault="00022F8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5840685">
    <w:abstractNumId w:val="8"/>
  </w:num>
  <w:num w:numId="2" w16cid:durableId="1199970629">
    <w:abstractNumId w:val="6"/>
  </w:num>
  <w:num w:numId="3" w16cid:durableId="1125007751">
    <w:abstractNumId w:val="5"/>
  </w:num>
  <w:num w:numId="4" w16cid:durableId="936716533">
    <w:abstractNumId w:val="4"/>
  </w:num>
  <w:num w:numId="5" w16cid:durableId="27995726">
    <w:abstractNumId w:val="7"/>
  </w:num>
  <w:num w:numId="6" w16cid:durableId="1050033329">
    <w:abstractNumId w:val="3"/>
  </w:num>
  <w:num w:numId="7" w16cid:durableId="243342444">
    <w:abstractNumId w:val="2"/>
  </w:num>
  <w:num w:numId="8" w16cid:durableId="1524904566">
    <w:abstractNumId w:val="1"/>
  </w:num>
  <w:num w:numId="9" w16cid:durableId="408312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F87"/>
    <w:rsid w:val="00034616"/>
    <w:rsid w:val="0006063C"/>
    <w:rsid w:val="0015074B"/>
    <w:rsid w:val="0029639D"/>
    <w:rsid w:val="00326F90"/>
    <w:rsid w:val="003A5B20"/>
    <w:rsid w:val="00AA1D8D"/>
    <w:rsid w:val="00B47730"/>
    <w:rsid w:val="00BC30D3"/>
    <w:rsid w:val="00BD5C51"/>
    <w:rsid w:val="00CB0664"/>
    <w:rsid w:val="00D64D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6A7DF3"/>
  <w14:defaultImageDpi w14:val="300"/>
  <w15:docId w15:val="{63F518D7-7D68-45C9-BCE7-8582FE150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22222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728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618</Words>
  <Characters>4046</Characters>
  <Application>Microsoft Office Word</Application>
  <DocSecurity>0</DocSecurity>
  <Lines>134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Bailly, Hayden</dc:creator>
  <cp:keywords/>
  <dc:description>generated by python-docx</dc:description>
  <cp:lastModifiedBy>Bailly, Hayden</cp:lastModifiedBy>
  <cp:revision>2</cp:revision>
  <dcterms:created xsi:type="dcterms:W3CDTF">2026-10-13T19:26:00Z</dcterms:created>
  <dcterms:modified xsi:type="dcterms:W3CDTF">2026-10-13T19:26:00Z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9954af-3d4d-4e34-b6d3-a2c1aff7c6fb_Enabled">
    <vt:lpwstr>true</vt:lpwstr>
  </property>
  <property fmtid="{D5CDD505-2E9C-101B-9397-08002B2CF9AE}" pid="3" name="MSIP_Label_419954af-3d4d-4e34-b6d3-a2c1aff7c6fb_SetDate">
    <vt:lpwstr>2026-10-13T19:05:23Z</vt:lpwstr>
  </property>
  <property fmtid="{D5CDD505-2E9C-101B-9397-08002B2CF9AE}" pid="4" name="MSIP_Label_419954af-3d4d-4e34-b6d3-a2c1aff7c6fb_Method">
    <vt:lpwstr>Privileged</vt:lpwstr>
  </property>
  <property fmtid="{D5CDD505-2E9C-101B-9397-08002B2CF9AE}" pid="5" name="MSIP_Label_419954af-3d4d-4e34-b6d3-a2c1aff7c6fb_Name">
    <vt:lpwstr>defa4170-0d19-0005-0004-bc88714345d2</vt:lpwstr>
  </property>
  <property fmtid="{D5CDD505-2E9C-101B-9397-08002B2CF9AE}" pid="6" name="MSIP_Label_419954af-3d4d-4e34-b6d3-a2c1aff7c6fb_SiteId">
    <vt:lpwstr>7d76d45a-a201-4a68-bf3a-597f0a5fa533</vt:lpwstr>
  </property>
  <property fmtid="{D5CDD505-2E9C-101B-9397-08002B2CF9AE}" pid="7" name="MSIP_Label_419954af-3d4d-4e34-b6d3-a2c1aff7c6fb_ActionId">
    <vt:lpwstr>e54741c6-8eaa-49f7-8b4a-d6a44f48ea06</vt:lpwstr>
  </property>
  <property fmtid="{D5CDD505-2E9C-101B-9397-08002B2CF9AE}" pid="8" name="MSIP_Label_419954af-3d4d-4e34-b6d3-a2c1aff7c6fb_ContentBits">
    <vt:lpwstr>0</vt:lpwstr>
  </property>
</Properties>
</file>