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C4472" w14:textId="30DFBA7E" w:rsidR="000B4FD1" w:rsidRPr="00313A95" w:rsidRDefault="002573F3">
      <w:pPr>
        <w:pStyle w:val="Heading2"/>
        <w:keepNext w:val="0"/>
        <w:keepLines w:val="0"/>
        <w:spacing w:after="100"/>
        <w:rPr>
          <w:bCs/>
          <w:color w:val="auto"/>
          <w:sz w:val="34"/>
          <w:szCs w:val="34"/>
        </w:rPr>
      </w:pPr>
      <w:r w:rsidRPr="00313A95">
        <w:rPr>
          <w:bCs/>
          <w:color w:val="auto"/>
          <w:sz w:val="34"/>
          <w:szCs w:val="34"/>
        </w:rPr>
        <w:t>Audit Readiness Assessment</w:t>
      </w:r>
    </w:p>
    <w:p w14:paraId="276AA4C1" w14:textId="77777777" w:rsidR="000B4FD1" w:rsidRPr="00313A95" w:rsidRDefault="002573F3">
      <w:pPr>
        <w:pStyle w:val="Heading3"/>
        <w:keepNext w:val="0"/>
        <w:keepLines w:val="0"/>
        <w:spacing w:before="280" w:after="100"/>
        <w:rPr>
          <w:bCs/>
          <w:color w:val="auto"/>
          <w:sz w:val="26"/>
          <w:szCs w:val="26"/>
        </w:rPr>
      </w:pPr>
      <w:bookmarkStart w:id="0" w:name="_kloku05ku558" w:colFirst="0" w:colLast="0"/>
      <w:bookmarkEnd w:id="0"/>
      <w:r w:rsidRPr="00313A95">
        <w:rPr>
          <w:bCs/>
          <w:color w:val="auto"/>
          <w:sz w:val="26"/>
          <w:szCs w:val="26"/>
        </w:rPr>
        <w:t>1. SOC 2 Evidence Review Summary</w:t>
      </w:r>
    </w:p>
    <w:p w14:paraId="413F43B3" w14:textId="77777777" w:rsidR="00937C2F" w:rsidRPr="00313A95" w:rsidRDefault="00000000">
      <w:pPr>
        <w:shd w:val="clear" w:color="auto" w:fill="EEF4F7"/>
        <w:spacing w:after="100"/>
      </w:pPr>
      <w:r w:rsidRPr="00313A95">
        <w:rPr>
          <w:b/>
        </w:rPr>
        <w:t xml:space="preserve">System profile used across this portfolio: </w:t>
      </w:r>
      <w:r w:rsidRPr="00313A95">
        <w:t>FinanceGuard AI is a fine-tuned LLM used for financial document review. It processes PII and confidential financial data through an internal API gateway and operates across a hybrid cloud environment. Current-state evidence indicates incomplete data lineage, monitoring, impact assessment, adversarial testing, transparency, and retention enforcement. These assumptions drive the control ratings and the Conditional Go recommendation.</w:t>
      </w:r>
    </w:p>
    <w:p w14:paraId="3314FDB9" w14:textId="412D6DA1" w:rsidR="000B4FD1" w:rsidRPr="00313A95" w:rsidRDefault="000B4FD1">
      <w:pPr>
        <w:spacing w:before="240" w:after="100"/>
      </w:pPr>
    </w:p>
    <w:tbl>
      <w:tblPr>
        <w:tblStyle w:val="a"/>
        <w:tblW w:w="9025"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743"/>
        <w:gridCol w:w="1274"/>
        <w:gridCol w:w="2283"/>
        <w:gridCol w:w="2283"/>
        <w:gridCol w:w="2442"/>
      </w:tblGrid>
      <w:tr w:rsidR="000B4FD1" w:rsidRPr="00313A95" w14:paraId="78D59CEB" w14:textId="77777777">
        <w:trPr>
          <w:trHeight w:val="1340"/>
          <w:tblHeader/>
          <w:jc w:val="center"/>
        </w:trPr>
        <w:tc>
          <w:tcPr>
            <w:tcW w:w="936" w:type="dxa"/>
            <w:tcBorders>
              <w:top w:val="single" w:sz="4" w:space="0" w:color="000000"/>
              <w:left w:val="single" w:sz="4" w:space="0" w:color="000000"/>
              <w:bottom w:val="single" w:sz="4" w:space="0" w:color="000000"/>
              <w:right w:val="single" w:sz="4" w:space="0" w:color="000000"/>
            </w:tcBorders>
            <w:shd w:val="clear" w:color="auto" w:fill="17365D"/>
            <w:tcMar>
              <w:top w:w="90" w:type="dxa"/>
              <w:left w:w="90" w:type="dxa"/>
              <w:bottom w:w="90" w:type="dxa"/>
              <w:right w:w="90" w:type="dxa"/>
            </w:tcMar>
            <w:vAlign w:val="center"/>
          </w:tcPr>
          <w:p w14:paraId="475677ED" w14:textId="77777777" w:rsidR="000B4FD1" w:rsidRPr="00313A95" w:rsidRDefault="002573F3">
            <w:pPr>
              <w:spacing w:line="240" w:lineRule="auto"/>
              <w:jc w:val="center"/>
            </w:pPr>
            <w:r w:rsidRPr="00313A95">
              <w:rPr>
                <w:b/>
                <w:bCs/>
                <w:sz w:val="15"/>
              </w:rPr>
              <w:t>Control ID</w:t>
            </w:r>
          </w:p>
        </w:tc>
        <w:tc>
          <w:tcPr>
            <w:tcW w:w="1656" w:type="dxa"/>
            <w:tcBorders>
              <w:top w:val="single" w:sz="4" w:space="0" w:color="000000"/>
              <w:left w:val="single" w:sz="4" w:space="0" w:color="000000"/>
              <w:bottom w:val="single" w:sz="4" w:space="0" w:color="000000"/>
              <w:right w:val="single" w:sz="4" w:space="0" w:color="000000"/>
            </w:tcBorders>
            <w:shd w:val="clear" w:color="auto" w:fill="17365D"/>
            <w:tcMar>
              <w:top w:w="90" w:type="dxa"/>
              <w:left w:w="90" w:type="dxa"/>
              <w:bottom w:w="90" w:type="dxa"/>
              <w:right w:w="90" w:type="dxa"/>
            </w:tcMar>
            <w:vAlign w:val="center"/>
          </w:tcPr>
          <w:p w14:paraId="5B439125" w14:textId="77777777" w:rsidR="000B4FD1" w:rsidRPr="00313A95" w:rsidRDefault="002573F3">
            <w:pPr>
              <w:spacing w:line="240" w:lineRule="auto"/>
              <w:jc w:val="center"/>
            </w:pPr>
            <w:r w:rsidRPr="00313A95">
              <w:rPr>
                <w:b/>
                <w:bCs/>
                <w:sz w:val="15"/>
              </w:rPr>
              <w:t>Trust Services Criteria (TSC)</w:t>
            </w:r>
          </w:p>
        </w:tc>
        <w:tc>
          <w:tcPr>
            <w:tcW w:w="3024" w:type="dxa"/>
            <w:tcBorders>
              <w:top w:val="single" w:sz="4" w:space="0" w:color="000000"/>
              <w:left w:val="single" w:sz="4" w:space="0" w:color="000000"/>
              <w:bottom w:val="single" w:sz="4" w:space="0" w:color="000000"/>
              <w:right w:val="single" w:sz="4" w:space="0" w:color="000000"/>
            </w:tcBorders>
            <w:shd w:val="clear" w:color="auto" w:fill="17365D"/>
            <w:tcMar>
              <w:top w:w="90" w:type="dxa"/>
              <w:left w:w="90" w:type="dxa"/>
              <w:bottom w:w="90" w:type="dxa"/>
              <w:right w:w="90" w:type="dxa"/>
            </w:tcMar>
            <w:vAlign w:val="center"/>
          </w:tcPr>
          <w:p w14:paraId="4A240E4F" w14:textId="77777777" w:rsidR="000B4FD1" w:rsidRPr="00313A95" w:rsidRDefault="002573F3">
            <w:pPr>
              <w:spacing w:line="240" w:lineRule="auto"/>
              <w:jc w:val="center"/>
            </w:pPr>
            <w:r w:rsidRPr="00313A95">
              <w:rPr>
                <w:b/>
                <w:bCs/>
                <w:sz w:val="15"/>
              </w:rPr>
              <w:t>Control Description (FinanceGuard AI Context)</w:t>
            </w:r>
          </w:p>
        </w:tc>
        <w:tc>
          <w:tcPr>
            <w:tcW w:w="3024" w:type="dxa"/>
            <w:tcBorders>
              <w:top w:val="single" w:sz="4" w:space="0" w:color="000000"/>
              <w:left w:val="single" w:sz="4" w:space="0" w:color="000000"/>
              <w:bottom w:val="single" w:sz="4" w:space="0" w:color="000000"/>
              <w:right w:val="single" w:sz="4" w:space="0" w:color="000000"/>
            </w:tcBorders>
            <w:shd w:val="clear" w:color="auto" w:fill="17365D"/>
            <w:tcMar>
              <w:top w:w="90" w:type="dxa"/>
              <w:left w:w="90" w:type="dxa"/>
              <w:bottom w:w="90" w:type="dxa"/>
              <w:right w:w="90" w:type="dxa"/>
            </w:tcMar>
            <w:vAlign w:val="center"/>
          </w:tcPr>
          <w:p w14:paraId="6445CCAE" w14:textId="77777777" w:rsidR="004E3554" w:rsidRPr="00313A95" w:rsidRDefault="002573F3">
            <w:pPr>
              <w:spacing w:line="240" w:lineRule="auto"/>
              <w:jc w:val="center"/>
              <w:rPr>
                <w:b/>
                <w:bCs/>
              </w:rPr>
            </w:pPr>
            <w:r w:rsidRPr="00313A95">
              <w:rPr>
                <w:b/>
                <w:bCs/>
                <w:sz w:val="15"/>
              </w:rPr>
              <w:t>Provided Audit Artifact</w:t>
            </w:r>
            <w:r w:rsidR="004E3554" w:rsidRPr="00313A95">
              <w:rPr>
                <w:b/>
                <w:bCs/>
                <w:sz w:val="15"/>
              </w:rPr>
              <w:t>/</w:t>
            </w:r>
          </w:p>
          <w:p w14:paraId="64CA2333" w14:textId="77777777" w:rsidR="000B4FD1" w:rsidRPr="00313A95" w:rsidRDefault="002573F3">
            <w:pPr>
              <w:spacing w:line="240" w:lineRule="auto"/>
              <w:jc w:val="center"/>
            </w:pPr>
            <w:r w:rsidRPr="00313A95">
              <w:rPr>
                <w:b/>
                <w:bCs/>
                <w:sz w:val="15"/>
              </w:rPr>
              <w:t>Evidence</w:t>
            </w:r>
          </w:p>
        </w:tc>
        <w:tc>
          <w:tcPr>
            <w:tcW w:w="3240" w:type="dxa"/>
            <w:tcBorders>
              <w:top w:val="single" w:sz="4" w:space="0" w:color="000000"/>
              <w:left w:val="single" w:sz="4" w:space="0" w:color="000000"/>
              <w:bottom w:val="single" w:sz="4" w:space="0" w:color="000000"/>
              <w:right w:val="single" w:sz="4" w:space="0" w:color="000000"/>
            </w:tcBorders>
            <w:shd w:val="clear" w:color="auto" w:fill="17365D"/>
            <w:tcMar>
              <w:top w:w="90" w:type="dxa"/>
              <w:left w:w="90" w:type="dxa"/>
              <w:bottom w:w="90" w:type="dxa"/>
              <w:right w:w="90" w:type="dxa"/>
            </w:tcMar>
            <w:vAlign w:val="center"/>
          </w:tcPr>
          <w:p w14:paraId="39B53C43" w14:textId="77777777" w:rsidR="000B4FD1" w:rsidRPr="00313A95" w:rsidRDefault="002573F3">
            <w:pPr>
              <w:spacing w:line="240" w:lineRule="auto"/>
              <w:jc w:val="center"/>
            </w:pPr>
            <w:r w:rsidRPr="00313A95">
              <w:rPr>
                <w:b/>
                <w:bCs/>
                <w:sz w:val="15"/>
              </w:rPr>
              <w:t>Evidence Evaluation &amp; Status (Pass</w:t>
            </w:r>
            <w:r w:rsidR="004E3554" w:rsidRPr="00313A95">
              <w:rPr>
                <w:b/>
                <w:bCs/>
                <w:sz w:val="15"/>
              </w:rPr>
              <w:t>/</w:t>
            </w:r>
            <w:r w:rsidRPr="00313A95">
              <w:rPr>
                <w:b/>
                <w:bCs/>
                <w:sz w:val="15"/>
              </w:rPr>
              <w:t>Partial</w:t>
            </w:r>
            <w:r w:rsidR="004E3554" w:rsidRPr="00313A95">
              <w:rPr>
                <w:b/>
                <w:bCs/>
                <w:sz w:val="15"/>
              </w:rPr>
              <w:t>/</w:t>
            </w:r>
            <w:r w:rsidRPr="00313A95">
              <w:rPr>
                <w:b/>
                <w:bCs/>
                <w:sz w:val="15"/>
              </w:rPr>
              <w:t>Fail)</w:t>
            </w:r>
          </w:p>
        </w:tc>
      </w:tr>
      <w:tr w:rsidR="000B4FD1" w:rsidRPr="00313A95" w14:paraId="3E888C90" w14:textId="77777777">
        <w:trPr>
          <w:trHeight w:val="1610"/>
          <w:jc w:val="center"/>
        </w:trPr>
        <w:tc>
          <w:tcPr>
            <w:tcW w:w="936"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35F1E79F" w14:textId="77777777" w:rsidR="000B4FD1" w:rsidRPr="00313A95" w:rsidRDefault="002573F3">
            <w:pPr>
              <w:spacing w:line="240" w:lineRule="auto"/>
            </w:pPr>
            <w:r w:rsidRPr="00313A95">
              <w:rPr>
                <w:b/>
                <w:bCs/>
                <w:sz w:val="15"/>
              </w:rPr>
              <w:t>CC6.1</w:t>
            </w:r>
          </w:p>
        </w:tc>
        <w:tc>
          <w:tcPr>
            <w:tcW w:w="1656"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1C4F892B" w14:textId="77777777" w:rsidR="000B4FD1" w:rsidRPr="00313A95" w:rsidRDefault="002573F3">
            <w:pPr>
              <w:spacing w:line="240" w:lineRule="auto"/>
            </w:pPr>
            <w:r w:rsidRPr="00313A95">
              <w:rPr>
                <w:b/>
                <w:bCs/>
                <w:sz w:val="15"/>
              </w:rPr>
              <w:t>Security:</w:t>
            </w:r>
            <w:r w:rsidRPr="00313A95">
              <w:rPr>
                <w:sz w:val="15"/>
              </w:rPr>
              <w:t xml:space="preserve"> Access Transmission</w:t>
            </w:r>
          </w:p>
        </w:tc>
        <w:tc>
          <w:tcPr>
            <w:tcW w:w="3024"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324DF842" w14:textId="77777777" w:rsidR="000B4FD1" w:rsidRPr="00313A95" w:rsidRDefault="002573F3">
            <w:pPr>
              <w:spacing w:line="240" w:lineRule="auto"/>
            </w:pPr>
            <w:r w:rsidRPr="00313A95">
              <w:rPr>
                <w:sz w:val="15"/>
              </w:rPr>
              <w:t>The internal API gateway restricts model access to authorized compliance and legal user groups, encrypting PII/financial data in transit.</w:t>
            </w:r>
          </w:p>
        </w:tc>
        <w:tc>
          <w:tcPr>
            <w:tcW w:w="3024"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7439DA4F" w14:textId="77777777" w:rsidR="00937C2F" w:rsidRPr="00313A95" w:rsidRDefault="00000000">
            <w:pPr>
              <w:spacing w:line="240" w:lineRule="auto"/>
            </w:pPr>
            <w:r w:rsidRPr="00313A95">
              <w:rPr>
                <w:sz w:val="15"/>
              </w:rPr>
              <w:t>API gateway RBAC export; authorized-group roster; MFA configuration; TLS configuration; quarterly access-review record.</w:t>
            </w:r>
          </w:p>
        </w:tc>
        <w:tc>
          <w:tcPr>
            <w:tcW w:w="3240" w:type="dxa"/>
            <w:tcBorders>
              <w:top w:val="single" w:sz="4" w:space="0" w:color="000000"/>
              <w:left w:val="single" w:sz="4" w:space="0" w:color="000000"/>
              <w:bottom w:val="single" w:sz="4" w:space="0" w:color="000000"/>
              <w:right w:val="single" w:sz="4" w:space="0" w:color="000000"/>
            </w:tcBorders>
            <w:shd w:val="clear" w:color="auto" w:fill="C00000"/>
            <w:tcMar>
              <w:top w:w="90" w:type="dxa"/>
              <w:left w:w="90" w:type="dxa"/>
              <w:bottom w:w="90" w:type="dxa"/>
              <w:right w:w="90" w:type="dxa"/>
            </w:tcMar>
            <w:vAlign w:val="center"/>
          </w:tcPr>
          <w:p w14:paraId="6A78FCD6" w14:textId="77777777" w:rsidR="00937C2F" w:rsidRPr="00313A95" w:rsidRDefault="00000000">
            <w:pPr>
              <w:spacing w:line="240" w:lineRule="auto"/>
            </w:pPr>
            <w:r w:rsidRPr="00313A95">
              <w:rPr>
                <w:b/>
                <w:sz w:val="15"/>
              </w:rPr>
              <w:t>PARTIAL — Access restriction and encryption are described, but operating-effectiveness evidence and recertification records are incomplete. This aligns to GAP-01 and ISO A.8.3 Partial.</w:t>
            </w:r>
          </w:p>
        </w:tc>
      </w:tr>
      <w:tr w:rsidR="000B4FD1" w:rsidRPr="00313A95" w14:paraId="236AF10C" w14:textId="77777777">
        <w:trPr>
          <w:trHeight w:val="1610"/>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7F9FB"/>
            <w:tcMar>
              <w:top w:w="90" w:type="dxa"/>
              <w:left w:w="90" w:type="dxa"/>
              <w:bottom w:w="90" w:type="dxa"/>
              <w:right w:w="90" w:type="dxa"/>
            </w:tcMar>
            <w:vAlign w:val="center"/>
          </w:tcPr>
          <w:p w14:paraId="17853C98" w14:textId="77777777" w:rsidR="000B4FD1" w:rsidRPr="00313A95" w:rsidRDefault="002573F3">
            <w:pPr>
              <w:spacing w:line="240" w:lineRule="auto"/>
            </w:pPr>
            <w:r w:rsidRPr="00313A95">
              <w:rPr>
                <w:b/>
                <w:bCs/>
                <w:sz w:val="15"/>
              </w:rPr>
              <w:t>CC6.3</w:t>
            </w:r>
          </w:p>
        </w:tc>
        <w:tc>
          <w:tcPr>
            <w:tcW w:w="1656" w:type="dxa"/>
            <w:tcBorders>
              <w:top w:val="single" w:sz="4" w:space="0" w:color="000000"/>
              <w:left w:val="single" w:sz="4" w:space="0" w:color="000000"/>
              <w:bottom w:val="single" w:sz="4" w:space="0" w:color="000000"/>
              <w:right w:val="single" w:sz="4" w:space="0" w:color="000000"/>
            </w:tcBorders>
            <w:shd w:val="clear" w:color="auto" w:fill="F7F9FB"/>
            <w:tcMar>
              <w:top w:w="90" w:type="dxa"/>
              <w:left w:w="90" w:type="dxa"/>
              <w:bottom w:w="90" w:type="dxa"/>
              <w:right w:w="90" w:type="dxa"/>
            </w:tcMar>
            <w:vAlign w:val="center"/>
          </w:tcPr>
          <w:p w14:paraId="6D72433F" w14:textId="77777777" w:rsidR="000B4FD1" w:rsidRPr="00313A95" w:rsidRDefault="002573F3">
            <w:pPr>
              <w:spacing w:line="240" w:lineRule="auto"/>
            </w:pPr>
            <w:r w:rsidRPr="00313A95">
              <w:rPr>
                <w:b/>
                <w:bCs/>
                <w:sz w:val="15"/>
              </w:rPr>
              <w:t>Security:</w:t>
            </w:r>
            <w:r w:rsidRPr="00313A95">
              <w:rPr>
                <w:sz w:val="15"/>
              </w:rPr>
              <w:t xml:space="preserve"> Perimeter Defense</w:t>
            </w:r>
          </w:p>
        </w:tc>
        <w:tc>
          <w:tcPr>
            <w:tcW w:w="3024" w:type="dxa"/>
            <w:tcBorders>
              <w:top w:val="single" w:sz="4" w:space="0" w:color="000000"/>
              <w:left w:val="single" w:sz="4" w:space="0" w:color="000000"/>
              <w:bottom w:val="single" w:sz="4" w:space="0" w:color="000000"/>
              <w:right w:val="single" w:sz="4" w:space="0" w:color="000000"/>
            </w:tcBorders>
            <w:shd w:val="clear" w:color="auto" w:fill="F7F9FB"/>
            <w:tcMar>
              <w:top w:w="90" w:type="dxa"/>
              <w:left w:w="90" w:type="dxa"/>
              <w:bottom w:w="90" w:type="dxa"/>
              <w:right w:w="90" w:type="dxa"/>
            </w:tcMar>
            <w:vAlign w:val="center"/>
          </w:tcPr>
          <w:p w14:paraId="538AB249" w14:textId="77777777" w:rsidR="000B4FD1" w:rsidRPr="00313A95" w:rsidRDefault="002573F3">
            <w:pPr>
              <w:spacing w:line="240" w:lineRule="auto"/>
            </w:pPr>
            <w:r w:rsidRPr="00313A95">
              <w:rPr>
                <w:sz w:val="15"/>
              </w:rPr>
              <w:t>Hybrid cloud infrastructure endpoints hosting the fine-tuned LLM are hardened against unauthorized access and prompt injection.</w:t>
            </w:r>
          </w:p>
        </w:tc>
        <w:tc>
          <w:tcPr>
            <w:tcW w:w="3024" w:type="dxa"/>
            <w:tcBorders>
              <w:top w:val="single" w:sz="4" w:space="0" w:color="000000"/>
              <w:left w:val="single" w:sz="4" w:space="0" w:color="000000"/>
              <w:bottom w:val="single" w:sz="4" w:space="0" w:color="000000"/>
              <w:right w:val="single" w:sz="4" w:space="0" w:color="000000"/>
            </w:tcBorders>
            <w:shd w:val="clear" w:color="auto" w:fill="F7F9FB"/>
            <w:tcMar>
              <w:top w:w="90" w:type="dxa"/>
              <w:left w:w="90" w:type="dxa"/>
              <w:bottom w:w="90" w:type="dxa"/>
              <w:right w:w="90" w:type="dxa"/>
            </w:tcMar>
            <w:vAlign w:val="center"/>
          </w:tcPr>
          <w:p w14:paraId="0AE671AA" w14:textId="77777777" w:rsidR="00937C2F" w:rsidRPr="00313A95" w:rsidRDefault="00000000">
            <w:pPr>
              <w:spacing w:line="240" w:lineRule="auto"/>
            </w:pPr>
            <w:r w:rsidRPr="00313A95">
              <w:rPr>
                <w:sz w:val="15"/>
              </w:rPr>
              <w:t>Independent vulnerability scan; endpoint hardening baseline; prompt-injection/adversarial test report; model-weight change log; remediation tickets.</w:t>
            </w:r>
          </w:p>
        </w:tc>
        <w:tc>
          <w:tcPr>
            <w:tcW w:w="3240" w:type="dxa"/>
            <w:tcBorders>
              <w:top w:val="single" w:sz="4" w:space="0" w:color="000000"/>
              <w:left w:val="single" w:sz="4" w:space="0" w:color="000000"/>
              <w:bottom w:val="single" w:sz="4" w:space="0" w:color="000000"/>
              <w:right w:val="single" w:sz="4" w:space="0" w:color="000000"/>
            </w:tcBorders>
            <w:shd w:val="clear" w:color="auto" w:fill="C00000"/>
            <w:tcMar>
              <w:top w:w="90" w:type="dxa"/>
              <w:left w:w="90" w:type="dxa"/>
              <w:bottom w:w="90" w:type="dxa"/>
              <w:right w:w="90" w:type="dxa"/>
            </w:tcMar>
            <w:vAlign w:val="center"/>
          </w:tcPr>
          <w:p w14:paraId="45A343C0" w14:textId="77777777" w:rsidR="00937C2F" w:rsidRPr="00313A95" w:rsidRDefault="00000000">
            <w:pPr>
              <w:spacing w:line="240" w:lineRule="auto"/>
            </w:pPr>
            <w:r w:rsidRPr="00313A95">
              <w:rPr>
                <w:b/>
                <w:sz w:val="15"/>
              </w:rPr>
              <w:t>FAIL — No complete evidence demonstrates hybrid-cloud hardening or resistance to prompt injection and unauthorized model changes. This aligns to GAP-02 and ISO A.8.3 Partial.</w:t>
            </w:r>
          </w:p>
        </w:tc>
      </w:tr>
      <w:tr w:rsidR="000B4FD1" w:rsidRPr="00313A95" w14:paraId="66162181" w14:textId="77777777">
        <w:trPr>
          <w:trHeight w:val="1880"/>
          <w:jc w:val="center"/>
        </w:trPr>
        <w:tc>
          <w:tcPr>
            <w:tcW w:w="936"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58AE1A19" w14:textId="77777777" w:rsidR="000B4FD1" w:rsidRPr="00313A95" w:rsidRDefault="002573F3">
            <w:pPr>
              <w:spacing w:line="240" w:lineRule="auto"/>
            </w:pPr>
            <w:r w:rsidRPr="00313A95">
              <w:rPr>
                <w:b/>
                <w:bCs/>
                <w:sz w:val="15"/>
              </w:rPr>
              <w:t>CC7.1</w:t>
            </w:r>
          </w:p>
        </w:tc>
        <w:tc>
          <w:tcPr>
            <w:tcW w:w="1656"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2A2C0886" w14:textId="77777777" w:rsidR="000B4FD1" w:rsidRPr="00313A95" w:rsidRDefault="002573F3">
            <w:pPr>
              <w:spacing w:line="240" w:lineRule="auto"/>
            </w:pPr>
            <w:r w:rsidRPr="00313A95">
              <w:rPr>
                <w:b/>
                <w:bCs/>
                <w:sz w:val="15"/>
              </w:rPr>
              <w:t>Confidentiality:</w:t>
            </w:r>
            <w:r w:rsidRPr="00313A95">
              <w:rPr>
                <w:sz w:val="15"/>
              </w:rPr>
              <w:t xml:space="preserve"> Data Retention &amp; Disposal</w:t>
            </w:r>
          </w:p>
        </w:tc>
        <w:tc>
          <w:tcPr>
            <w:tcW w:w="3024"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764FD58B" w14:textId="77777777" w:rsidR="000B4FD1" w:rsidRPr="00313A95" w:rsidRDefault="002573F3">
            <w:pPr>
              <w:spacing w:line="240" w:lineRule="auto"/>
            </w:pPr>
            <w:r w:rsidRPr="00313A95">
              <w:rPr>
                <w:sz w:val="15"/>
              </w:rPr>
              <w:t>Confidential financial documents and temporary session data processed by the LLM are purged or encrypted according to corporate retention schedules.</w:t>
            </w:r>
          </w:p>
        </w:tc>
        <w:tc>
          <w:tcPr>
            <w:tcW w:w="3024"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6FC01FAB" w14:textId="77777777" w:rsidR="00937C2F" w:rsidRPr="00313A95" w:rsidRDefault="00000000">
            <w:pPr>
              <w:spacing w:line="240" w:lineRule="auto"/>
            </w:pPr>
            <w:r w:rsidRPr="00313A95">
              <w:rPr>
                <w:sz w:val="15"/>
              </w:rPr>
              <w:t>Approved retention schedule; data-flow inventory; encryption evidence; automated purge configuration; deletion logs; exception register.</w:t>
            </w:r>
          </w:p>
        </w:tc>
        <w:tc>
          <w:tcPr>
            <w:tcW w:w="3240" w:type="dxa"/>
            <w:tcBorders>
              <w:top w:val="single" w:sz="4" w:space="0" w:color="000000"/>
              <w:left w:val="single" w:sz="4" w:space="0" w:color="000000"/>
              <w:bottom w:val="single" w:sz="4" w:space="0" w:color="000000"/>
              <w:right w:val="single" w:sz="4" w:space="0" w:color="000000"/>
            </w:tcBorders>
            <w:shd w:val="clear" w:color="auto" w:fill="C00000"/>
            <w:tcMar>
              <w:top w:w="90" w:type="dxa"/>
              <w:left w:w="90" w:type="dxa"/>
              <w:bottom w:w="90" w:type="dxa"/>
              <w:right w:w="90" w:type="dxa"/>
            </w:tcMar>
            <w:vAlign w:val="center"/>
          </w:tcPr>
          <w:p w14:paraId="388BCBCC" w14:textId="77777777" w:rsidR="00937C2F" w:rsidRPr="00313A95" w:rsidRDefault="00000000">
            <w:pPr>
              <w:spacing w:line="240" w:lineRule="auto"/>
            </w:pPr>
            <w:r w:rsidRPr="00313A95">
              <w:rPr>
                <w:b/>
                <w:sz w:val="15"/>
              </w:rPr>
              <w:t>FAIL — Retention and disposal cannot be validated across PII-bearing hybrid-cloud flows. This aligns to GAP-01 and ISO A.5.2 Gap.</w:t>
            </w:r>
          </w:p>
        </w:tc>
      </w:tr>
    </w:tbl>
    <w:p w14:paraId="7A104E3E" w14:textId="77777777" w:rsidR="000B4FD1" w:rsidRPr="00313A95" w:rsidRDefault="002573F3">
      <w:pPr>
        <w:pStyle w:val="Heading3"/>
        <w:keepNext w:val="0"/>
        <w:keepLines w:val="0"/>
        <w:spacing w:before="280" w:after="100"/>
        <w:rPr>
          <w:bCs/>
          <w:color w:val="auto"/>
          <w:sz w:val="26"/>
          <w:szCs w:val="26"/>
        </w:rPr>
      </w:pPr>
      <w:bookmarkStart w:id="1" w:name="_oyhfvgm6xk9d" w:colFirst="0" w:colLast="0"/>
      <w:bookmarkEnd w:id="1"/>
      <w:r w:rsidRPr="00313A95">
        <w:rPr>
          <w:bCs/>
          <w:color w:val="auto"/>
          <w:sz w:val="26"/>
          <w:szCs w:val="26"/>
        </w:rPr>
        <w:t>2. CISO Executive Recommendation</w:t>
      </w:r>
    </w:p>
    <w:p w14:paraId="50E370DF" w14:textId="77777777" w:rsidR="000B4FD1" w:rsidRPr="00313A95" w:rsidRDefault="002573F3">
      <w:pPr>
        <w:spacing w:before="240" w:after="100"/>
      </w:pPr>
      <w:r w:rsidRPr="00313A95">
        <w:rPr>
          <w:b/>
          <w:bCs/>
        </w:rPr>
        <w:t>To:</w:t>
      </w:r>
      <w:r w:rsidRPr="00313A95">
        <w:t xml:space="preserve"> Chief Information Security Officer (CISO)</w:t>
      </w:r>
    </w:p>
    <w:p w14:paraId="406E0376" w14:textId="77777777" w:rsidR="000B4FD1" w:rsidRPr="00313A95" w:rsidRDefault="002573F3">
      <w:pPr>
        <w:spacing w:before="240" w:after="100"/>
      </w:pPr>
      <w:r w:rsidRPr="00313A95">
        <w:rPr>
          <w:b/>
          <w:bCs/>
        </w:rPr>
        <w:t>From:</w:t>
      </w:r>
      <w:r w:rsidRPr="00313A95">
        <w:t xml:space="preserve"> AI Governance Program Lead</w:t>
      </w:r>
    </w:p>
    <w:p w14:paraId="5787A7A6" w14:textId="77777777" w:rsidR="000B4FD1" w:rsidRPr="00313A95" w:rsidRDefault="002573F3">
      <w:pPr>
        <w:spacing w:before="240" w:after="100"/>
      </w:pPr>
      <w:r w:rsidRPr="00313A95">
        <w:rPr>
          <w:b/>
          <w:bCs/>
        </w:rPr>
        <w:t>Date:</w:t>
      </w:r>
      <w:r w:rsidRPr="00313A95">
        <w:t xml:space="preserve"> July 8, 2026</w:t>
      </w:r>
    </w:p>
    <w:p w14:paraId="0A3766B9" w14:textId="77777777" w:rsidR="000B4FD1" w:rsidRPr="00313A95" w:rsidRDefault="002573F3">
      <w:pPr>
        <w:spacing w:before="240" w:after="100"/>
      </w:pPr>
      <w:r w:rsidRPr="00313A95">
        <w:rPr>
          <w:b/>
          <w:bCs/>
        </w:rPr>
        <w:t>Subject:</w:t>
      </w:r>
      <w:r w:rsidRPr="00313A95">
        <w:t xml:space="preserve"> SOC 2 Audit Readiness Assessment &amp; Recommendations for FinanceGuard AI</w:t>
      </w:r>
    </w:p>
    <w:p w14:paraId="7D0457FA" w14:textId="77777777" w:rsidR="00313A95" w:rsidRDefault="002573F3">
      <w:pPr>
        <w:spacing w:before="240" w:after="100"/>
      </w:pPr>
      <w:r w:rsidRPr="00313A95">
        <w:t>Decision: CONDITIONAL GO for continued limited deployment; NO scaling or external-audit assertion until exit criteria are met. FinanceGuard AI has a defensible business use, but its current evidence package does not yet demonstrate that PII and confidential financial data are consistently protected across the hybrid-cloud lifecycle. The most consequential exposures are incomplete data lineage and deletion proof, insufficient operating evidence for API and model security, and the absence of a completed impact assessment. These weaknesses create avoidable risk of unauthorized disclosure, inconsistent retention, unreliable regulatory filings, and an adverse audit conclusion.</w:t>
      </w:r>
    </w:p>
    <w:p w14:paraId="0A6C6B67" w14:textId="06D38E3C" w:rsidR="000B4FD1" w:rsidRPr="00313A95" w:rsidRDefault="002573F3">
      <w:pPr>
        <w:spacing w:before="240" w:after="100"/>
      </w:pPr>
      <w:r w:rsidRPr="00313A95">
        <w:lastRenderedPageBreak/>
        <w:br/>
      </w:r>
      <w:r w:rsidRPr="00313A95">
        <w:br/>
        <w:t>The CISO should permit only the existing bounded use case with no new data sources, user groups, integrations, or production regions. Within the remediation window, the AI Program Lead must maintain the risk register and evidence plan; the Data Steward must complete lineage, minimization, retention, and deletion validation; Cyber Security must complete prompt-injection, vulnerability, access-control, and logging tests; and the Model Owner must approve the impact assessment, model card, limitations, and human-review requirements.</w:t>
      </w:r>
      <w:r w:rsidRPr="00313A95">
        <w:br/>
      </w:r>
      <w:r w:rsidRPr="00313A95">
        <w:br/>
        <w:t>Exit criteria are: CC6.1 upgraded to Pass through access and encryption operating evidence; CC6.3 and CC7.1 upgraded from Fail to Pass; all High gaps closed; and independent validation by External Audit Partners. Any confirmed PII exposure, failure to meet a milestone, or inability to produce complete evidence should trigger suspension and Steering Committee review. Scaling may proceed only after the CISO accepts residual risk in writing.</w:t>
      </w:r>
    </w:p>
    <w:p w14:paraId="7C60F7A0" w14:textId="77777777" w:rsidR="000B4FD1" w:rsidRPr="00313A95" w:rsidRDefault="000B4FD1">
      <w:pPr>
        <w:spacing w:after="100"/>
      </w:pPr>
    </w:p>
    <w:sectPr w:rsidR="000B4FD1" w:rsidRPr="00313A95">
      <w:headerReference w:type="default" r:id="rId6"/>
      <w:footerReference w:type="default" r:id="rId7"/>
      <w:pgSz w:w="11909" w:h="16834"/>
      <w:pgMar w:top="792" w:right="792" w:bottom="792" w:left="792"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88D5FD" w14:textId="77777777" w:rsidR="00C516D6" w:rsidRDefault="00C516D6">
      <w:pPr>
        <w:spacing w:line="240" w:lineRule="auto"/>
      </w:pPr>
      <w:r>
        <w:separator/>
      </w:r>
    </w:p>
  </w:endnote>
  <w:endnote w:type="continuationSeparator" w:id="0">
    <w:p w14:paraId="31A1F4F0" w14:textId="77777777" w:rsidR="00C516D6" w:rsidRDefault="00C516D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9929E1AF-A02F-40C6-9847-7D7C978B7ACC}"/>
    <w:embedBold r:id="rId2" w:fontKey="{4A10C814-78A9-4952-9A59-7B209EE621A0}"/>
    <w:embedItalic r:id="rId3" w:fontKey="{B34A222A-73EF-4D43-89C9-FCF1E35D1D43}"/>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Bold r:id="rId4" w:fontKey="{6008723D-2EF0-4D8B-8AE8-10FAF3B231CD}"/>
  </w:font>
  <w:font w:name="Calibri">
    <w:panose1 w:val="020F0502020204030204"/>
    <w:charset w:val="00"/>
    <w:family w:val="swiss"/>
    <w:pitch w:val="variable"/>
    <w:sig w:usb0="E4002EFF" w:usb1="C200247B" w:usb2="00000009" w:usb3="00000000" w:csb0="000001FF" w:csb1="00000000"/>
    <w:embedRegular r:id="rId5" w:fontKey="{27423430-A56D-479D-9B44-FD9966B10B5F}"/>
  </w:font>
  <w:font w:name="Cambria">
    <w:panose1 w:val="02040503050406030204"/>
    <w:charset w:val="00"/>
    <w:family w:val="roman"/>
    <w:pitch w:val="variable"/>
    <w:sig w:usb0="E00006FF" w:usb1="420024FF" w:usb2="02000000" w:usb3="00000000" w:csb0="0000019F" w:csb1="00000000"/>
    <w:embedRegular r:id="rId6" w:fontKey="{242BD575-33FF-457A-8241-548B35551BA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83E8A" w14:textId="658F7CDE" w:rsidR="00937C2F" w:rsidRDefault="00937C2F">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756D99" w14:textId="77777777" w:rsidR="00C516D6" w:rsidRDefault="00C516D6">
      <w:pPr>
        <w:spacing w:line="240" w:lineRule="auto"/>
      </w:pPr>
      <w:r>
        <w:separator/>
      </w:r>
    </w:p>
  </w:footnote>
  <w:footnote w:type="continuationSeparator" w:id="0">
    <w:p w14:paraId="1E01900A" w14:textId="77777777" w:rsidR="00C516D6" w:rsidRDefault="00C516D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004EB" w14:textId="166ADBE4" w:rsidR="00937C2F" w:rsidRDefault="00937C2F">
    <w:pP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FD1"/>
    <w:rsid w:val="0000031B"/>
    <w:rsid w:val="000B4FD1"/>
    <w:rsid w:val="002573F3"/>
    <w:rsid w:val="00313A95"/>
    <w:rsid w:val="004E3554"/>
    <w:rsid w:val="008B249F"/>
    <w:rsid w:val="00937C2F"/>
    <w:rsid w:val="00985569"/>
    <w:rsid w:val="00BA123B"/>
    <w:rsid w:val="00BC30D3"/>
    <w:rsid w:val="00C516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66E83"/>
  <w15:docId w15:val="{EDC53C4F-041A-46B0-B74A-55A6478BF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rFonts w:ascii="Aptos" w:hAnsi="Aptos"/>
      <w:sz w:val="18"/>
    </w:rPr>
  </w:style>
  <w:style w:type="paragraph" w:styleId="Heading1">
    <w:name w:val="heading 1"/>
    <w:basedOn w:val="Normal"/>
    <w:next w:val="Normal"/>
    <w:pPr>
      <w:keepNext/>
      <w:keepLines/>
      <w:spacing w:before="400" w:after="120"/>
      <w:outlineLvl w:val="0"/>
    </w:pPr>
    <w:rPr>
      <w:b/>
      <w:color w:val="17365D"/>
      <w:sz w:val="32"/>
      <w:szCs w:val="40"/>
    </w:rPr>
  </w:style>
  <w:style w:type="paragraph" w:styleId="Heading2">
    <w:name w:val="heading 2"/>
    <w:basedOn w:val="Normal"/>
    <w:next w:val="Normal"/>
    <w:pPr>
      <w:keepNext/>
      <w:keepLines/>
      <w:spacing w:before="360" w:after="120"/>
      <w:outlineLvl w:val="1"/>
    </w:pPr>
    <w:rPr>
      <w:b/>
      <w:color w:val="1F7285"/>
      <w:sz w:val="24"/>
      <w:szCs w:val="32"/>
    </w:rPr>
  </w:style>
  <w:style w:type="paragraph" w:styleId="Heading3">
    <w:name w:val="heading 3"/>
    <w:basedOn w:val="Normal"/>
    <w:next w:val="Normal"/>
    <w:pPr>
      <w:keepNext/>
      <w:keepLines/>
      <w:spacing w:before="320" w:after="80"/>
      <w:outlineLvl w:val="2"/>
    </w:pPr>
    <w:rPr>
      <w:b/>
      <w:color w:val="1F7285"/>
      <w:sz w:val="20"/>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rFonts w:ascii="Aptos Display" w:hAnsi="Aptos Display"/>
      <w:b/>
      <w:color w:val="17365D"/>
      <w:sz w:val="44"/>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Header">
    <w:name w:val="header"/>
    <w:basedOn w:val="Normal"/>
    <w:link w:val="HeaderChar"/>
    <w:uiPriority w:val="99"/>
    <w:unhideWhenUsed/>
    <w:rsid w:val="00313A95"/>
    <w:pPr>
      <w:tabs>
        <w:tab w:val="center" w:pos="4680"/>
        <w:tab w:val="right" w:pos="9360"/>
      </w:tabs>
      <w:spacing w:line="240" w:lineRule="auto"/>
    </w:pPr>
  </w:style>
  <w:style w:type="character" w:customStyle="1" w:styleId="HeaderChar">
    <w:name w:val="Header Char"/>
    <w:basedOn w:val="DefaultParagraphFont"/>
    <w:link w:val="Header"/>
    <w:uiPriority w:val="99"/>
    <w:rsid w:val="00313A95"/>
    <w:rPr>
      <w:rFonts w:ascii="Aptos" w:hAnsi="Aptos"/>
      <w:sz w:val="18"/>
    </w:rPr>
  </w:style>
  <w:style w:type="paragraph" w:styleId="Footer">
    <w:name w:val="footer"/>
    <w:basedOn w:val="Normal"/>
    <w:link w:val="FooterChar"/>
    <w:uiPriority w:val="99"/>
    <w:unhideWhenUsed/>
    <w:rsid w:val="00313A95"/>
    <w:pPr>
      <w:tabs>
        <w:tab w:val="center" w:pos="4680"/>
        <w:tab w:val="right" w:pos="9360"/>
      </w:tabs>
      <w:spacing w:line="240" w:lineRule="auto"/>
    </w:pPr>
  </w:style>
  <w:style w:type="character" w:customStyle="1" w:styleId="FooterChar">
    <w:name w:val="Footer Char"/>
    <w:basedOn w:val="DefaultParagraphFont"/>
    <w:link w:val="Footer"/>
    <w:uiPriority w:val="99"/>
    <w:rsid w:val="00313A95"/>
    <w:rPr>
      <w:rFonts w:ascii="Aptos" w:hAnsi="Apto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542</Words>
  <Characters>3475</Characters>
  <Application>Microsoft Office Word</Application>
  <DocSecurity>0</DocSecurity>
  <Lines>99</Lines>
  <Paragraphs>51</Paragraphs>
  <ScaleCrop>false</ScaleCrop>
  <Company/>
  <LinksUpToDate>false</LinksUpToDate>
  <CharactersWithSpaces>3966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Bailly, Hayden</dc:creator>
  <cp:lastModifiedBy>Bailly, Hayden</cp:lastModifiedBy>
  <cp:revision>3</cp:revision>
  <dcterms:created xsi:type="dcterms:W3CDTF">2026-10-13T19:11:00Z</dcterms:created>
  <dcterms:modified xsi:type="dcterms:W3CDTF">2026-10-13T19:16:00Z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aa652a91-c9ab-4a89-b558-7ea3a765641b</vt:lpwstr>
  </property>
  <property fmtid="{D5CDD505-2E9C-101B-9397-08002B2CF9AE}" pid="3" name="MSIP_Label_419954af-3d4d-4e34-b6d3-a2c1aff7c6fb_Enabled">
    <vt:lpwstr>true</vt:lpwstr>
  </property>
  <property fmtid="{D5CDD505-2E9C-101B-9397-08002B2CF9AE}" pid="4" name="MSIP_Label_419954af-3d4d-4e34-b6d3-a2c1aff7c6fb_SetDate">
    <vt:lpwstr>2026-10-13T18:57:54Z</vt:lpwstr>
  </property>
  <property fmtid="{D5CDD505-2E9C-101B-9397-08002B2CF9AE}" pid="5" name="MSIP_Label_419954af-3d4d-4e34-b6d3-a2c1aff7c6fb_Method">
    <vt:lpwstr>Privileged</vt:lpwstr>
  </property>
  <property fmtid="{D5CDD505-2E9C-101B-9397-08002B2CF9AE}" pid="6" name="MSIP_Label_419954af-3d4d-4e34-b6d3-a2c1aff7c6fb_Name">
    <vt:lpwstr>defa4170-0d19-0005-0004-bc88714345d2</vt:lpwstr>
  </property>
  <property fmtid="{D5CDD505-2E9C-101B-9397-08002B2CF9AE}" pid="7" name="MSIP_Label_419954af-3d4d-4e34-b6d3-a2c1aff7c6fb_SiteId">
    <vt:lpwstr>7d76d45a-a201-4a68-bf3a-597f0a5fa533</vt:lpwstr>
  </property>
  <property fmtid="{D5CDD505-2E9C-101B-9397-08002B2CF9AE}" pid="8" name="MSIP_Label_419954af-3d4d-4e34-b6d3-a2c1aff7c6fb_ActionId">
    <vt:lpwstr>41dda5a8-1ca1-4f32-9e16-e2c1b2b10404</vt:lpwstr>
  </property>
  <property fmtid="{D5CDD505-2E9C-101B-9397-08002B2CF9AE}" pid="9" name="MSIP_Label_419954af-3d4d-4e34-b6d3-a2c1aff7c6fb_ContentBits">
    <vt:lpwstr>0</vt:lpwstr>
  </property>
</Properties>
</file>