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D6A4F"/>
          <w:sz w:val="52"/>
          <w:szCs w:val="52"/>
        </w:rPr>
        <w:t xml:space="preserve">山川造物</w:t>
      </w:r>
    </w:p>
    <w:p>
      <w:pPr>
        <w:spacing w:after="80"/>
        <w:jc w:val="center"/>
      </w:pPr>
      <w:r>
        <w:rPr>
          <w:rFonts w:ascii="Arial" w:cs="Arial" w:eastAsia="Arial" w:hAnsi="Arial"/>
          <w:color w:val="A0A0A0"/>
          <w:spacing w:val="200"/>
          <w:sz w:val="18"/>
          <w:szCs w:val="18"/>
        </w:rPr>
        <w:t xml:space="preserve">NATURE’S CREATIONS</w:t>
      </w:r>
    </w:p>
    <w:p>
      <w:pPr>
        <w:spacing w:after="3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C2C2C"/>
          <w:sz w:val="36"/>
          <w:szCs w:val="36"/>
        </w:rPr>
        <w:t xml:space="preserve">加盟合作说明书</w:t>
      </w:r>
    </w:p>
    <w:p>
      <w:pPr>
        <w:spacing w:after="80"/>
        <w:jc w:val="center"/>
      </w:pPr>
      <w:r>
        <w:rPr>
          <w:rFonts w:ascii="Arial" w:cs="Arial" w:eastAsia="Arial" w:hAnsi="Arial"/>
          <w:color w:val="A0A0A0"/>
          <w:sz w:val="22"/>
          <w:szCs w:val="22"/>
        </w:rPr>
        <w:t xml:space="preserve">Franchise Partnership Guide</w:t>
      </w:r>
    </w:p>
    <w:p>
      <w:pPr>
        <w:spacing w:after="100"/>
      </w:pPr>
    </w:p>
    <w:p>
      <w:pPr>
        <w:jc w:val="center"/>
      </w:pPr>
      <w:r>
        <w:rPr>
          <w:rFonts w:ascii="SimSun" w:cs="SimSun" w:eastAsia="SimSun" w:hAnsi="SimSun"/>
          <w:color w:val="6B6B6B"/>
          <w:sz w:val="20"/>
          <w:szCs w:val="20"/>
        </w:rPr>
        <w:t xml:space="preserve">让每一座城市都有一座山川的博物馆</w:t>
      </w:r>
    </w:p>
    <w:p>
      <w:pPr>
        <w:spacing w:after="1800"/>
      </w:pPr>
    </w:p>
    <w:p>
      <w:pPr>
        <w:jc w:val="center"/>
      </w:pPr>
      <w:r>
        <w:rPr>
          <w:rFonts w:ascii="SimSun" w:cs="SimSun" w:eastAsia="SimSun" w:hAnsi="SimSun"/>
          <w:color w:val="A0A0A0"/>
          <w:sz w:val="20"/>
          <w:szCs w:val="20"/>
        </w:rPr>
        <w:t xml:space="preserve">2026年4月</w:t>
      </w:r>
    </w:p>
    <w:p>
      <w:r>
        <w:br w:type="page"/>
      </w:r>
    </w:p>
    <w:p>
      <w:pPr>
        <w:pStyle w:val="Heading1"/>
      </w:pPr>
      <w:r>
        <w:t xml:space="preserve">为什么加盟山川造物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山川造物是中国首个自然标本美学生活方式品牌。预估文创标本市场规模¥85亿+（CAGR 18.5%），核心消费人群25-40岁新中产，平均客单价¥680。这个品类在中国没有品牌化的先例。</w:t>
      </w:r>
    </w:p>
    <w:p>
      <w:pPr>
        <w:pStyle w:val="Heading1"/>
      </w:pPr>
      <w:r>
        <w:t xml:space="preserve">加盟模式</w:t>
      </w:r>
    </w:p>
    <w:p>
      <w:pPr>
        <w:pStyle w:val="Heading2"/>
      </w:pPr>
      <w:r>
        <w:t xml:space="preserve">股权结构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公司品牌入股40%（不出现金），投资人出资60%。投资人为纯财务投资人，不参与日常经营，享受分红权+知情权。每季度收到财务报告。运营满2年后可按约定估值退出。</w:t>
      </w:r>
    </w:p>
    <w:p>
      <w:pPr>
        <w:pStyle w:val="Heading1"/>
      </w:pPr>
      <w:r>
        <w:t xml:space="preserve">您将获得什么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1. 品牌授权：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“山川造物”品牌使用权、VI视觉标准、统一包装体系。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2. 产品供应链：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核心标品线统一供货，确保品质一致性。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3. 运营SOP与培训：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门店运营手册、员工培训、定期巡检与指导。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4. 数字化工具套件（开箱即用）：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小程序商城、店长后台（账本/订单/核销/藏品/活动/权益/人员/装修/内容）、AI智能中心（智能库存/定价/预测/画像）、收藏家协会会员体系。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5. 线上流量引流：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小程序/社交媒体线上流量导入门店。</w:t>
      </w:r>
    </w:p>
    <w:p>
      <w:pPr>
        <w:pStyle w:val="Heading1"/>
      </w:pPr>
      <w:r>
        <w:t xml:space="preserve">单店经济模型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指标</w:t>
            </w:r>
          </w:p>
        </w:tc>
        <w:tc>
          <w:tcPr>
            <w:tcW w:type="dxa" w:w="316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数值</w:t>
            </w:r>
          </w:p>
        </w:tc>
        <w:tc>
          <w:tcPr>
            <w:tcW w:type="dxa" w:w="316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6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初始投资</w:t>
            </w:r>
          </w:p>
        </w:tc>
        <w:tc>
          <w:tcPr>
            <w:tcW w:type="dxa" w:w="316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30-50万</w:t>
            </w:r>
          </w:p>
        </w:tc>
        <w:tc>
          <w:tcPr>
            <w:tcW w:type="dxa" w:w="316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选址装修+首批库存+开业</w:t>
            </w:r>
          </w:p>
        </w:tc>
      </w:tr>
      <w:tr>
        <w:tc>
          <w:tcPr>
            <w:tcW w:type="dxa" w:w="316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月均营收</w:t>
            </w:r>
          </w:p>
        </w:tc>
        <w:tc>
          <w:tcPr>
            <w:tcW w:type="dxa" w:w="316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8-15万</w:t>
            </w:r>
          </w:p>
        </w:tc>
        <w:tc>
          <w:tcPr>
            <w:tcW w:type="dxa" w:w="316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基于现有店推演</w:t>
            </w:r>
          </w:p>
        </w:tc>
      </w:tr>
      <w:tr>
        <w:tc>
          <w:tcPr>
            <w:tcW w:type="dxa" w:w="316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毛利率</w:t>
            </w:r>
          </w:p>
        </w:tc>
        <w:tc>
          <w:tcPr>
            <w:tcW w:type="dxa" w:w="316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60-70%</w:t>
            </w:r>
          </w:p>
        </w:tc>
        <w:tc>
          <w:tcPr>
            <w:tcW w:type="dxa" w:w="316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自制产品毛利高</w:t>
            </w:r>
          </w:p>
        </w:tc>
      </w:tr>
      <w:tr>
        <w:tc>
          <w:tcPr>
            <w:tcW w:type="dxa" w:w="316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预计回本</w:t>
            </w:r>
          </w:p>
        </w:tc>
        <w:tc>
          <w:tcPr>
            <w:tcW w:type="dxa" w:w="316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12-18个月</w:t>
            </w:r>
          </w:p>
        </w:tc>
        <w:tc>
          <w:tcPr>
            <w:tcW w:type="dxa" w:w="316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保守估计</w:t>
            </w:r>
          </w:p>
        </w:tc>
      </w:tr>
    </w:tbl>
    <w:p>
      <w:pPr>
        <w:pStyle w:val="Heading1"/>
      </w:pPr>
      <w:r>
        <w:t xml:space="preserve">区域主题化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每家店70%统一标品+30%城市专属主题。长春=东北物种+冰雪，大理=雨林+蝶蝶王国，上海=都市自然回归，杭州=西湖茶韵，成都=四川生态，海南=海洋珊瑚。</w:t>
      </w:r>
    </w:p>
    <w:p>
      <w:pPr>
        <w:pStyle w:val="Heading1"/>
      </w:pPr>
      <w:r>
        <w:t xml:space="preserve">加盟流程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1.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意向沟通 → 2. 实地考察现有店 → 3. 选址评估 → 4. 签约装修培训开业</w:t>
      </w:r>
    </w:p>
    <w:p>
      <w:pPr>
        <w:pStyle w:val="Heading1"/>
      </w:pPr>
      <w:r>
        <w:t xml:space="preserve">联系方式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加盟咨询：[待填写]。现有门店参观：通过小程序“山川造物”预约入店参观。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2026-04-14T09:08:07.768Z</dcterms:created>
  <dcterms:modified xsi:type="dcterms:W3CDTF">2026-04-14T09:08:07.768Z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