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MOUNTAIN &amp; RIVER CREATIONS</w:t>
      </w:r>
    </w:p>
    <w:p>
      <w:pPr>
        <w:spacing w:after="4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公司化股权架构方案</w:t>
      </w:r>
    </w:p>
    <w:p>
      <w:pPr>
        <w:spacing w:after="100"/>
        <w:jc w:val="center"/>
      </w:pPr>
      <w:r>
        <w:rPr>
          <w:rFonts w:ascii="SimSun" w:cs="SimSun" w:eastAsia="SimSun" w:hAnsi="SimSun"/>
          <w:color w:val="A0A0A0"/>
          <w:sz w:val="22"/>
          <w:szCs w:val="22"/>
        </w:rPr>
        <w:t xml:space="preserve">--- 致全体合伙人 ---</w:t>
      </w:r>
    </w:p>
    <w:p>
      <w:pPr>
        <w:spacing w:after="1600"/>
      </w:pPr>
    </w:p>
    <w:p>
      <w:pPr>
        <w:spacing w:after="60"/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内部文件 / 保密</w:t>
      </w: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2026年4月</w:t>
      </w:r>
    </w:p>
    <w:p>
      <w:r>
        <w:br w:type="page"/>
      </w:r>
    </w:p>
    <w:p>
      <w:pPr>
        <w:pStyle w:val="Heading1"/>
      </w:pPr>
      <w:r>
        <w:t xml:space="preserve">一、背景与现状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山川造物自创立以来，已经完成了从“一个想法”到“一家店”的跳跃。现在，我们站在下一个跳跃的起点——从单店模式迈向公司化运营。这份文件的目的，是让三位合伙人对未来的权责利结构达成共识。</w:t>
      </w:r>
    </w:p>
    <w:p>
      <w:pPr>
        <w:pStyle w:val="Heading2"/>
      </w:pPr>
      <w:r>
        <w:t xml:space="preserve">当前合伙结构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306"/>
      </w:tblGrid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姓名</w:t>
            </w:r>
          </w:p>
        </w:tc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回本前分成</w:t>
            </w:r>
          </w:p>
        </w:tc>
        <w:tc>
          <w:tcPr>
            <w:tcW w:type="dxa" w:w="2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回本后分成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技术合伙人</w:t>
            </w:r>
          </w:p>
        </w:tc>
        <w:tc>
          <w:tcPr>
            <w:tcW w:type="dxa" w:w="2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廉澍</w:t>
            </w:r>
          </w:p>
        </w:tc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40%</w:t>
            </w:r>
          </w:p>
        </w:tc>
        <w:tc>
          <w:tcPr>
            <w:tcW w:type="dxa" w:w="2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投资人 A</w:t>
            </w:r>
          </w:p>
        </w:tc>
        <w:tc>
          <w:tcPr>
            <w:tcW w:type="dxa" w:w="2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---</w:t>
            </w:r>
          </w:p>
        </w:tc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40%</w:t>
            </w:r>
          </w:p>
        </w:tc>
        <w:tc>
          <w:tcPr>
            <w:tcW w:type="dxa" w:w="2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投资人 B</w:t>
            </w:r>
          </w:p>
        </w:tc>
        <w:tc>
          <w:tcPr>
            <w:tcW w:type="dxa" w:w="26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李贺</w:t>
            </w:r>
          </w:p>
        </w:tc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20%</w:t>
            </w:r>
          </w:p>
        </w:tc>
        <w:tc>
          <w:tcPr>
            <w:tcW w:type="dxa" w:w="2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初始投资30万元，财务上已回本，已完成首次分红5万元。大量资金沉淀在库存中。</w:t>
      </w:r>
    </w:p>
    <w:p>
      <w:pPr>
        <w:pStyle w:val="Heading2"/>
      </w:pPr>
      <w:r>
        <w:t xml:space="preserve">为什么需要公司化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单店分成协议解决的是“这个月赚的钱怎么分”，但它解决不了三个问题：“山川造物”这个品牌属于谁？谁有权做什么决策？未来融资或扩张时怎么办？公司化是把规则写清楚，让大家在同一套规则下安心地往前走。</w:t>
      </w:r>
    </w:p>
    <w:p>
      <w:pPr>
        <w:pStyle w:val="Heading2"/>
      </w:pPr>
      <w:r>
        <w:t xml:space="preserve">公司化后的分工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廉澍（产品总监）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李贺（总经理）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核心职责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产品创意、设计、制作、
新品研发、质量管控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公司战略、品牌、财务、
法务、线上化、内容营销、
对外商务、人事决策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决策权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产品域内充分自主权：
创意、工艺、选品、生产排期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商业域全权授权：
定价、渠道、品牌呈现、
对外合作、招聘</w:t>
            </w:r>
          </w:p>
        </w:tc>
      </w:tr>
      <w:tr>
        <w:tc>
          <w:tcPr>
            <w:tcW w:type="dxa" w:w="2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一句话总结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“做什么产品、怎么做”
廉澍说了算</w:t>
            </w:r>
          </w:p>
        </w:tc>
        <w:tc>
          <w:tcPr>
            <w:tcW w:type="dxa" w:w="3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“卖给谁、怎么卖、怎么管”
李贺说了算</w:t>
            </w:r>
          </w:p>
        </w:tc>
      </w:tr>
    </w:tbl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投资人A在公司中不参与日常经营决策，享有知情权、分红权和优先认购权。</w:t>
      </w:r>
    </w:p>
    <w:p>
      <w:r>
        <w:br w:type="page"/>
      </w:r>
    </w:p>
    <w:p>
      <w:pPr>
        <w:pStyle w:val="Heading1"/>
      </w:pPr>
      <w:r>
        <w:t xml:space="preserve">二、方案一：“创始人优先”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核心理念：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尊重廉澍作为项目发起人和技术核心的地位，保持最大股东地位。李贺通过章程授权获得经营管理权，不在股权层面与廉澍争主导。</w:t>
      </w:r>
    </w:p>
    <w:p>
      <w:pPr>
        <w:pStyle w:val="Heading3"/>
      </w:pPr>
      <w:r>
        <w:t xml:space="preserve">股权结构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5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股东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原分成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新股权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变化说明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廉澍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45%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↑ 创始人+技术核心溢价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李贺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35%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↑ 反映扩大的经营管理职责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投资人 A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20%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↓ 纯财务投资人正常稀释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廉澍的收入结构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固定月薪：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按市场水平设定基础薪资，保障生活成本。无论公司当月是否盈利，月薪照发。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季度分红：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公司每季度按净利润的约定比例进行分红，廉澍按股权比例拿45%。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年度绩效奖金：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基于产品端 KPI（产能完成率、良品率、新品研发数量），达标后额外发放。</w:t>
      </w:r>
    </w:p>
    <w:p>
      <w:pPr>
        <w:pStyle w:val="Heading3"/>
      </w:pPr>
      <w:r>
        <w:t xml:space="preserve">李贺的经营授权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李贺担任执行董事兼总经理，在公司章程中明确授权范围：品牌方向、渠道拓展、定价策略、财务管理、对外合作、人事决策等日常经营管理事务，不需要股东会逐事表决。</w:t>
      </w:r>
    </w:p>
    <w:p>
      <w:pPr>
        <w:pStyle w:val="Heading3"/>
      </w:pPr>
      <w:r>
        <w:t xml:space="preserve">重大事项表决机制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以下事项需要股东会三分之二以上表决通过：修改公司章程、增资扩股、公司合并/解散、单笔超过约定金额的重大支出。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在这个方案下，廉澍持栉45%股权，在重大事项表决中拥有事实上的否决权（任何两方联合都无法在廉澍反对的情况下通过重大决策）。</w:t>
      </w:r>
    </w:p>
    <w:p>
      <w:pPr>
        <w:pStyle w:val="Heading3"/>
      </w:pPr>
      <w:r>
        <w:t xml:space="preserve">方案一总结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廉澍获得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最大股东地位（45%）+ 重大事项否决权 + 产品域充分自主权 + 固定月薪 + 分红 + 奖金</w:t>
            </w:r>
          </w:p>
        </w:tc>
      </w:tr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李贺获得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经营管理全权授权 + 35%股权 + 品牌和商业方向控制权</w:t>
            </w:r>
          </w:p>
        </w:tc>
      </w:tr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投资人 A 获得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20%股权 + 分红权 + 知情权 + 清晰退出通道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三、方案二：“对等合伙”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核心理念：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廉澍和李贺作为公司的两个核心支柱——一个管产品、一个管商业——在股权层面完全对等。双方以同等的投入和同等的担当共同把山川造物做大。</w:t>
      </w:r>
    </w:p>
    <w:p>
      <w:pPr>
        <w:pStyle w:val="Heading3"/>
      </w:pPr>
      <w:r>
        <w:t xml:space="preserve">股权结构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5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股东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原分成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新股权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变化说明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廉澍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40%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→ 保持不变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李贺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40%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↑ 反映全职经营管理贡献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投资人 A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20"/>
                <w:szCs w:val="20"/>
              </w:rPr>
              <w:t xml:space="preserve">20%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↓ 纯财务投资人正常稀释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廉澍的收入结构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固定月薪：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与方案一相同，按市场水平设定基础薪资。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季度分红：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每季度按净利润分红，廉澍拿40%。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年度绩效奖金：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与方案一相同，基于产品端 KPI。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额外补偿：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由于股权从40%变为与李贺对等，廉澍的固定月薪在方案二中可以设定得更高，作为对他日常全职产品工作的认可。</w:t>
      </w:r>
    </w:p>
    <w:p>
      <w:pPr>
        <w:pStyle w:val="Heading3"/>
      </w:pPr>
      <w:r>
        <w:t xml:space="preserve">共同决策机制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在对等股权下，重大事项需要廉澍和李贺双方一致同意才能通过。这意味着任何一方都不能在对方反对的情况下单方面推进重大变更。日常经营事务仍然按职责划分——产品域廉澍决策，商业域李贺决策。</w:t>
      </w:r>
    </w:p>
    <w:p>
      <w:pPr>
        <w:pStyle w:val="Heading3"/>
      </w:pPr>
      <w:r>
        <w:t xml:space="preserve">僵局处理机制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对等股权的潜在风险是意见分歧时无法表决。为防止僵局，在章程中约定：双方先协商；协商不成则引入双方共同认可的第三方进行调解；调解不成则触发预设的回购机制——一方可以按约定估值回购另一方的股份。</w:t>
      </w:r>
    </w:p>
    <w:p>
      <w:pPr>
        <w:pStyle w:val="Heading3"/>
      </w:pPr>
      <w:r>
        <w:t xml:space="preserve">方案二总结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廉澍获得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对等股东地位（40%）+ 重大事项共同决策权 + 产品域自主权 + 更高固定月薪 + 分红 + 奖金</w:t>
            </w:r>
          </w:p>
        </w:tc>
      </w:tr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李贺获得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对等股东地位（40%）+ 经营管理全权授权 + 品牌和商业方向控制权</w:t>
            </w:r>
          </w:p>
        </w:tc>
      </w:tr>
      <w:tr>
        <w:tc>
          <w:tcPr>
            <w:tcW w:type="dxa" w:w="30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20"/>
                <w:szCs w:val="20"/>
              </w:rPr>
              <w:t xml:space="preserve">投资人 A 获得</w:t>
            </w:r>
          </w:p>
        </w:tc>
        <w:tc>
          <w:tcPr>
            <w:tcW w:type="dxa" w:w="6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20%股权 + 分红权 + 知情权 + 清晰退出通道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四、两个方案的核心差异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500"/>
        <w:gridCol w:w="3500"/>
      </w:tblGrid>
      <w:tr>
        <w:tc>
          <w:tcPr>
            <w:tcW w:type="dxa" w:w="2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方案一：创始人优先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方案二：对等合伙</w:t>
            </w:r>
          </w:p>
        </w:tc>
      </w:tr>
      <w:tr>
        <w:tc>
          <w:tcPr>
            <w:tcW w:type="dxa" w:w="2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廉澍股权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45%（最大股东）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40%（与李贺对等）</w:t>
            </w:r>
          </w:p>
        </w:tc>
      </w:tr>
      <w:tr>
        <w:tc>
          <w:tcPr>
            <w:tcW w:type="dxa" w:w="2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李贺股权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35%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重大决策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廉澍有事实否决权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双方必须一致同意</w:t>
            </w:r>
          </w:p>
        </w:tc>
      </w:tr>
      <w:tr>
        <w:tc>
          <w:tcPr>
            <w:tcW w:type="dxa" w:w="2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廉澍固定月薪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市场水平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高于市场水平</w:t>
            </w:r>
          </w:p>
        </w:tc>
      </w:tr>
      <w:tr>
        <w:tc>
          <w:tcPr>
            <w:tcW w:type="dxa" w:w="2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廉澍的感受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“我是老大，公司尊重我”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“我和李贺是真正的合伙人”</w:t>
            </w:r>
          </w:p>
        </w:tc>
      </w:tr>
      <w:tr>
        <w:tc>
          <w:tcPr>
            <w:tcW w:type="dxa" w:w="2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C2C2C"/>
                <w:sz w:val="18"/>
                <w:szCs w:val="18"/>
              </w:rPr>
              <w:t xml:space="preserve">潜在风险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李贺作为小股东动力
可能不足</w:t>
            </w:r>
          </w:p>
        </w:tc>
        <w:tc>
          <w:tcPr>
            <w:tcW w:type="dxa" w:w="35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对等股权可能产生
决策僵局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五、共同条款（两个方案均适用）</w:t>
      </w:r>
    </w:p>
    <w:p>
      <w:pPr>
        <w:pStyle w:val="Heading3"/>
      </w:pPr>
      <w:r>
        <w:t xml:space="preserve">股权成熟机制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三方股权均设置4年成熟期，每年成熟25%。中途退出者，未成熟部分由公司按约定估值回购。此条款对所有人一视同仁，保护每一方的利益。</w:t>
      </w:r>
    </w:p>
    <w:p>
      <w:pPr>
        <w:pStyle w:val="Heading3"/>
      </w:pPr>
      <w:r>
        <w:t xml:space="preserve">投资人 A 退出通道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公司成立满两年后，投资人A可选择：继续持股享受分红；或按约定估值（如净资产的X倍）将股份出售给廉澍和李贺。这给了投资人清晰的退出预期。</w:t>
      </w:r>
    </w:p>
    <w:p>
      <w:pPr>
        <w:pStyle w:val="Heading3"/>
      </w:pPr>
      <w:r>
        <w:t xml:space="preserve">知识产权与品牌归属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“山川造物”品牌、商标、设计资产均归公司所有，不归任何个人。廉澍开发的产品设计和工艺归公司。李贺建设的品牌体系、线上渠道、客户资源归公司。这是保护品牌的最重要条款。</w:t>
      </w:r>
    </w:p>
    <w:p>
      <w:pPr>
        <w:pStyle w:val="Heading3"/>
      </w:pPr>
      <w:r>
        <w:t xml:space="preserve">竞业约定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在职期间及离职后两年内，廉澍和李贺均不得从事与山川造物直接竞争的业务。</w:t>
      </w:r>
    </w:p>
    <w:p>
      <w:pPr>
        <w:pStyle w:val="Heading3"/>
      </w:pPr>
      <w:r>
        <w:t xml:space="preserve">财务透明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每月固定日期对账，使用统一的记账工具，三方均可查看。每季度出具财务报告。</w:t>
      </w:r>
    </w:p>
    <w:p>
      <w:pPr>
        <w:spacing w:after="300"/>
      </w:pPr>
    </w:p>
    <w:p>
      <w:pPr>
        <w:pStyle w:val="Heading1"/>
      </w:pPr>
      <w:r>
        <w:t xml:space="preserve">六、下一步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请三位合伙人各自消化这份文件，然后约一次三方会议，共同确认选择方案一或方案二。确认后，委托律师起草正式的公司章程和股东协议。</w:t>
      </w:r>
    </w:p>
    <w:p>
      <w:pPr>
        <w:spacing w:after="100"/>
      </w:pPr>
    </w:p>
    <w:p>
      <w:pPr>
        <w:spacing w:after="160" w:line="380"/>
        <w:jc w:val="both"/>
      </w:pPr>
      <w:r>
        <w:rPr>
          <w:rFonts w:ascii="SimSun" w:cs="SimSun" w:eastAsia="SimSun" w:hAnsi="SimSun"/>
          <w:i/>
          <w:iCs/>
          <w:color w:val="2C2C2C"/>
          <w:sz w:val="22"/>
          <w:szCs w:val="22"/>
        </w:rPr>
        <w:t xml:space="preserve">无论选择哪个方案，核心都是同一件事：把规则写清楚，让大家安心地一起往前走。山川造物的未来，属于我们每一个人。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2026-04-12T14:15:11.848Z</dcterms:created>
  <dcterms:modified xsi:type="dcterms:W3CDTF">2026-04-12T14:15:11.874Z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