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投资人详细说明文件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Investor Detailed Memo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CONFIDENTIAL | 2026年4月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山川造物（Nature’s Creations）是中国首个自然标本美学生活方式品牌。以“门店即博物馆”的沉浸体验、品牌授权加盟模式、AI驱动的超级个体运营为核心竞争力，在自然标本这个“有品类无品牌”的市场中建立第一个品牌。</w:t>
      </w:r>
    </w:p>
    <w:p>
      <w:pPr>
        <w:pStyle w:val="Heading1"/>
      </w:pPr>
      <w:r>
        <w:t xml:space="preserve">二、市场机会</w:t>
      </w:r>
    </w:p>
    <w:p>
      <w:pPr>
        <w:pStyle w:val="Heading2"/>
      </w:pPr>
      <w:r>
        <w:t xml:space="preserve">2.1 三个趋势交汇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自然回归消费：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城市人群对自然美学产品的消费持续增长，生物亲和性设计(Biophilic Design)成为主流。预估文创标本市场规模¥85亿+，CAGR 18.5%。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文旅体验经济：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文创零售从“卖纪念品”转向“卖体验”。消费者为沉浸式空间体验付费。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超级个体+AI：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AI工具让1人的品牌运营能力等于3-5人团队。内容、私域、开发全部AI驱动，极致效率。</w:t>
      </w:r>
    </w:p>
    <w:p>
      <w:pPr>
        <w:pStyle w:val="Heading2"/>
      </w:pPr>
      <w:r>
        <w:t xml:space="preserve">2.2 市场空白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中国自然标本行业高度分散，以淘宝白牌和景区地摊为主。没有一个品牌做到统一的品牌识别+标准化产品线+可复制的门店体验+线上内容矩阵。山川造物要做这个品类的第一个品牌。</w:t>
      </w:r>
    </w:p>
    <w:p>
      <w:pPr>
        <w:pStyle w:val="Heading1"/>
      </w:pPr>
      <w:r>
        <w:t xml:space="preserve">三、商业模式</w:t>
      </w:r>
    </w:p>
    <w:p>
      <w:pPr>
        <w:pStyle w:val="Heading2"/>
      </w:pPr>
      <w:r>
        <w:t xml:space="preserve">3.1 双层架构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品牌平台公司（上层）+ 门店投资实体（下层）。公司拥有品牌、供应链、数字化系统等全部核心资产，通过向门店输出品牌+管理能力获取40%股权和管理费，用品牌撒动外部资本扩张。</w:t>
      </w:r>
    </w:p>
    <w:p>
      <w:pPr>
        <w:pStyle w:val="Heading2"/>
      </w:pPr>
      <w:r>
        <w:t xml:space="preserve">3.2 公司五条收入流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门店40%股权利润分红（长期收益）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产品供货差价（统一供货的毛利）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品牌管理费（月营收3-5%）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线上直营收入（小程序商城）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5.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B端/IP收入（远期）</w:t>
      </w:r>
    </w:p>
    <w:p>
      <w:pPr>
        <w:pStyle w:val="Heading2"/>
      </w:pPr>
      <w:r>
        <w:t xml:space="preserve">3.3 增长飞轮（胖东来模型）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极致门店体验 → 社交内容传播 → 品牌认知与社群归属 → 吸引加盟投资人扩张 → 采购量增长倒推供应链优化 → 更好的产品与创新 → 回到门店体验（循环加速）。核心能力是品牌和内容，不是供应链。</w:t>
      </w:r>
    </w:p>
    <w:p>
      <w:pPr>
        <w:pStyle w:val="Heading1"/>
      </w:pPr>
      <w:r>
        <w:t xml:space="preserve">四、数字化运营能力（已落地）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以下系统均已开发完成并上线运行，由CEO李贺独立开发（Cursor+Vue.js），体现AI驱动超级个体的核心能力。</w:t>
      </w:r>
    </w:p>
    <w:p>
      <w:pPr>
        <w:pStyle w:val="Heading2"/>
      </w:pPr>
      <w:r>
        <w:t xml:space="preserve">4.1 官方小程序（C端）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博物标本室四大分类导航（神奇昆虫/群山回响/植物探微/无尽海洋）、在线商城、收藏家协会会员体系（多级等级+成长值+积分+成就+图鉴+证书，游戏化留存设计）、AI标本鉴定（拍照识别物种）、预约系统（入店参观/手作课程/特别活动，含电子门票生成）、用户社区。</w:t>
      </w:r>
    </w:p>
    <w:p>
      <w:pPr>
        <w:pStyle w:val="Heading2"/>
      </w:pPr>
      <w:r>
        <w:t xml:space="preserve">4.2 ERP管理后台（桌面端）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经营驾驶舱（实时营收/订单/会员/待办/趋势）、实时监控大屏、运营决策中心、战略调研看板（行业总览/产业链地图/产品金字塔/爆品生成器/流量漏斗/竞品分析/盈利模拟/门店设计/3年规划/AI用研结论）、AI智能中心（智能库存管理/动态定价优化/销售预测分析/客户画像分析/门店经营助手，支持工具模式/智能咨询/博弈辩论三种交互）。</w:t>
      </w:r>
    </w:p>
    <w:p>
      <w:pPr>
        <w:pStyle w:val="Heading2"/>
      </w:pPr>
      <w:r>
        <w:t xml:space="preserve">4.3 店长后台（小程序端）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GMV概览（线上/门店分渠道）、九大管理模块（账本/订单/核销/藏品/活动/权益/人员/装修/内容）、库存资产、渠道占比、营收趋势。加盟商开店即获得全套系统，零边际技术成本复制。</w:t>
      </w:r>
    </w:p>
    <w:p>
      <w:pPr>
        <w:pStyle w:val="Heading1"/>
      </w:pPr>
      <w:r>
        <w:t xml:space="preserve">五、团队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206"/>
      </w:tblGrid>
      <w:tr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姓名</w:t>
            </w:r>
          </w:p>
        </w:tc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角色</w:t>
            </w:r>
          </w:p>
        </w:tc>
        <w:tc>
          <w:tcPr>
            <w:tcW w:type="dxa" w:w="42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背景</w:t>
            </w:r>
          </w:p>
        </w:tc>
      </w:tr>
      <w:tr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李贺</w:t>
            </w:r>
          </w:p>
        </w:tc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CEO / 执行董事 / 45%股权</w:t>
            </w:r>
          </w:p>
        </w:tc>
        <w:tc>
          <w:tcPr>
            <w:tcW w:type="dxa" w:w="42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前优酷/支付宝/B站互联网从业者。负责战略、品牌、财务法务、线上化、内容营销、对外商务。独立开发ERP+小程序+AI工具矩阵。</w:t>
            </w:r>
          </w:p>
        </w:tc>
      </w:tr>
      <w:tr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廉澍</w:t>
            </w:r>
          </w:p>
        </w:tc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产品总监 / 项目发起人 / 35%股权</w:t>
            </w:r>
          </w:p>
        </w:tc>
        <w:tc>
          <w:tcPr>
            <w:tcW w:type="dxa" w:w="42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专业标本设计师。负责产品创意、设计、制作全流程，新品研发，质量管控，原料采购。管理标本工作室（2标本师+若干实习生）。</w:t>
            </w:r>
          </w:p>
        </w:tc>
      </w:tr>
      <w:tr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期权池</w:t>
            </w:r>
          </w:p>
        </w:tc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20%（双方各出10%）</w:t>
            </w:r>
          </w:p>
        </w:tc>
        <w:tc>
          <w:tcPr>
            <w:tcW w:type="dxa" w:w="42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预留给线上运营负责人、店长、设计师等核心岗位。董事会统一管理，分次授予。</w:t>
            </w:r>
          </w:p>
        </w:tc>
      </w:tr>
    </w:tbl>
    <w:p>
      <w:pPr>
        <w:pStyle w:val="Heading1"/>
      </w:pPr>
      <w:r>
        <w:t xml:space="preserve">六、融资规划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306"/>
      </w:tblGrid>
      <w:tr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估值区间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时间窗口</w:t>
            </w:r>
          </w:p>
        </w:tc>
        <w:tc>
          <w:tcPr>
            <w:tcW w:type="dxa" w:w="3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资金用途</w:t>
            </w:r>
          </w:p>
        </w:tc>
      </w:tr>
      <w:tr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种子期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300-500万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现在→第2家店前</w:t>
            </w:r>
          </w:p>
        </w:tc>
        <w:tc>
          <w:tcPr>
            <w:tcW w:type="dxa" w:w="3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品牌VI落地、包装升级、线上渠道建设、首家加盟店支持</w:t>
            </w:r>
          </w:p>
        </w:tc>
      </w:tr>
      <w:tr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天使轮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800-2000万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2-3家店验证后</w:t>
            </w:r>
          </w:p>
        </w:tc>
        <w:tc>
          <w:tcPr>
            <w:tcW w:type="dxa" w:w="3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供应链中心、跨城市运营体系、团队扩充、直营旗舰店</w:t>
            </w:r>
          </w:p>
        </w:tc>
      </w:tr>
      <w:tr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A轮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3000万-1亿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5+家店规模化</w:t>
            </w:r>
          </w:p>
        </w:tc>
        <w:tc>
          <w:tcPr>
            <w:tcW w:type="dxa" w:w="3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全国扩张、海外市场、IP开发、数字生态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融资原则：投资人进入公司层面（非门店层面）。每轮出让不超20%股权。创始人合计持股不低于51%底线。期权池20%不参与对外融资稀释。</w:t>
      </w:r>
    </w:p>
    <w:p>
      <w:pPr>
        <w:pStyle w:val="Heading1"/>
      </w:pPr>
      <w:r>
        <w:t xml:space="preserve">七、感谢您的关注</w:t>
      </w:r>
    </w:p>
    <w:p>
      <w:pPr>
        <w:spacing w:after="200" w:before="400"/>
        <w:jc w:val="center"/>
      </w:pPr>
      <w:r>
        <w:rPr>
          <w:rFonts w:ascii="SimHei" w:cs="SimHei" w:eastAsia="SimHei" w:hAnsi="SimHei"/>
          <w:color w:val="2D6A4F"/>
          <w:sz w:val="28"/>
          <w:szCs w:val="28"/>
        </w:rPr>
        <w:t xml:space="preserve">“让每一座城市，都有一座山川的博物馆”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联系方式：[待填写]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2026-04-14T09:03:43.355Z</dcterms:created>
  <dcterms:modified xsi:type="dcterms:W3CDTF">2026-04-14T09:03:43.355Z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