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80"/>
        <w:jc w:val="center"/>
      </w:pPr>
      <w:r>
        <w:rPr>
          <w:rFonts w:ascii="SimHei" w:cs="SimHei" w:eastAsia="SimHei" w:hAnsi="SimHei"/>
          <w:b/>
          <w:bCs/>
          <w:color w:val="262320"/>
          <w:sz w:val="56"/>
          <w:szCs w:val="56"/>
        </w:rPr>
        <w:t xml:space="preserve">山川造物</w:t>
      </w:r>
    </w:p>
    <w:p>
      <w:pPr>
        <w:spacing w:after="120"/>
        <w:jc w:val="center"/>
      </w:pPr>
      <w:r>
        <w:rPr>
          <w:rFonts w:ascii="Arial" w:cs="Arial" w:eastAsia="Arial" w:hAnsi="Arial"/>
          <w:color w:val="A09A90"/>
          <w:spacing w:val="200"/>
          <w:sz w:val="18"/>
          <w:szCs w:val="18"/>
        </w:rPr>
        <w:t xml:space="preserve">NATURE’S CREATIONS</w:t>
      </w:r>
    </w:p>
    <w:p>
      <w:pPr>
        <w:spacing w:after="300"/>
      </w:pPr>
    </w:p>
    <w:p>
      <w:pPr>
        <w:spacing w:after="80"/>
        <w:jc w:val="center"/>
      </w:pPr>
      <w:r>
        <w:rPr>
          <w:rFonts w:ascii="SimHei" w:cs="SimHei" w:eastAsia="SimHei" w:hAnsi="SimHei"/>
          <w:b/>
          <w:bCs/>
          <w:color w:val="C4A76C"/>
          <w:sz w:val="40"/>
          <w:szCs w:val="40"/>
        </w:rPr>
        <w:t xml:space="preserve">IP战略投资叙事</w:t>
      </w:r>
    </w:p>
    <w:p>
      <w:pPr>
        <w:spacing w:after="80"/>
        <w:jc w:val="center"/>
      </w:pPr>
      <w:r>
        <w:rPr>
          <w:rFonts w:ascii="Georgia" w:cs="Georgia" w:eastAsia="Georgia" w:hAnsi="Georgia"/>
          <w:color w:val="6B6560"/>
          <w:sz w:val="20"/>
          <w:szCs w:val="20"/>
        </w:rPr>
        <w:t xml:space="preserve">IP Strategy: The Most Undervalued Long-term Asset</w:t>
      </w:r>
    </w:p>
    <w:p>
      <w:pPr>
        <w:spacing w:after="200"/>
      </w:pPr>
    </w:p>
    <w:p>
      <w:pPr>
        <w:jc w:val="center"/>
      </w:pPr>
      <w:r>
        <w:rPr>
          <w:rFonts w:ascii="SimSun" w:cs="SimSun" w:eastAsia="SimSun" w:hAnsi="SimSun"/>
          <w:color w:val="6B6560"/>
          <w:sz w:val="18"/>
          <w:szCs w:val="18"/>
        </w:rPr>
        <w:t xml:space="preserve">投资人说明文件 · IP章节</w:t>
      </w:r>
    </w:p>
    <w:p>
      <w:pPr>
        <w:spacing w:after="1400"/>
      </w:pPr>
    </w:p>
    <w:p>
      <w:pPr>
        <w:jc w:val="center"/>
      </w:pPr>
      <w:r>
        <w:rPr>
          <w:rFonts w:ascii="SimSun" w:cs="SimSun" w:eastAsia="SimSun" w:hAnsi="SimSun"/>
          <w:color w:val="A09A90"/>
          <w:sz w:val="20"/>
          <w:szCs w:val="20"/>
        </w:rPr>
        <w:t xml:space="preserve">2026年4月  ·  CONFIDENTIAL</w:t>
      </w:r>
    </w:p>
    <w:p>
      <w:r>
        <w:br w:type="page"/>
      </w:r>
    </w:p>
    <w:p>
      <w:pPr>
        <w:pStyle w:val="Heading1"/>
      </w:pPr>
      <w:r>
        <w:t xml:space="preserve">一、为什么IP是核心战略，而不是装饰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山川造物本质上有两条价值曲线。第一条是零售企业的通常价值——通过门店扩张、SKU优化、供应链效率获得增长，这条曲线的估值天花板在PE 10-15倍。第二条曲线是IP+文化符号的价值——通过品牌IP的沉淀与授权、文化资产的持续变现，进入文创/IP赛道的估值体系，天花板提升到PE 25-40倍。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绝大多数投资人看到的是第一条曲线。但山川造物的真正价值——也是本章节要证明的——在第二条曲线。</w:t>
      </w:r>
    </w:p>
    <w:p>
      <w:pPr>
        <w:spacing w:after="200" w:before="200" w:line="400"/>
        <w:jc w:val="center"/>
      </w:pPr>
      <w:r>
        <w:rPr>
          <w:rFonts w:ascii="SimSun" w:cs="SimSun" w:eastAsia="SimSun" w:hAnsi="SimSun"/>
          <w:color w:val="8A7530"/>
          <w:sz w:val="24"/>
          <w:szCs w:val="24"/>
        </w:rPr>
        <w:t xml:space="preserve">泡泡玛特市值约370亿，其中98%来自IP，只有2%来自零售能力本身。</w:t>
      </w:r>
    </w:p>
    <w:p>
      <w:pPr>
        <w:pStyle w:val="Heading2"/>
      </w:pPr>
      <w:r>
        <w:t xml:space="preserve">1.1 IP赛道的价值参照系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406"/>
      </w:tblGrid>
      <w:tr>
        <w:tc>
          <w:tcPr>
            <w:tcW w:type="dxa" w:w="26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公司</w:t>
            </w:r>
          </w:p>
        </w:tc>
        <w:tc>
          <w:tcPr>
            <w:tcW w:type="dxa" w:w="35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核心价值来源</w:t>
            </w:r>
          </w:p>
        </w:tc>
        <w:tc>
          <w:tcPr>
            <w:tcW w:type="dxa" w:w="3406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启示</w:t>
            </w:r>
          </w:p>
        </w:tc>
      </w:tr>
      <w:tr>
        <w:tc>
          <w:tcPr>
            <w:tcW w:type="dxa" w:w="26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泡泡玛特</w:t>
            </w:r>
          </w:p>
        </w:tc>
        <w:tc>
          <w:tcPr>
            <w:tcW w:type="dxa" w:w="35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MOLLY为首的盫盒IP矩阵。市值¥370亿，98%价值来自IP，2%来自零售能力。</w:t>
            </w:r>
          </w:p>
        </w:tc>
        <w:tc>
          <w:tcPr>
            <w:tcW w:type="dxa" w:w="3406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IP是估值的真实重心，零售只是载体。</w:t>
            </w:r>
          </w:p>
        </w:tc>
      </w:tr>
      <w:tr>
        <w:tc>
          <w:tcPr>
            <w:tcW w:type="dxa" w:w="26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故宫文创</w:t>
            </w:r>
          </w:p>
        </w:tc>
        <w:tc>
          <w:tcPr>
            <w:tcW w:type="dxa" w:w="35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年营收¥15亿+，主要收入来自IP授权与文化产品，非传统商品销售。</w:t>
            </w:r>
          </w:p>
        </w:tc>
        <w:tc>
          <w:tcPr>
            <w:tcW w:type="dxa" w:w="3406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文化符号本身就是最赚钱的产品。</w:t>
            </w:r>
          </w:p>
        </w:tc>
      </w:tr>
      <w:tr>
        <w:tc>
          <w:tcPr>
            <w:tcW w:type="dxa" w:w="26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名创优品</w:t>
            </w:r>
          </w:p>
        </w:tc>
        <w:tc>
          <w:tcPr>
            <w:tcW w:type="dxa" w:w="35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IP联名占比持续上升，迷你家族TOP TOY赛道纯IP驱动。</w:t>
            </w:r>
          </w:p>
        </w:tc>
        <w:tc>
          <w:tcPr>
            <w:tcW w:type="dxa" w:w="3406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IP化是所有消费品牌的必经路径。</w:t>
            </w:r>
          </w:p>
        </w:tc>
      </w:tr>
    </w:tbl>
    <w:p>
      <w:pPr>
        <w:spacing w:after="200"/>
      </w:pP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山川造物的IP战略不是“在零售业务之外增加一条IP产品线”，而是“从第一天就用IP叙事结构装装到整个品牌”。</w:t>
      </w:r>
    </w:p>
    <w:p>
      <w:r>
        <w:br w:type="page"/>
      </w:r>
    </w:p>
    <w:p>
      <w:pPr>
        <w:pStyle w:val="Heading1"/>
      </w:pPr>
      <w:r>
        <w:t xml:space="preserve">二、山川造物的独特IP优势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所有做IP的公司都会面一个根本问题：IP从哪里来？泡泡玛特要从零创造MOLLY，用了多年的市场验证。故宫要从几十万件藏品中提炼出可以IP化的符号。这个过程耗时、费钱、有风险。</w:t>
      </w:r>
    </w:p>
    <w:p>
      <w:pPr>
        <w:spacing w:after="200" w:before="200" w:line="400"/>
        <w:jc w:val="center"/>
      </w:pPr>
      <w:r>
        <w:rPr>
          <w:rFonts w:ascii="SimSun" w:cs="SimSun" w:eastAsia="SimSun" w:hAnsi="SimSun"/>
          <w:color w:val="8A7530"/>
          <w:sz w:val="24"/>
          <w:szCs w:val="24"/>
        </w:rPr>
        <w:t xml:space="preserve">我们不从零创造IP。我们的IP已经站在门店里，只是还没有名字。</w:t>
      </w:r>
    </w:p>
    <w:p>
      <w:pPr>
        <w:pStyle w:val="Heading2"/>
      </w:pPr>
      <w:r>
        <w:t xml:space="preserve">2.1 镜店标本即纲纪IP母体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长春店的黑马、拟人化标本（穿西装的土拨鼠、穿裙子的哥特风白鸟）、大型法斗牛标本——每一件都同时具备三个IP所需要的特质：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稀缺性：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每一件都是唯一的，不可复制的。这比任何人造IP都具备天然的收藏价值。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叙事性：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动物标本本身就是“曾经活过”的生命，自带故事进入点。不用创造世界观，世界观自带。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视觉完成度：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大型标本本身就是“纲纪型”的视觉符号，不需要额外的设计工作来塑造识别度。</w:t>
      </w:r>
    </w:p>
    <w:p>
      <w:pPr>
        <w:pStyle w:val="Heading2"/>
      </w:pPr>
      <w:r>
        <w:t xml:space="preserve">2.2 孵化成本对比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传统IP公司</w:t>
            </w:r>
          </w:p>
        </w:tc>
        <w:tc>
          <w:tcPr>
            <w:tcW w:type="dxa" w:w="317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山川造物</w:t>
            </w:r>
          </w:p>
        </w:tc>
      </w:tr>
      <w:tr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孵化周期</w:t>
            </w:r>
          </w:p>
        </w:tc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6B6560"/>
                <w:sz w:val="18"/>
                <w:szCs w:val="18"/>
              </w:rPr>
              <w:t xml:space="preserve">3-5年</w:t>
            </w:r>
          </w:p>
        </w:tc>
        <w:tc>
          <w:tcPr>
            <w:tcW w:type="dxa" w:w="317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3-6个月</w:t>
            </w:r>
          </w:p>
        </w:tc>
      </w:tr>
      <w:tr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初期投入</w:t>
            </w:r>
          </w:p>
        </w:tc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6B6560"/>
                <w:sz w:val="18"/>
                <w:szCs w:val="18"/>
              </w:rPr>
              <w:t xml:space="preserve">百万级剑圣设计费用</w:t>
            </w:r>
          </w:p>
        </w:tc>
        <w:tc>
          <w:tcPr>
            <w:tcW w:type="dxa" w:w="317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几万元即可启动</w:t>
            </w:r>
          </w:p>
        </w:tc>
      </w:tr>
      <w:tr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市场风险</w:t>
            </w:r>
          </w:p>
        </w:tc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6B6560"/>
                <w:sz w:val="18"/>
                <w:szCs w:val="18"/>
              </w:rPr>
              <w:t xml:space="preserve">大量失败案例</w:t>
            </w:r>
          </w:p>
        </w:tc>
        <w:tc>
          <w:tcPr>
            <w:tcW w:type="dxa" w:w="317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实物已被消费者喜爱</w:t>
            </w:r>
          </w:p>
        </w:tc>
      </w:tr>
      <w:tr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周边开发</w:t>
            </w:r>
          </w:p>
        </w:tc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6B6560"/>
                <w:sz w:val="18"/>
                <w:szCs w:val="18"/>
              </w:rPr>
              <w:t xml:space="preserve">要设计多个角度</w:t>
            </w:r>
          </w:p>
        </w:tc>
        <w:tc>
          <w:tcPr>
            <w:tcW w:type="dxa" w:w="317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真实母体供参考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三、案例：长春店的玄骠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我们选择长春店的黑马作为首个IP化的纲纪栈本。给它起名为“玄骠”（Xuanxiao）。</w:t>
      </w:r>
    </w:p>
    <w:p>
      <w:pPr>
        <w:spacing w:after="200" w:before="200" w:line="400"/>
        <w:jc w:val="center"/>
      </w:pPr>
      <w:r>
        <w:rPr>
          <w:rFonts w:ascii="SimSun" w:cs="SimSun" w:eastAsia="SimSun" w:hAnsi="SimSun"/>
          <w:color w:val="8A7530"/>
          <w:sz w:val="24"/>
          <w:szCs w:val="24"/>
        </w:rPr>
        <w:t xml:space="preserve">玄 · 北方之色，玄武之属  ·  骠 · 骠勇之马，标本IP之名</w:t>
      </w:r>
    </w:p>
    <w:p>
      <w:pPr>
        <w:pStyle w:val="Heading2"/>
      </w:pPr>
      <w:r>
        <w:t xml:space="preserve">3.1 为什么是这个名字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玄：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三未四象之北是玄武，玄色是北方之色。东北地理属性自然包含在名字里，不需要额外解释。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骠：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骠勇之马。一个字同时表达了马的属性和标本IP的气质。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组合：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玄骠 = 北方标本IP级的黑色骏马。两个字就立起整个世界观。</w:t>
      </w:r>
    </w:p>
    <w:p>
      <w:pPr>
        <w:pStyle w:val="Heading2"/>
      </w:pPr>
      <w:r>
        <w:t xml:space="preserve">3.2 情绪钩子三重奇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一个IP能不能破圈，关键看它能否同时精准匀击多种情绪状态。玄骠设计了三重情绪接口，覆盖不同消费场景：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806"/>
      </w:tblGrid>
      <w:tr>
        <w:tc>
          <w:tcPr>
            <w:tcW w:type="dxa" w:w="22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情绪钩子</w:t>
            </w:r>
          </w:p>
        </w:tc>
        <w:tc>
          <w:tcPr>
            <w:tcW w:type="dxa" w:w="35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核心文案</w:t>
            </w:r>
          </w:p>
        </w:tc>
        <w:tc>
          <w:tcPr>
            <w:tcW w:type="dxa" w:w="3806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</w:tr>
      <w:tr>
        <w:tc>
          <w:tcPr>
            <w:tcW w:type="dxa" w:w="22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黑马人生</w:t>
            </w:r>
          </w:p>
        </w:tc>
        <w:tc>
          <w:tcPr>
            <w:tcW w:type="dxa" w:w="35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所有的黑马，都曾被看轻过。</w:t>
            </w:r>
          </w:p>
        </w:tc>
        <w:tc>
          <w:tcPr>
            <w:tcW w:type="dxa" w:w="3806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年轻人自我身份认同 · 职场奋斗群体</w:t>
            </w:r>
          </w:p>
        </w:tc>
      </w:tr>
      <w:tr>
        <w:tc>
          <w:tcPr>
            <w:tcW w:type="dxa" w:w="22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镇宅转运</w:t>
            </w:r>
          </w:p>
        </w:tc>
        <w:tc>
          <w:tcPr>
            <w:tcW w:type="dxa" w:w="35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黑马所至，诸事顺遂。</w:t>
            </w:r>
          </w:p>
        </w:tc>
        <w:tc>
          <w:tcPr>
            <w:tcW w:type="dxa" w:w="3806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开业送礼 · 乔迁贺赢 · 考试求职</w:t>
            </w:r>
          </w:p>
        </w:tc>
      </w:tr>
      <w:tr>
        <w:tc>
          <w:tcPr>
            <w:tcW w:type="dxa" w:w="22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黑夜陪伴</w:t>
            </w:r>
          </w:p>
        </w:tc>
        <w:tc>
          <w:tcPr>
            <w:tcW w:type="dxa" w:w="35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黑夜不说话，但它一直都在。</w:t>
            </w:r>
          </w:p>
        </w:tc>
        <w:tc>
          <w:tcPr>
            <w:tcW w:type="dxa" w:w="3806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情绪消费 · 深夜自省 · 疑心治愈</w:t>
            </w:r>
          </w:p>
        </w:tc>
      </w:tr>
    </w:tbl>
    <w:p>
      <w:pPr>
        <w:spacing w:after="200"/>
      </w:pP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一个IP承载三种情绪维度，意味着它能覆盖消费者在不同人生阶段、不同消费场景下的情绪需求。这是IP的生命周期可以长达十年的根本原因。</w:t>
      </w:r>
    </w:p>
    <w:p>
      <w:pPr>
        <w:pStyle w:val="Heading2"/>
      </w:pPr>
      <w:r>
        <w:t xml:space="preserve">3.3 打卡仪式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只有名字不够，IP需要一个能被传播的仪式。玄骠的打卡仪式设计为：</w:t>
      </w:r>
    </w:p>
    <w:p>
      <w:pPr>
        <w:shd w:fill="FAF6ED" w:val="clear"/>
        <w:spacing w:after="200" w:before="200" w:line="440"/>
        <w:jc w:val="center"/>
      </w:pPr>
      <w:r>
        <w:rPr>
          <w:rFonts w:ascii="SimHei" w:cs="SimHei" w:eastAsia="SimHei" w:hAnsi="SimHei"/>
          <w:b/>
          <w:bCs/>
          <w:color w:val="8A7530"/>
          <w:sz w:val="26"/>
          <w:szCs w:val="26"/>
        </w:rPr>
        <w:t xml:space="preserve">“摸一下玄骠的鬃毛，</w:t>
      </w:r>
      <w:r>
        <w:br/>
        <w:t xml:space="preserve">
</w:t>
      </w:r>
      <w:r>
        <w:rPr>
          <w:rFonts w:ascii="SimHei" w:cs="SimHei" w:eastAsia="SimHei" w:hAnsi="SimHei"/>
          <w:b/>
          <w:bCs/>
          <w:color w:val="8A7530"/>
          <w:sz w:val="26"/>
          <w:szCs w:val="26"/>
        </w:rPr>
        <w:t xml:space="preserve">做自己人生的黑马。”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这句话本身就是传播文案。消费者拍照发朋友圈时会自然引用，因为它足够短、足够有情绪、足够不像广告。</w:t>
      </w:r>
    </w:p>
    <w:p>
      <w:r>
        <w:br w:type="page"/>
      </w:r>
    </w:p>
    <w:p>
      <w:pPr>
        <w:pStyle w:val="Heading1"/>
      </w:pPr>
      <w:r>
        <w:t xml:space="preserve">四、山川物种→熟语方法论：可复制的IP方法论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单店IP的意义不仅仅在那家店本身。玄骠的真正价值在于它验证了一套IP方法论，这套方法论可以复制到每一家新店。</w:t>
      </w:r>
    </w:p>
    <w:p>
      <w:pPr>
        <w:spacing w:after="200" w:before="200" w:line="400"/>
        <w:jc w:val="center"/>
      </w:pPr>
      <w:r>
        <w:rPr>
          <w:rFonts w:ascii="SimSun" w:cs="SimSun" w:eastAsia="SimSun" w:hAnsi="SimSun"/>
          <w:color w:val="8A7530"/>
          <w:sz w:val="24"/>
          <w:szCs w:val="24"/>
        </w:rPr>
        <w:t xml:space="preserve">不是连锁店，是物种→熟语方法论。</w:t>
      </w:r>
    </w:p>
    <w:p>
      <w:pPr>
        <w:pStyle w:val="Heading2"/>
      </w:pPr>
      <w:r>
        <w:t xml:space="preserve">4.1 一套方法论，六个城市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506"/>
      </w:tblGrid>
      <w:tr>
        <w:tc>
          <w:tcPr>
            <w:tcW w:type="dxa" w:w="18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城市</w:t>
            </w:r>
          </w:p>
        </w:tc>
        <w:tc>
          <w:tcPr>
            <w:tcW w:type="dxa" w:w="18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标本IP</w:t>
            </w:r>
          </w:p>
        </w:tc>
        <w:tc>
          <w:tcPr>
            <w:tcW w:type="dxa" w:w="24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情绪定位</w:t>
            </w:r>
          </w:p>
        </w:tc>
        <w:tc>
          <w:tcPr>
            <w:tcW w:type="dxa" w:w="3506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目标客群</w:t>
            </w:r>
          </w:p>
        </w:tc>
      </w:tr>
      <w:tr>
        <w:tc>
          <w:tcPr>
            <w:tcW w:type="dxa" w:w="18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长春</w:t>
            </w:r>
          </w:p>
        </w:tc>
        <w:tc>
          <w:tcPr>
            <w:tcW w:type="dxa" w:w="18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22"/>
                <w:szCs w:val="22"/>
              </w:rPr>
              <w:t xml:space="preserve">玄骠</w:t>
            </w:r>
          </w:p>
        </w:tc>
        <w:tc>
          <w:tcPr>
            <w:tcW w:type="dxa" w:w="24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沉默守护者</w:t>
            </w:r>
          </w:p>
        </w:tc>
        <w:tc>
          <w:tcPr>
            <w:tcW w:type="dxa" w:w="3506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东北年轻专业人群</w:t>
            </w:r>
          </w:p>
        </w:tc>
      </w:tr>
      <w:tr>
        <w:tc>
          <w:tcPr>
            <w:tcW w:type="dxa" w:w="18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大理</w:t>
            </w:r>
          </w:p>
        </w:tc>
        <w:tc>
          <w:tcPr>
            <w:tcW w:type="dxa" w:w="18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B6F47"/>
                <w:sz w:val="22"/>
                <w:szCs w:val="22"/>
              </w:rPr>
              <w:t xml:space="preserve">蝶恋花</w:t>
            </w:r>
          </w:p>
        </w:tc>
        <w:tc>
          <w:tcPr>
            <w:tcW w:type="dxa" w:w="24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破茧而出的勇气</w:t>
            </w:r>
          </w:p>
        </w:tc>
        <w:tc>
          <w:tcPr>
            <w:tcW w:type="dxa" w:w="3506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人生转折客群 · 女性客群</w:t>
            </w:r>
          </w:p>
        </w:tc>
      </w:tr>
      <w:tr>
        <w:tc>
          <w:tcPr>
            <w:tcW w:type="dxa" w:w="18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杭州</w:t>
            </w:r>
          </w:p>
        </w:tc>
        <w:tc>
          <w:tcPr>
            <w:tcW w:type="dxa" w:w="18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B6F47"/>
                <w:sz w:val="22"/>
                <w:szCs w:val="22"/>
              </w:rPr>
              <w:t xml:space="preserve">白蛇传</w:t>
            </w:r>
          </w:p>
        </w:tc>
        <w:tc>
          <w:tcPr>
            <w:tcW w:type="dxa" w:w="24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清雅自持的守望者</w:t>
            </w:r>
          </w:p>
        </w:tc>
        <w:tc>
          <w:tcPr>
            <w:tcW w:type="dxa" w:w="3506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宋韵美学客群 · 文人群体</w:t>
            </w:r>
          </w:p>
        </w:tc>
      </w:tr>
      <w:tr>
        <w:tc>
          <w:tcPr>
            <w:tcW w:type="dxa" w:w="18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成都</w:t>
            </w:r>
          </w:p>
        </w:tc>
        <w:tc>
          <w:tcPr>
            <w:tcW w:type="dxa" w:w="18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B6F47"/>
                <w:sz w:val="22"/>
                <w:szCs w:val="22"/>
              </w:rPr>
              <w:t xml:space="preserve">待定</w:t>
            </w:r>
          </w:p>
        </w:tc>
        <w:tc>
          <w:tcPr>
            <w:tcW w:type="dxa" w:w="24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慢生活的哲学家</w:t>
            </w:r>
          </w:p>
        </w:tc>
        <w:tc>
          <w:tcPr>
            <w:tcW w:type="dxa" w:w="3506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松弛系客群 · 新中产生活方式</w:t>
            </w:r>
          </w:p>
        </w:tc>
      </w:tr>
      <w:tr>
        <w:tc>
          <w:tcPr>
            <w:tcW w:type="dxa" w:w="18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海南</w:t>
            </w:r>
          </w:p>
        </w:tc>
        <w:tc>
          <w:tcPr>
            <w:tcW w:type="dxa" w:w="18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B6F47"/>
                <w:sz w:val="22"/>
                <w:szCs w:val="22"/>
              </w:rPr>
              <w:t xml:space="preserve">待定</w:t>
            </w:r>
          </w:p>
        </w:tc>
        <w:tc>
          <w:tcPr>
            <w:tcW w:type="dxa" w:w="24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深海的温柔</w:t>
            </w:r>
          </w:p>
        </w:tc>
        <w:tc>
          <w:tcPr>
            <w:tcW w:type="dxa" w:w="3506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疗愈客群 · 度假场景消费</w:t>
            </w:r>
          </w:p>
        </w:tc>
      </w:tr>
      <w:tr>
        <w:tc>
          <w:tcPr>
            <w:tcW w:type="dxa" w:w="18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上海</w:t>
            </w:r>
          </w:p>
        </w:tc>
        <w:tc>
          <w:tcPr>
            <w:tcW w:type="dxa" w:w="18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6B6560"/>
                <w:sz w:val="18"/>
                <w:szCs w:val="18"/>
              </w:rPr>
              <w:t xml:space="preserve">待定</w:t>
            </w:r>
          </w:p>
        </w:tc>
        <w:tc>
          <w:tcPr>
            <w:tcW w:type="dxa" w:w="240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繁华中的本真</w:t>
            </w:r>
          </w:p>
        </w:tc>
        <w:tc>
          <w:tcPr>
            <w:tcW w:type="dxa" w:w="3506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一线城市核心客群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图鉴体系的商业价值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收集动机：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消费者主动打卡每一座城市的门店以收集标本IP。这是一条比单店复购更强大的用户行为动机。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口碑网络：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每一个标本IP都是一个社交媒体话题节点。图鉴完整后，品牌会形成一个内在交织的文化网络。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城市差异化：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每家店不是标准化复制，而是有它自己的传播概念和故事。这解决了“连锁店越多越无聊”的越陈诅咒。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IP网络效应：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当有五个标本IP都被确立后，每个新标本IP的价值超过当前自身价值，因为它在补全一个更大的体系。</w:t>
      </w:r>
    </w:p>
    <w:p>
      <w:r>
        <w:br w:type="page"/>
      </w:r>
    </w:p>
    <w:p>
      <w:pPr>
        <w:pStyle w:val="Heading1"/>
      </w:pPr>
      <w:r>
        <w:t xml:space="preserve">五、IP对商业模型的三重放大</w:t>
      </w:r>
    </w:p>
    <w:p>
      <w:pPr>
        <w:pStyle w:val="Heading2"/>
      </w:pPr>
      <w:r>
        <w:t xml:space="preserve">5.1 单店估值放大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传统零售门店的估值逻辑是——在店铺收入的基础上乘以一个行业系数。对于普通标本店，这个系数通常在3-5倍。即使是高端消费文创门店，也难以突码10-15倍。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当一个门店成为IP体验店，估值体系发生根本性切换。市场不再仅凭流水对它定价，而是凭“文化资产价值 + 消费者心目中的不可替代性”定价。这个估值空间可以拼到PE 25-40倍。</w:t>
      </w:r>
    </w:p>
    <w:p>
      <w:pPr>
        <w:pStyle w:val="Heading2"/>
      </w:pPr>
      <w:r>
        <w:t xml:space="preserve">5.2 毛利结构升级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山川造物目前的产品线平均毛利6-7成，已经属于零售行业的较高水平。IP周边商品的毛利能再提升一个台阶。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2168"/>
        <w:gridCol w:w="4170"/>
      </w:tblGrid>
      <w:tr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产品类型</w:t>
            </w:r>
          </w:p>
        </w:tc>
        <w:tc>
          <w:tcPr>
            <w:tcW w:type="dxa" w:w="2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毛利率</w:t>
            </w:r>
          </w:p>
        </w:tc>
        <w:tc>
          <w:tcPr>
            <w:tcW w:type="dxa" w:w="417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参照业界</w:t>
            </w:r>
          </w:p>
        </w:tc>
      </w:tr>
      <w:tr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标本实物</w:t>
            </w:r>
          </w:p>
        </w:tc>
        <w:tc>
          <w:tcPr>
            <w:tcW w:type="dxa" w:w="2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60-70%</w:t>
            </w:r>
          </w:p>
        </w:tc>
        <w:tc>
          <w:tcPr>
            <w:tcW w:type="dxa" w:w="417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行业较高水平</w:t>
            </w:r>
          </w:p>
        </w:tc>
      </w:tr>
      <w:tr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IP手办 / Q版周边</w:t>
            </w:r>
          </w:p>
        </w:tc>
        <w:tc>
          <w:tcPr>
            <w:tcW w:type="dxa" w:w="2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70-80%</w:t>
            </w:r>
          </w:p>
        </w:tc>
        <w:tc>
          <w:tcPr>
            <w:tcW w:type="dxa" w:w="417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泡泡玛特整体60%+</w:t>
            </w:r>
          </w:p>
        </w:tc>
      </w:tr>
      <w:tr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印章卡片 / 立牌</w:t>
            </w:r>
          </w:p>
        </w:tc>
        <w:tc>
          <w:tcPr>
            <w:tcW w:type="dxa" w:w="2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85%+</w:t>
            </w:r>
          </w:p>
        </w:tc>
        <w:tc>
          <w:tcPr>
            <w:tcW w:type="dxa" w:w="417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印刷品极低成本</w:t>
            </w:r>
          </w:p>
        </w:tc>
      </w:tr>
      <w:tr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数字藏品 / 彻章</w:t>
            </w:r>
          </w:p>
        </w:tc>
        <w:tc>
          <w:tcPr>
            <w:tcW w:type="dxa" w:w="2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90%+</w:t>
            </w:r>
          </w:p>
        </w:tc>
        <w:tc>
          <w:tcPr>
            <w:tcW w:type="dxa" w:w="417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几乎零边际成本</w:t>
            </w:r>
          </w:p>
        </w:tc>
      </w:tr>
      <w:tr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IP联名 / 授权</w:t>
            </w:r>
          </w:p>
        </w:tc>
        <w:tc>
          <w:tcPr>
            <w:tcW w:type="dxa" w:w="2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80-95%</w:t>
            </w:r>
          </w:p>
        </w:tc>
        <w:tc>
          <w:tcPr>
            <w:tcW w:type="dxa" w:w="417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故宫文创部分SKU超过90%</w:t>
            </w:r>
          </w:p>
        </w:tc>
      </w:tr>
    </w:tbl>
    <w:p>
      <w:pPr>
        <w:spacing w:after="200"/>
      </w:pP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IP周边的比例每提升10%，整体毛利率提升8-10%。这在单店年营收达到百万级时足以改变利润曲线形态。</w:t>
      </w:r>
    </w:p>
    <w:p>
      <w:pPr>
        <w:pStyle w:val="Heading2"/>
      </w:pPr>
      <w:r>
        <w:t xml:space="preserve">5.3 第二增长曲线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当物种→熟语方法论体系成型后，IP本身成为一项独立资产。这项资产可以：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授权第三方使用——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特别是与酒店、民宿、茶饲、咖啡馆这样的“自然美学相关行业”合作。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联名其他品牌——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国潮品牌、新中式茶饮、设计师品牌、文博系统。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数字化开发——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NFT数字藏品、小程序游戏化体验、魂灵惠合作彻章系统。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内容IP化——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也许有一天，“玄骠的一年”会成为一本书，一部约动画。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这些都是在不开新门店的前提下，也可以增长的营收线。它们构成了投资人最看重的指标：“何处是第二条增长曲线”。</w:t>
      </w:r>
    </w:p>
    <w:p>
      <w:r>
        <w:br w:type="page"/>
      </w:r>
    </w:p>
    <w:p>
      <w:pPr>
        <w:pStyle w:val="Heading1"/>
      </w:pPr>
      <w:r>
        <w:t xml:space="preserve">六、IP战略投入规划与里程碑</w:t>
      </w:r>
    </w:p>
    <w:p>
      <w:pPr>
        <w:pStyle w:val="Heading2"/>
      </w:pPr>
      <w:r>
        <w:t xml:space="preserve">6.1 分三个阶段</w:t>
      </w:r>
    </w:p>
    <w:p>
      <w:pPr>
        <w:pStyle w:val="Heading3"/>
      </w:pPr>
      <w:r>
        <w:t xml:space="preserve">Phase 1 · 0-3个月 · 预算¥5万以内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核心动作：玄骠命名终稿 · 情绪钩子文案定稿 · 打卡仪式铜牌制作 · 印章卡片设计与量产 · 《玄骠的一年》公众号开篇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预期里程碑：验证IP叙事吸引力，UGC传播量测试。这个阶段的投入接近于零，目的是用最低成本验证假设。</w:t>
      </w:r>
    </w:p>
    <w:p>
      <w:pPr>
        <w:pStyle w:val="Heading3"/>
      </w:pPr>
      <w:r>
        <w:t xml:space="preserve">Phase 2 · 3-12个月 · 预算¥30-50万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核心动作：Q版手办设计与打样 · 季节限定首发 · 小程序徽章系统上线 · 本地联名第一款 · 内容矩阵持续运营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预期里程碑：首个IP商品线营收（预计¥50-100万）·品牌文化符号形成·小程序用户从消费者升级为收藏者</w:t>
      </w:r>
    </w:p>
    <w:p>
      <w:pPr>
        <w:pStyle w:val="Heading3"/>
      </w:pPr>
      <w:r>
        <w:t xml:space="preserve">Phase 3 · 12个月+ · 预算¥100-300万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核心动作：大理·蝶恋花同步推进 · 物种→熟语方法论体系化 · IP授权商业探索 · 数字藏品布局 · 跨城联动活动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预期里程碑：IP授权独立营收线（预计¥100万+）·第二增长曲线验证 · 品牌进入文创/IP估值体系</w:t>
      </w:r>
    </w:p>
    <w:p>
      <w:pPr>
        <w:pStyle w:val="Heading2"/>
      </w:pPr>
      <w:r>
        <w:t xml:space="preserve">6.2 三年目标</w:t>
      </w:r>
    </w:p>
    <w:p>
      <w:pPr>
        <w:spacing w:after="200" w:before="200" w:line="400"/>
        <w:jc w:val="center"/>
      </w:pPr>
      <w:r>
        <w:rPr>
          <w:rFonts w:ascii="SimSun" w:cs="SimSun" w:eastAsia="SimSun" w:hAnsi="SimSun"/>
          <w:color w:val="8A7530"/>
          <w:sz w:val="24"/>
          <w:szCs w:val="24"/>
        </w:rPr>
        <w:t xml:space="preserve">IP营收占总营收比重超过25%。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到达这个目标后，山川造物在投资人言语体系中不再是一家标本主题零售品牌，而是一家“自然美学文创IP公司”。这个身份切换对应的估值路径是：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身份</w:t>
            </w:r>
          </w:p>
        </w:tc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估值倚靠</w:t>
            </w:r>
          </w:p>
        </w:tc>
        <w:tc>
          <w:tcPr>
            <w:tcW w:type="dxa" w:w="317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PE范围</w:t>
            </w:r>
          </w:p>
        </w:tc>
      </w:tr>
      <w:tr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零售品牌</w:t>
            </w:r>
          </w:p>
        </w:tc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收入 / 利润</w:t>
            </w:r>
          </w:p>
        </w:tc>
        <w:tc>
          <w:tcPr>
            <w:tcW w:type="dxa" w:w="317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10-15倍</w:t>
            </w:r>
          </w:p>
        </w:tc>
      </w:tr>
      <w:tr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高端零售</w:t>
            </w:r>
          </w:p>
        </w:tc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品牌溢价</w:t>
            </w:r>
          </w:p>
        </w:tc>
        <w:tc>
          <w:tcPr>
            <w:tcW w:type="dxa" w:w="317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15-20倍</w:t>
            </w:r>
          </w:p>
        </w:tc>
      </w:tr>
      <w:tr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IP / 文创公司</w:t>
            </w:r>
          </w:p>
        </w:tc>
        <w:tc>
          <w:tcPr>
            <w:tcW w:type="dxa" w:w="3168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IP资产 / 文化壁垒</w:t>
            </w:r>
          </w:p>
        </w:tc>
        <w:tc>
          <w:tcPr>
            <w:tcW w:type="dxa" w:w="3170"/>
            <w:tcBorders>
              <w:top w:val="single" w:color="D5D1C8" w:sz="1"/>
              <w:left w:val="single" w:color="D5D1C8" w:sz="1"/>
              <w:bottom w:val="single" w:color="D5D1C8" w:sz="1"/>
              <w:right w:val="single" w:color="D5D1C8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25-40倍</w:t>
            </w:r>
          </w:p>
        </w:tc>
      </w:tr>
    </w:tbl>
    <w:p>
      <w:pPr>
        <w:spacing w:after="200"/>
      </w:pPr>
    </w:p>
    <w:p>
      <w:pPr>
        <w:spacing w:after="200" w:before="200" w:line="400"/>
        <w:jc w:val="center"/>
      </w:pPr>
      <w:r>
        <w:rPr>
          <w:rFonts w:ascii="SimSun" w:cs="SimSun" w:eastAsia="SimSun" w:hAnsi="SimSun"/>
          <w:color w:val="8A7530"/>
          <w:sz w:val="24"/>
          <w:szCs w:val="24"/>
        </w:rPr>
        <w:t xml:space="preserve">IP不是成本，是倍数。</w:t>
      </w:r>
    </w:p>
    <w:p>
      <w:r>
        <w:br w:type="page"/>
      </w:r>
    </w:p>
    <w:p>
      <w:pPr>
        <w:pStyle w:val="Heading1"/>
      </w:pPr>
      <w:r>
        <w:t xml:space="preserve">七、风险识别与应对</w:t>
      </w:r>
    </w:p>
    <w:p>
      <w:pPr>
        <w:pStyle w:val="Heading2"/>
      </w:pPr>
      <w:r>
        <w:t xml:space="preserve">7.1 核心风险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传播风险：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IP需要被看见才有价值。如果初期内容营销执行不到位，IP可能停留在小范围认知。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  应对：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创始人自带互联网平台经验，有能力直接控制内容输出质量。且初期投入低，验证风险可控。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同质化风险：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传统文创/IP行业已有头部玩家。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  应对：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我们不在泡泡玛特的盫盒赛道竞争，而是开创一个新赛道——“自然标本标本IPIP”。单独一个——没有头部玩家。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合规风险：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标本本身需要严格的合法来源证明。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应对：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供应链四链路模型中的链路一（大中型动物）重点关注合规资质办理，这是IP化的前置条件。</w:t>
      </w:r>
    </w:p>
    <w:p>
      <w:pPr>
        <w:pStyle w:val="Heading2"/>
      </w:pPr>
      <w:r>
        <w:t xml:space="preserve">7.2 风险定价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IP战略的风险实质上是可控的。因为Phase 1的投入极低（¥5万以内），3个月内就能验证IP叙事是否在目标客群中有吸引力。这个“验证成本低、失败昵引低”的特性，使IP战略实际上是一笔高隐含收益/低隐含风险的投资。</w:t>
      </w:r>
    </w:p>
    <w:p>
      <w:r>
        <w:br w:type="page"/>
      </w:r>
    </w:p>
    <w:p>
      <w:pPr>
        <w:pStyle w:val="Heading1"/>
      </w:pPr>
      <w:r>
        <w:t xml:space="preserve">八、结语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大多数零售品牌的故事是“我们做的产品更好”。这种故事的估值天花板是可以预见的。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少数成功的消费品牌讲了另一个故事：“我们建立了一个文化符号体系。”泡泡玛特是这样做的，故宫文创也是。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山川造物始终讲的是后一种故事。但不同的是，我们的文化符号体系的母体已经在那里——黑马站在长春店中央，它只是还没有名字。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给它一个名字，给它一个故事，给它一个仪式。然后等投资人发现，这里其实不是一家标本店。</w:t>
      </w:r>
    </w:p>
    <w:p>
      <w:pPr>
        <w:spacing w:after="200" w:before="200" w:line="400"/>
        <w:jc w:val="center"/>
      </w:pPr>
      <w:r>
        <w:rPr>
          <w:rFonts w:ascii="SimSun" w:cs="SimSun" w:eastAsia="SimSun" w:hAnsi="SimSun"/>
          <w:color w:val="8A7530"/>
          <w:sz w:val="24"/>
          <w:szCs w:val="24"/>
        </w:rPr>
        <w:t xml:space="preserve">我们在建造一个新时代的物种→熟语方法论。</w:t>
      </w:r>
    </w:p>
    <w:p>
      <w:pPr>
        <w:spacing w:after="300"/>
      </w:pPr>
    </w:p>
    <w:p>
      <w:pPr>
        <w:spacing w:after="200" w:before="400"/>
        <w:jc w:val="center"/>
      </w:pPr>
      <w:r>
        <w:rPr>
          <w:rFonts w:ascii="SimHei" w:cs="SimHei" w:eastAsia="SimHei" w:hAnsi="SimHei"/>
          <w:color w:val="8A7530"/>
          <w:sz w:val="20"/>
          <w:szCs w:val="20"/>
        </w:rPr>
        <w:t xml:space="preserve">山川造物 · Nature’s Creations</w:t>
      </w:r>
    </w:p>
    <w:p>
      <w:pPr>
        <w:jc w:val="center"/>
      </w:pPr>
      <w:r>
        <w:rPr>
          <w:rFonts w:ascii="Arial" w:cs="Arial" w:eastAsia="Arial" w:hAnsi="Arial"/>
          <w:color w:val="A09A90"/>
          <w:sz w:val="14"/>
          <w:szCs w:val="14"/>
        </w:rPr>
        <w:t xml:space="preserve">IP Strategy Investor Document · CONFIDENTIAL</w:t>
      </w:r>
    </w:p>
    <w:p>
      <w:pPr>
        <w:spacing w:before="200"/>
        <w:jc w:val="center"/>
      </w:pPr>
      <w:r>
        <w:rPr>
          <w:rFonts w:ascii="Arial" w:cs="Arial" w:eastAsia="Arial" w:hAnsi="Arial"/>
          <w:color w:val="A09A90"/>
          <w:sz w:val="14"/>
          <w:szCs w:val="14"/>
        </w:rPr>
        <w:t xml:space="preserve">2026年4月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SimHei" w:cs="SimHei" w:eastAsia="SimHei" w:hAnsi="SimHei"/>
      <w:b/>
      <w:bCs/>
      <w:color w:val="8A75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SimHei" w:cs="SimHei" w:eastAsia="SimHei" w:hAnsi="SimHei"/>
      <w:b/>
      <w:bCs/>
      <w:color w:val="2C2C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SimHei" w:cs="SimHei" w:eastAsia="SimHei" w:hAnsi="SimHei"/>
      <w:b/>
      <w:bCs/>
      <w:color w:val="8B6F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2026-04-16T09:20:37.307Z</dcterms:created>
  <dcterms:modified xsi:type="dcterms:W3CDTF">2026-04-16T09:20:37.308Z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