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2D6A4F"/>
          <w:sz w:val="52"/>
          <w:szCs w:val="52"/>
        </w:rPr>
        <w:t xml:space="preserve">山川造物</w:t>
      </w:r>
    </w:p>
    <w:p>
      <w:pPr>
        <w:spacing w:after="80"/>
        <w:jc w:val="center"/>
      </w:pPr>
      <w:r>
        <w:rPr>
          <w:rFonts w:ascii="Arial" w:cs="Arial" w:eastAsia="Arial" w:hAnsi="Arial"/>
          <w:color w:val="A0A0A0"/>
          <w:spacing w:val="200"/>
          <w:sz w:val="18"/>
          <w:szCs w:val="18"/>
        </w:rPr>
        <w:t xml:space="preserve">NATURE’S CREATIONS</w:t>
      </w:r>
    </w:p>
    <w:p>
      <w:pPr>
        <w:spacing w:after="400"/>
      </w:pP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2C2C2C"/>
          <w:sz w:val="36"/>
          <w:szCs w:val="36"/>
        </w:rPr>
        <w:t xml:space="preserve">公司化股权架构方案</w:t>
      </w:r>
    </w:p>
    <w:p>
      <w:pPr>
        <w:spacing w:after="80"/>
        <w:jc w:val="center"/>
      </w:pPr>
      <w:r>
        <w:rPr>
          <w:rFonts w:ascii="SimSun" w:cs="SimSun" w:eastAsia="SimSun" w:hAnsi="SimSun"/>
          <w:color w:val="6B6B6B"/>
          <w:sz w:val="24"/>
          <w:szCs w:val="24"/>
        </w:rPr>
        <w:t xml:space="preserve">双层架构：品牌平台公司 + 门店投资实体</w:t>
      </w:r>
    </w:p>
    <w:p>
      <w:pPr>
        <w:spacing w:after="1600"/>
      </w:pPr>
    </w:p>
    <w:p>
      <w:pPr>
        <w:spacing w:after="60"/>
        <w:jc w:val="center"/>
      </w:pPr>
      <w:r>
        <w:rPr>
          <w:rFonts w:ascii="SimSun" w:cs="SimSun" w:eastAsia="SimSun" w:hAnsi="SimSun"/>
          <w:color w:val="A0A0A0"/>
          <w:sz w:val="20"/>
          <w:szCs w:val="20"/>
        </w:rPr>
        <w:t xml:space="preserve">内部文件 / 保密</w:t>
      </w:r>
    </w:p>
    <w:p>
      <w:pPr>
        <w:jc w:val="center"/>
      </w:pPr>
      <w:r>
        <w:rPr>
          <w:rFonts w:ascii="SimSun" w:cs="SimSun" w:eastAsia="SimSun" w:hAnsi="SimSun"/>
          <w:color w:val="A0A0A0"/>
          <w:sz w:val="20"/>
          <w:szCs w:val="20"/>
        </w:rPr>
        <w:t xml:space="preserve">2026年4月</w:t>
      </w:r>
    </w:p>
    <w:p>
      <w:r>
        <w:br w:type="page"/>
      </w:r>
    </w:p>
    <w:p>
      <w:pPr>
        <w:pStyle w:val="Heading1"/>
      </w:pPr>
      <w:r>
        <w:t xml:space="preserve">一、架构总览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山川造物采用“品牌平台公司 + 门店投资实体”的双层架构。公司层拥有品牌、商标、管理体系等核心资产，负责品牌建设、产品研发、商业运营。门店层是独立的投资实体，由外部投资人出资、公司以品牌和管理能力入股。两层分离，各自独立核算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这个架构的核心优势：公司不需要承担每家店的全部资金压力，通过品牌和管理能力“撒动”外部资本扩张；同时品牌和系统始终掌握在创始团队手中，不会因为引入门店投资人而被稀释。</w:t>
      </w:r>
    </w:p>
    <w:p>
      <w:pPr>
        <w:pStyle w:val="Heading1"/>
      </w:pPr>
      <w:r>
        <w:t xml:space="preserve">二、公司层：品牌平台实体</w:t>
      </w:r>
    </w:p>
    <w:p>
      <w:pPr>
        <w:pStyle w:val="Heading2"/>
      </w:pPr>
      <w:r>
        <w:t xml:space="preserve">股权结构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6"/>
      </w:tblGrid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股东</w:t>
            </w:r>
          </w:p>
        </w:tc>
        <w:tc>
          <w:tcPr>
            <w:tcW w:type="dxa" w:w="1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比例</w:t>
            </w:r>
          </w:p>
        </w:tc>
        <w:tc>
          <w:tcPr>
            <w:tcW w:type="dxa" w:w="59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20"/>
                <w:szCs w:val="20"/>
              </w:rPr>
              <w:t xml:space="preserve">李贺</w:t>
            </w:r>
          </w:p>
        </w:tc>
        <w:tc>
          <w:tcPr>
            <w:tcW w:type="dxa" w:w="1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45%</w:t>
            </w:r>
          </w:p>
        </w:tc>
        <w:tc>
          <w:tcPr>
            <w:tcW w:type="dxa" w:w="59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最大股东、实际控制人。负责公司战略、品牌、财务、法务、线上化、内容营销、对外商务、人事决策。担任执行董事兼总经理。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20"/>
                <w:szCs w:val="20"/>
              </w:rPr>
              <w:t xml:space="preserve">廉澍</w:t>
            </w:r>
          </w:p>
        </w:tc>
        <w:tc>
          <w:tcPr>
            <w:tcW w:type="dxa" w:w="1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20"/>
                <w:szCs w:val="20"/>
              </w:rPr>
              <w:t xml:space="preserve">35%</w:t>
            </w:r>
          </w:p>
        </w:tc>
        <w:tc>
          <w:tcPr>
            <w:tcW w:type="dxa" w:w="59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技术核心、项目发起人。负责产品创意、设计、制作、新品研发、质量管控、门店日常管理。担任产品总监。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人才期权池</w:t>
            </w:r>
          </w:p>
        </w:tc>
        <w:tc>
          <w:tcPr>
            <w:tcW w:type="dxa" w:w="1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8B6F47"/>
                <w:sz w:val="20"/>
                <w:szCs w:val="20"/>
              </w:rPr>
              <w:t xml:space="preserve">20%</w:t>
            </w:r>
          </w:p>
        </w:tc>
        <w:tc>
          <w:tcPr>
            <w:tcW w:type="dxa" w:w="59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从李贺、廉澍各出10%。预留给未来引入的核心人才（线上运营负责人、店长、设计师等），由董事会统一管理、分次授予。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分工与决策权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53"/>
        <w:gridCol w:w="3753"/>
      </w:tblGrid>
      <w:tr>
        <w:tc>
          <w:tcPr>
            <w:tcW w:type="dxa" w:w="2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李贺（执行董事/总经理）</w:t>
            </w:r>
          </w:p>
        </w:tc>
        <w:tc>
          <w:tcPr>
            <w:tcW w:type="dxa" w:w="3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0"/>
                <w:szCs w:val="20"/>
              </w:rPr>
              <w:t xml:space="preserve">廉澍（产品总监）</w:t>
            </w:r>
          </w:p>
        </w:tc>
      </w:tr>
      <w:tr>
        <w:tc>
          <w:tcPr>
            <w:tcW w:type="dxa" w:w="2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决策域</w:t>
            </w:r>
          </w:p>
        </w:tc>
        <w:tc>
          <w:tcPr>
            <w:tcW w:type="dxa" w:w="3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公司战略方向、品牌定位、
定价策略、渠道拓展、
财务管理、法务、人事、
对外合作、加盟审批</w:t>
            </w:r>
          </w:p>
        </w:tc>
        <w:tc>
          <w:tcPr>
            <w:tcW w:type="dxa" w:w="3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产品创意与设计、
工艺流程与标准、
原料采购与供应商管理、
门店日常运营与陈列</w:t>
            </w:r>
          </w:p>
        </w:tc>
      </w:tr>
      <w:tr>
        <w:tc>
          <w:tcPr>
            <w:tcW w:type="dxa" w:w="2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一句话</w:t>
            </w:r>
          </w:p>
        </w:tc>
        <w:tc>
          <w:tcPr>
            <w:tcW w:type="dxa" w:w="3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“卖给谁、怎么卖、怎么管”</w:t>
            </w:r>
          </w:p>
        </w:tc>
        <w:tc>
          <w:tcPr>
            <w:tcW w:type="dxa" w:w="3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“做什么产品、怎么做”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重大事项表决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以下事项需要李贺与廉澍双方共同同意：修改公司章程、增资扩股、公司合并或解散、单笔超过约定金额的重大支出、从期权池中授予股权。日常经营事务由李贺作为执行董事全权处理。</w:t>
      </w:r>
    </w:p>
    <w:p>
      <w:pPr>
        <w:pStyle w:val="Heading2"/>
      </w:pPr>
      <w:r>
        <w:t xml:space="preserve">公司核心资产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公司拥有的核心资产包括：“山川造物”品牌及商标、VI视觉识别系统、产品设计与工艺知识产权、线上渠道（小程序、电商、社交媒体）、内容营销体系、供应链关系、经营管理SOP、客户资源。以上资产均归公司所有，不归任何个人。</w:t>
      </w:r>
    </w:p>
    <w:p>
      <w:r>
        <w:br w:type="page"/>
      </w:r>
    </w:p>
    <w:p>
      <w:pPr>
        <w:pStyle w:val="Heading1"/>
      </w:pPr>
      <w:r>
        <w:t xml:space="preserve">三、门店层：三种模式并存</w:t>
      </w:r>
    </w:p>
    <w:p>
      <w:pPr>
        <w:pStyle w:val="Heading2"/>
      </w:pPr>
      <w:r>
        <w:t xml:space="preserve">模式一：现有长春店（历史衰接）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现有长春这有山门店的三方合伙协议继续独立运行，权益分配按原有书面协议执行（回本前投资人A 40%/李贺40%/廉澍20%，回本后廉澍40%/投资人A 30%/李贺30%）。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公司与该门店签署《品牌授权与管理服务协议》，明确：门店获得“山川造物”品牌使用授权；门店遵守公司统一的品牌视觉标准、产品标准和服务标准；公司提供品牌维护、线上引流、产品供应链等服务；门店按约定支付品牌授权费或管理服务费。</w:t>
      </w:r>
    </w:p>
    <w:p>
      <w:pPr>
        <w:pStyle w:val="Heading2"/>
      </w:pPr>
      <w:r>
        <w:t xml:space="preserve">模式二：合作门店（60:40模式）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这是未来扩张的主力模式。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每开一家新店，成立一个独立的门店投资实体（有限合伙或有限公司），股权结构固定为：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506"/>
      </w:tblGrid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角色</w:t>
            </w:r>
          </w:p>
        </w:tc>
        <w:tc>
          <w:tcPr>
            <w:tcW w:type="dxa" w:w="16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比例</w:t>
            </w:r>
          </w:p>
        </w:tc>
        <w:tc>
          <w:tcPr>
            <w:tcW w:type="dxa" w:w="5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权利与义务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20"/>
                <w:szCs w:val="20"/>
              </w:rPr>
              <w:t xml:space="preserve">投资人</w:t>
            </w:r>
          </w:p>
        </w:tc>
        <w:tc>
          <w:tcPr>
            <w:tcW w:type="dxa" w:w="16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20"/>
                <w:szCs w:val="20"/>
              </w:rPr>
              <w:t xml:space="preserve">60%</w:t>
            </w:r>
          </w:p>
        </w:tc>
        <w:tc>
          <w:tcPr>
            <w:tcW w:type="dxa" w:w="5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出资建店、装修、首批库存。享有分红权、知情权。不参与日常经营决策。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20"/>
                <w:szCs w:val="20"/>
              </w:rPr>
              <w:t xml:space="preserve">山川造物公司</w:t>
            </w:r>
          </w:p>
        </w:tc>
        <w:tc>
          <w:tcPr>
            <w:tcW w:type="dxa" w:w="16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40%</w:t>
            </w:r>
          </w:p>
        </w:tc>
        <w:tc>
          <w:tcPr>
            <w:tcW w:type="dxa" w:w="5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以品牌授权+经营管理能力入股，不出现金。拥有门店经营方向的决策权。提供品牌、产品供应、SOP、培训、线上引流。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投资人管理原则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优先单个投资人。资金投入较大时可引入多个投资人联合出资，但投资人总数不超过3人，以保持架构简洁和沟通成本可控。多个投资人时，由其中一人担任投资人代表，统一对接公司。</w:t>
      </w:r>
    </w:p>
    <w:p>
      <w:pPr>
        <w:pStyle w:val="Heading3"/>
      </w:pPr>
      <w:r>
        <w:t xml:space="preserve">公司向门店输出的内容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品牌使用授权（VI、包装、门头等统一视觉标准）、标品化产品供应链、门店运营SOP手册、员工培训体系、线上流量导入（小程序、社交媒体）、定期运营巡检与指导。</w:t>
      </w:r>
    </w:p>
    <w:p>
      <w:pPr>
        <w:pStyle w:val="Heading2"/>
      </w:pPr>
      <w:r>
        <w:t xml:space="preserve">模式三：全资直营店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公司自己出资、自己运营的门店，100%利润归公司。适用于品牌影响力足够强、现金流稳定之后，在战略高地（如大理、上海）开设旗舰店。直营店同时作为新品测试、员工培训、品牌展示的标杆门店。</w:t>
      </w:r>
    </w:p>
    <w:p>
      <w:r>
        <w:br w:type="page"/>
      </w:r>
    </w:p>
    <w:p>
      <w:pPr>
        <w:pStyle w:val="Heading1"/>
      </w:pPr>
      <w:r>
        <w:t xml:space="preserve">四、收入与分配机制</w:t>
      </w:r>
    </w:p>
    <w:p>
      <w:pPr>
        <w:pStyle w:val="Heading2"/>
      </w:pPr>
      <w:r>
        <w:t xml:space="preserve">廉澍的收入来源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7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公司股权分红</w:t>
            </w:r>
          </w:p>
        </w:tc>
        <w:tc>
          <w:tcPr>
            <w:tcW w:type="dxa" w:w="7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按公司35%股权比例参与公司层面的利润分红（公司收入来自门店分红+管理费+供应链差价）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固定月薪</w:t>
            </w:r>
          </w:p>
        </w:tc>
        <w:tc>
          <w:tcPr>
            <w:tcW w:type="dxa" w:w="7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公司按市场水平支付廉澍固定月薪，作为其全职产品工作的报酬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年度绩效奖金</w:t>
            </w:r>
          </w:p>
        </w:tc>
        <w:tc>
          <w:tcPr>
            <w:tcW w:type="dxa" w:w="7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基于产品端KPI（产能、良品率、新品研发数量），达标后额外发放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现有店分红</w:t>
            </w:r>
          </w:p>
        </w:tc>
        <w:tc>
          <w:tcPr>
            <w:tcW w:type="dxa" w:w="7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现有长春店按原协议继续分红，独立于公司层面收入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李贺的收入来源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公司股权分红（45%）、现有店分红（按原协议）、总经理薪酬（待商定）。</w:t>
      </w:r>
    </w:p>
    <w:p>
      <w:pPr>
        <w:pStyle w:val="Heading1"/>
      </w:pPr>
      <w:r>
        <w:t xml:space="preserve">五、保护条款</w:t>
      </w:r>
    </w:p>
    <w:p>
      <w:pPr>
        <w:pStyle w:val="Heading2"/>
      </w:pPr>
      <w:r>
        <w:t xml:space="preserve">股权成熟机制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李贺与廉澍的股权均设置4年成熟期，每年成熟25%。中途退出者，未成熟部分由公司按约定估值回购。此条款对双方一视同仁。</w:t>
      </w:r>
    </w:p>
    <w:p>
      <w:pPr>
        <w:pStyle w:val="Heading2"/>
      </w:pPr>
      <w:r>
        <w:t xml:space="preserve">知识产权归属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“山川造物”品牌、商标、设计资产均归公司所有。廉澍开发的产品设计和工艺归公司。李贺建设的品牌体系、线上渠道、客户资源归公司。</w:t>
      </w:r>
    </w:p>
    <w:p>
      <w:pPr>
        <w:pStyle w:val="Heading2"/>
      </w:pPr>
      <w:r>
        <w:t xml:space="preserve">竞业约定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在职期间及离职后两年内，双方均不得从事与山川造物直接竞争的业务。</w:t>
      </w:r>
    </w:p>
    <w:p>
      <w:pPr>
        <w:pStyle w:val="Heading2"/>
      </w:pPr>
      <w:r>
        <w:t xml:space="preserve">财务透明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每月固定日期对账，使用统一记账工具，双方均可查看。每季度出具财务报告。门店层面同样适用，投资人每季度收到门店财务报告。</w:t>
      </w:r>
    </w:p>
    <w:p>
      <w:pPr>
        <w:pStyle w:val="Heading1"/>
      </w:pPr>
      <w:r>
        <w:t xml:space="preserve">六、估值模型与融资规划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公司在不同发展阶段采用不同的估值方法，并在合适的时机引入外部投资人。外部投资人进入公司层面（而非门店层面），从李贺与廉澍的股权中按比例稀释。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706"/>
      </w:tblGrid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估值方法</w:t>
            </w:r>
          </w:p>
        </w:tc>
        <w:tc>
          <w:tcPr>
            <w:tcW w:type="dxa" w:w="47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融资用途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初创期（1-2家店）</w:t>
            </w:r>
          </w:p>
        </w:tc>
        <w:tc>
          <w:tcPr>
            <w:tcW w:type="dxa" w:w="26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年净利润×倍数
+品牌资产溢价</w:t>
            </w:r>
          </w:p>
        </w:tc>
        <w:tc>
          <w:tcPr>
            <w:tcW w:type="dxa" w:w="47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品牌VI完善、线上渠道建设、首家合作店开业资金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拓店期（3-5家店）</w:t>
            </w:r>
          </w:p>
        </w:tc>
        <w:tc>
          <w:tcPr>
            <w:tcW w:type="dxa" w:w="26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可比交易法
/单店模型×可复制数</w:t>
            </w:r>
          </w:p>
        </w:tc>
        <w:tc>
          <w:tcPr>
            <w:tcW w:type="dxa" w:w="47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供应链建设、团队扩充、跨城市运营体系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规模化期（10+家店）</w:t>
            </w:r>
          </w:p>
        </w:tc>
        <w:tc>
          <w:tcPr>
            <w:tcW w:type="dxa" w:w="26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EBITDA倍数</w:t>
            </w:r>
          </w:p>
        </w:tc>
        <w:tc>
          <w:tcPr>
            <w:tcW w:type="dxa" w:w="47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全国扩张、海外市场、IP开发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七、下一步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第一步：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李贺与廉澍充分沟通本方案，就公司层面股权比例、45:35:20结构、分工与决策权达成一致。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第二步：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委托律师起草公司章程和股东协议，完成公司注册。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第三步：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与现有长春店签署《品牌授权与管理服务协议》，完成双层架构的第一次衔接。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第四步：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启动品牌升级（VI落地、包装升级、标品化推进）和线上渠道建设，为后续拓店和融资奠定基础。</w:t>
      </w:r>
    </w:p>
    <w:p>
      <w:pPr>
        <w:spacing w:after="300"/>
      </w:pPr>
    </w:p>
    <w:p>
      <w:pPr>
        <w:spacing w:after="160" w:line="380"/>
        <w:jc w:val="both"/>
      </w:pPr>
      <w:r>
        <w:rPr>
          <w:rFonts w:ascii="SimSun" w:cs="SimSun" w:eastAsia="SimSun" w:hAnsi="SimSun"/>
          <w:i/>
          <w:iCs/>
          <w:color w:val="2C2C2C"/>
          <w:sz w:val="22"/>
          <w:szCs w:val="22"/>
        </w:rPr>
        <w:t xml:space="preserve">山川造物的未来，属于我们每一个人。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2026-04-13T02:31:55.588Z</dcterms:created>
  <dcterms:modified xsi:type="dcterms:W3CDTF">2026-04-13T02:31:55.589Z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