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60"/>
          <w:szCs w:val="60"/>
        </w:rPr>
        <w:t xml:space="preserve">山川造物</w:t>
      </w:r>
    </w:p>
    <w:p>
      <w:pPr>
        <w:spacing w:after="12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20"/>
          <w:szCs w:val="20"/>
        </w:rPr>
        <w:t xml:space="preserve">NATURE’S CREATIONS</w:t>
      </w:r>
    </w:p>
    <w:p>
      <w:pPr>
        <w:spacing w:after="4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40"/>
          <w:szCs w:val="40"/>
        </w:rPr>
        <w:t xml:space="preserve">投资人路演文档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22"/>
          <w:szCs w:val="22"/>
        </w:rPr>
        <w:t xml:space="preserve">Investment Pitch Document</w:t>
      </w:r>
    </w:p>
    <w:p>
      <w:pPr>
        <w:spacing w:after="200"/>
      </w:pPr>
    </w:p>
    <w:p>
      <w:pPr>
        <w:spacing w:after="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中国首个自然标本美学生活方式品牌</w:t>
      </w:r>
    </w:p>
    <w:p>
      <w:pPr>
        <w:spacing w:after="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门店即博物馆 · IP驱动 · AI超级个体运营</w:t>
      </w:r>
    </w:p>
    <w:p>
      <w:pPr>
        <w:spacing w:after="1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20"/>
          <w:szCs w:val="20"/>
        </w:rPr>
        <w:t xml:space="preserve">2026年4月 · CONFIDENTIAL</w:t>
      </w:r>
    </w:p>
    <w:p>
      <w:r>
        <w:br w:type="page"/>
      </w:r>
    </w:p>
    <w:p>
      <w:pPr>
        <w:pStyle w:val="Heading1"/>
      </w:pPr>
      <w:r>
        <w:t xml:space="preserve">一、一句话故事</w:t>
      </w:r>
    </w:p>
    <w:p>
      <w:pPr>
        <w:spacing w:after="200"/>
      </w:pPr>
    </w:p>
    <w:p>
      <w:pPr>
        <w:spacing w:after="200" w:before="200" w:line="40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“山川造物是中国首个把自然标本做成文化符号的品牌。”</w:t>
      </w:r>
    </w:p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我们不卖标本。我们卖的是——让每一座城市都有一件值得打卡的博物馆级景观，一个值得收藏的文化IP，一套值得套套的自然美艺生活方式。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如果用一个类比说清楽：山川造物 = 泡泡玛特的IP情绪价值 + 故宫文创的文化深度 + 超级个体AI的轻资产效率，所有的故事发生在“自然标本”这个中国还没有人做成的品类里。</w:t>
      </w:r>
    </w:p>
    <w:p>
      <w:r>
        <w:br w:type="page"/>
      </w:r>
    </w:p>
    <w:p>
      <w:pPr>
        <w:pStyle w:val="Heading1"/>
      </w:pPr>
      <w:r>
        <w:t xml:space="preserve">二、市场机会</w:t>
      </w:r>
    </w:p>
    <w:p>
      <w:pPr>
        <w:pStyle w:val="Heading2"/>
      </w:pPr>
      <w:r>
        <w:t xml:space="preserve">2.1 三个趋势交汇点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自然回归消费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。后疫情时代，消费者对自然/治愈/生态的需求结构性上升。生物亲和性设计（Biophilic Design）成为家居主流设计语言。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文旅体验经济爆发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。消费者愿意为体验付费。博物馆参观量均年增长15%，美术馆、文创集体商业体成为新城市地标。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超级个体+AI红利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。AI工具降低了传统需要整个团队的能力门槛。1人+AI能完成3-5人工作，初创期成本降至传统模式的20%。</w:t>
      </w:r>
    </w:p>
    <w:p>
      <w:pPr>
        <w:spacing w:after="200"/>
      </w:pPr>
    </w:p>
    <w:p>
      <w:pPr>
        <w:pStyle w:val="Heading2"/>
      </w:pPr>
      <w:r>
        <w:t xml:space="preserve">2.2 核心数据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文创标本市场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平均客单价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复购率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6"/>
                <w:szCs w:val="26"/>
              </w:rPr>
              <w:t xml:space="preserve">¥85亿+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6"/>
                <w:szCs w:val="26"/>
              </w:rPr>
              <w:t xml:space="preserve">¥680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6"/>
                <w:szCs w:val="26"/>
              </w:rPr>
              <w:t xml:space="preserve">28.4%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4"/>
                <w:szCs w:val="14"/>
              </w:rPr>
              <w:t xml:space="preserve">CAGR 18.5%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4"/>
                <w:szCs w:val="14"/>
              </w:rPr>
              <w:t xml:space="preserve">行业均值¥420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4"/>
                <w:szCs w:val="14"/>
              </w:rPr>
              <w:t xml:space="preserve">行业均值18%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行业痛点 = 我们的机会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国内自然标本行业高度分散，以淘宝白牌和景区地摊为主。整个行业中还没有一个品牌同时具备：统一品牌识别 + 标准化产品线 + 可复制的门店体验 + 系统化的线上运营。山川造物是这个品类的第一个品牌，也可能是唯一的最终赢家。</w:t>
      </w:r>
    </w:p>
    <w:p>
      <w:r>
        <w:br w:type="page"/>
      </w:r>
    </w:p>
    <w:p>
      <w:pPr>
        <w:pStyle w:val="Heading1"/>
      </w:pPr>
      <w:r>
        <w:t xml:space="preserve">三、商业模式：三层价值结构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山川造物的商业模型不是“卖标本”，而是——</w:t>
      </w:r>
    </w:p>
    <w:p>
      <w:pP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3"/>
        <w:gridCol w:w="3653"/>
      </w:tblGrid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6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读理解为</w:t>
            </w:r>
          </w:p>
        </w:tc>
        <w:tc>
          <w:tcPr>
            <w:tcW w:type="dxa" w:w="36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商业角色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流量层</w:t>
            </w:r>
          </w:p>
        </w:tc>
        <w:tc>
          <w:tcPr>
            <w:tcW w:type="dxa" w:w="36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景观标本（黑马/长颈鹿/拟人化标本）</w:t>
            </w:r>
          </w:p>
        </w:tc>
        <w:tc>
          <w:tcPr>
            <w:tcW w:type="dxa" w:w="36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不追求成交 — 门店固定资产、话题制造器、免费广告位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5A3F"/>
                <w:sz w:val="20"/>
                <w:szCs w:val="20"/>
              </w:rPr>
              <w:t xml:space="preserve">利润层</w:t>
            </w:r>
          </w:p>
        </w:tc>
        <w:tc>
          <w:tcPr>
            <w:tcW w:type="dxa" w:w="36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美艺标品（香薰/首饰/集合框/种子罩/矿物摆件）</w:t>
            </w:r>
          </w:p>
        </w:tc>
        <w:tc>
          <w:tcPr>
            <w:tcW w:type="dxa" w:w="36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真正的销售主力 — 50-800元核心价格带，毛刹60-70%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体验层</w:t>
            </w:r>
          </w:p>
        </w:tc>
        <w:tc>
          <w:tcPr>
            <w:tcW w:type="dxa" w:w="36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区域主题化门店设计</w:t>
            </w:r>
          </w:p>
        </w:tc>
        <w:tc>
          <w:tcPr>
            <w:tcW w:type="dxa" w:w="36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内容资产 — 每店差异化，消费者的“收藏欲望”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一句话说透逻辑</w:t>
      </w:r>
    </w:p>
    <w:p>
      <w:pPr>
        <w:spacing w:after="200" w:before="200" w:line="40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“用景观标本做流量，用流量带动美艺标品的销售，用差异化体验形成不可复制的壁垒。”</w:t>
      </w:r>
    </w:p>
    <w:p>
      <w:pPr>
        <w:pStyle w:val="Heading2"/>
      </w:pPr>
      <w:r>
        <w:t xml:space="preserve">3.2 供应链四链路（轻资产核心）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链路</w:t>
            </w:r>
          </w:p>
        </w:tc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</w:tr>
      <w:tr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一·景观标本</w:t>
            </w:r>
          </w:p>
        </w:tc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动物园自然损耗 + 合法养殖场 + 科研机构 + 海关罚没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稀缺·重合规·不追求卖出去</w:t>
            </w:r>
          </w:p>
        </w:tc>
      </w:tr>
      <w:tr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二·昆虫蝶蝶</w:t>
            </w:r>
          </w:p>
        </w:tc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人工养殖基地（云南/海南/东南亚）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标品主力·可规模化·12SKU蝶蝶罩的核心</w:t>
            </w:r>
          </w:p>
        </w:tc>
      </w:tr>
      <w:tr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三·植物标本</w:t>
            </w:r>
          </w:p>
        </w:tc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自有采集 + 植物园/林业合作 + 花艺供应商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低门槛·引流款·集合框内容</w:t>
            </w:r>
          </w:p>
        </w:tc>
      </w:tr>
      <w:tr>
        <w:tc>
          <w:tcPr>
            <w:tcW w:type="dxa" w:w="2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四·美艺标品选品</w:t>
            </w:r>
          </w:p>
        </w:tc>
        <w:tc>
          <w:tcPr>
            <w:tcW w:type="dxa" w:w="35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第三方品牌B端合作（香薰/首饰/陶器）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毛利最高·周转最快·库存风险最低</w:t>
            </w:r>
          </w:p>
        </w:tc>
      </w:tr>
    </w:tbl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半供应链的设计意味着——核心能力集中在品牌和渠道侧，而非生产侧。这与胖东来的模型一致：不攻克自己不擅长的环节，用C端的强认可归属倒逼供应链。</w:t>
      </w:r>
    </w:p>
    <w:p>
      <w:r>
        <w:br w:type="page"/>
      </w:r>
    </w:p>
    <w:p>
      <w:pPr>
        <w:pStyle w:val="Heading1"/>
      </w:pPr>
      <w:r>
        <w:t xml:space="preserve">四、核心壁垒：IP作为估值逻辑</w:t>
      </w:r>
    </w:p>
    <w:p>
      <w:pPr>
        <w:pStyle w:val="Heading2"/>
      </w:pPr>
      <w:r>
        <w:t xml:space="preserve">4.1 这是一家怎样的公司？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如果单从“门店数×单店收入”估值，山川造物就是一家文创零售公司。但我们请投资人换一个角度看——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对照公司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核心估值来源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山川造物的对应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泡泡玛特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IP版权+粉丝红利（估值98%来自IP）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镇店标本天然就是IP母体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故宫文创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文化代表性+授权联名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区域主题化=城市文化容器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荔枝微笑堂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沉浸式体验+场景化消费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门店即博物馆的体验设计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胖东来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极致体验驱动的循环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胖东来飞轮模型传承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我们的独特优势：IP母体无需创造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泡泡玛特需要人工设计MOLLY/SKULLPANDA，每一个IP的孕育期2-5年、成功率不到 20%。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故宫需要从浩瀚藏品中提炼文化符号，要兼顾历史准确性和年轻化表达。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山川造物的IP母体天然就在那里。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站在长春店里。所有进店的人都会拍照。我们不需要“创造”一个IP，只需要给它一个名字、一段故事、一套周边。同样的逻辑可以复制到每一家新店：大理的巨蝶、杭州的白鹭、海南的珊瑚——每一家店的镇店之宝都是一个天然的IP母体。</w:t>
      </w:r>
    </w:p>
    <w:p>
      <w:pPr>
        <w:spacing w:after="200"/>
      </w:pPr>
    </w:p>
    <w:p>
      <w:pPr>
        <w:pStyle w:val="Heading2"/>
      </w:pPr>
      <w:r>
        <w:t xml:space="preserve">4.3 黑马案例：从标本到文化符号的完整路径</w:t>
      </w:r>
    </w:p>
    <w:p>
      <w:pPr>
        <w:pStyle w:val="Heading3"/>
      </w:pPr>
      <w:r>
        <w:t xml:space="preserve">视觉锚定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黑马已是长春店的镇店之宝。进店顾客自发拍照率 &gt; 80%（每个人都会拍它）。</w:t>
      </w:r>
    </w:p>
    <w:p>
      <w:pPr>
        <w:pStyle w:val="Heading3"/>
      </w:pPr>
      <w:r>
        <w:t xml:space="preserve">名字与人格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候选名字：踏雪（推荐）/ 渡川 / 墨池。人格设定：不说话但在倾听的守护者，来自东北山林，等一个愿意把心事告诉它的人。</w:t>
      </w:r>
    </w:p>
    <w:p>
      <w:pPr>
        <w:pStyle w:val="Heading3"/>
      </w:pPr>
      <w:r>
        <w:t xml:space="preserve">三条情绪钩子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A · 做自己人生的黑马。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针对卷不动又不想躺平的年轻人。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B · 黑马驮着好运来。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适用于开业/搬家/考试/求职等送礼场景。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C · 黑夜里的陪伴者。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适用于情感向消费者。</w:t>
      </w:r>
    </w:p>
    <w:p>
      <w:pPr>
        <w:pStyle w:val="Heading3"/>
      </w:pPr>
      <w:r>
        <w:t xml:space="preserve">商业化路径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黑马立牌/印章卡·12月 → Q版玩偶/手办·6月 → 节气限定版本·3月一个 → 本地联名（咖啡/茶饮）·季度 → 数字藏品徽章·小程序 → 公众号连载《黑马的一年》</w:t>
      </w:r>
    </w:p>
    <w:p>
      <w:pPr>
        <w:spacing w:after="200"/>
      </w:pPr>
    </w:p>
    <w:p>
      <w:pPr>
        <w:pStyle w:val="Heading2"/>
      </w:pPr>
      <w:r>
        <w:t xml:space="preserve">4.4 跨门店IP体系：物种→熟语命名方法论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的核心IP不是一个形象，而是一套“物种→熟语”命名方法论。每座城市的店都有自己的镇店标本，每只标本对应一个中国人耳熟能详的熟语作为传播概念。消费者收藏欲望：“长春是马上有、大理是蝶恋花、杭州是白蛇传——下一座城市是什么？”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6"/>
      </w:tblGrid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城市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传播概念</w:t>
            </w:r>
          </w:p>
        </w:tc>
        <w:tc>
          <w:tcPr>
            <w:tcW w:type="dxa" w:w="5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情绪钩子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长春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</w:t>
            </w:r>
          </w:p>
        </w:tc>
        <w:tc>
          <w:tcPr>
            <w:tcW w:type="dxa" w:w="5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做自己人生的黑马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大理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蝶恋花</w:t>
            </w:r>
          </w:p>
        </w:tc>
        <w:tc>
          <w:tcPr>
            <w:tcW w:type="dxa" w:w="5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每一次蜽变都是把自己重新生一次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杭州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白蛇传</w:t>
            </w:r>
          </w:p>
        </w:tc>
        <w:tc>
          <w:tcPr>
            <w:tcW w:type="dxa" w:w="5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千年等一回，白蛇传的城市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成都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待定</w:t>
            </w:r>
          </w:p>
        </w:tc>
        <w:tc>
          <w:tcPr>
            <w:tcW w:type="dxa" w:w="5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不急，一切自有花期</w:t>
            </w:r>
          </w:p>
        </w:tc>
      </w:tr>
      <w:tr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海南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珊</w:t>
            </w:r>
          </w:p>
        </w:tc>
        <w:tc>
          <w:tcPr>
            <w:tcW w:type="dxa" w:w="5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潮水来了又去，只有珊一直在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4.5 IP带来的估值维度升级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估值维度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传统连锁零售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山川造物（含IP）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单店营收候倍数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2-3倍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5-10倍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毛利率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30-50%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60-70%+IP授权无限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数字资产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几乎无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小程序会员+数字藏品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传播深度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广告拉出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用户自发UGC+情感归属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长期壁垒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>选址+供应链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IP积累+文化符号化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五、单店经济模型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初始投资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月均营收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毛利率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8"/>
                <w:szCs w:val="28"/>
              </w:rPr>
              <w:t xml:space="preserve">30-50万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8"/>
                <w:szCs w:val="28"/>
              </w:rPr>
              <w:t xml:space="preserve">8-15万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8"/>
                <w:szCs w:val="28"/>
              </w:rPr>
              <w:t xml:space="preserve">60-70%</w:t>
            </w:r>
          </w:p>
        </w:tc>
      </w:tr>
    </w:tbl>
    <w:p>
      <w:pPr>
        <w:spacing w:after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预计回本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城市首店优先级</w:t>
            </w:r>
          </w:p>
        </w:tc>
      </w:tr>
      <w:tr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6"/>
                <w:szCs w:val="26"/>
              </w:rPr>
              <w:t xml:space="preserve">12-18个月</w:t>
            </w:r>
          </w:p>
        </w:tc>
        <w:tc>
          <w:tcPr>
            <w:tcW w:type="dxa" w:w="4753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长春已运营 → 大理/杭州/上海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收入结构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70%文创标品销售 + 15%IP周边 + 10%预约体验活动 + 5%品牌连名/授权收入。IP周边与连名的毛利率通常&gt;80%，随门店成熟度提升占比会稳步上升。</w:t>
      </w:r>
    </w:p>
    <w:p>
      <w:r>
        <w:br w:type="page"/>
      </w:r>
    </w:p>
    <w:p>
      <w:pPr>
        <w:pStyle w:val="Heading1"/>
      </w:pPr>
      <w:r>
        <w:t xml:space="preserve">六、数字化基建（已交付）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不同于大多数早期品牌，山川造物的数字化基建已经完成并运行：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小程序页面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ERP模块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AI场景</w:t>
            </w:r>
          </w:p>
        </w:tc>
      </w:tr>
      <w:tr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32"/>
                <w:szCs w:val="32"/>
              </w:rPr>
              <w:t xml:space="preserve">30+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32"/>
                <w:szCs w:val="32"/>
              </w:rPr>
              <w:t xml:space="preserve">27</w:t>
            </w:r>
          </w:p>
        </w:tc>
        <w:tc>
          <w:tcPr>
            <w:tcW w:type="dxa" w:w="317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32"/>
                <w:szCs w:val="32"/>
              </w:rPr>
              <w:t xml:space="preserve">17+</w:t>
            </w:r>
          </w:p>
        </w:tc>
      </w:tr>
    </w:tbl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由创始人李贺一人独立开发（Vue.js + Cursor + 微信云开发），等效于3-5人技术团队产出。既是能力展示，也是加盟商担心的最有力回应——加盟即获得此套系统的完整使用权，开箱即用。</w:t>
      </w:r>
    </w:p>
    <w:p>
      <w:pPr>
        <w:pStyle w:val="Heading2"/>
      </w:pPr>
      <w:r>
        <w:t xml:space="preserve">核心能力摘要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C端小程序：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收藏家协会会员体系 + AI标本鉴定 + 预约系统 + 自然图鉴 + 成就系统 + 完整电商闭环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B端ERP中台：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经营驾驶舱 + 藏品档案库 + 会员CRM + 活动排期 + 财务核算 + 17个AI智能场景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AI智能中心：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覆盖门店经营/营销内容/客户分析/供应链/人力财务/竞争策略的全场景覆盖。加盟商不需要自研，开店即可使用。</w:t>
      </w:r>
    </w:p>
    <w:p>
      <w:r>
        <w:br w:type="page"/>
      </w:r>
    </w:p>
    <w:p>
      <w:pPr>
        <w:pStyle w:val="Heading1"/>
      </w:pPr>
      <w:r>
        <w:t xml:space="preserve">七、增长飞轮（胖东来模式传承）</w:t>
      </w:r>
    </w:p>
    <w:p>
      <w:pPr>
        <w:spacing w:after="200"/>
      </w:pPr>
    </w:p>
    <w:p>
      <w:pPr>
        <w:spacing w:after="200" w:before="200" w:line="400"/>
        <w:ind w:left="720" w:right="720"/>
        <w:jc w:val="center"/>
      </w:pPr>
      <w:r>
        <w:rPr>
          <w:rFonts w:ascii="SimHei" w:cs="SimHei" w:eastAsia="SimHei" w:hAnsi="SimHei"/>
          <w:i/>
          <w:iCs/>
          <w:color w:val="8A7530"/>
          <w:sz w:val="26"/>
          <w:szCs w:val="26"/>
        </w:rPr>
        <w:t xml:space="preserve">“极致门店体验 → 社交内容传播 → 品牌认知+社群归属 → 加盟投资人吸引 → 供应链优化 → 产品创新 → 回到体验”</w:t>
      </w:r>
    </w:p>
    <w:p>
      <w:pPr>
        <w:spacing w:after="200"/>
      </w:pPr>
    </w:p>
    <w:p>
      <w:pPr>
        <w:pStyle w:val="Heading2"/>
      </w:pPr>
      <w:r>
        <w:t xml:space="preserve">每一个环节我们都有的分寸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极致体验：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门店即博物馆的六区动线设计，停留时间15-30分钟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内容传播：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平台矩阵理解（创始人前B站/优酷/支付宝背景）+ IP引发的自发UGC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品牌认知：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物种→熟语方法论让消费者主动跨城市打卡，将“杀时间”变成“收集欲望”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加盟吸引：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完整数字化套件+品牌高频曝光，降低加盟者决策成本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供应链优化：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门店量增长倒逼自己和供应商迭代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产品创新：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数据洞察与AI智能中心指导新品开发</w:t>
      </w:r>
    </w:p>
    <w:p>
      <w:r>
        <w:br w:type="page"/>
      </w:r>
    </w:p>
    <w:p>
      <w:pPr>
        <w:pStyle w:val="Heading1"/>
      </w:pPr>
      <w:r>
        <w:t xml:space="preserve">八、团队与融资</w:t>
      </w:r>
    </w:p>
    <w:p>
      <w:pPr>
        <w:pStyle w:val="Heading2"/>
      </w:pPr>
      <w:r>
        <w:t xml:space="preserve">8.1 核心团队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李贺（CEO，45%）。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前优酷/支付宝/Bilibili互联网从业者，深度掌握内容平台的算法逻辑与商业化路径。一人独立完成小程序+ERP+AI工具矩阵的开发。负责品牌、战略、数字化、内容营销。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廉澍（产品总监，35%）。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专业标本设计师，品牌创始人。负责产品全流程，管理标本工作室。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人才期权池（20%）。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双方各出10%。预留给未来核心人才。</w:t>
      </w:r>
    </w:p>
    <w:p>
      <w:pPr>
        <w:pStyle w:val="Heading2"/>
      </w:pPr>
      <w:r>
        <w:t xml:space="preserve">8.2 融资规划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6"/>
      </w:tblGrid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金额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资金用途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种子轮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300-500万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VI落地、包装升级、黑马IP落地、首批周边、内容制作、首家加盟店支持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天使轮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800-2000万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供应链、跨城运营、团队扩充、旗舰店、第二-三城市镇店标本与传播概念落地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A轮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3000万-1亿</w:t>
            </w:r>
          </w:p>
        </w:tc>
        <w:tc>
          <w:tcPr>
            <w:tcW w:type="dxa" w:w="51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全国扩张、海外、IP授权体系化、数字生态</w:t>
            </w:r>
          </w:p>
        </w:tc>
      </w:tr>
    </w:tbl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融资原则：投资人进入公司层面（非门店层面）。每轮出让不超 20%。创始人合计持股不低于 51%底线。</w:t>
      </w:r>
    </w:p>
    <w:p>
      <w:r>
        <w:br w:type="page"/>
      </w:r>
    </w:p>
    <w:p>
      <w:pPr>
        <w:pStyle w:val="Heading1"/>
      </w:pPr>
      <w:r>
        <w:t xml:space="preserve">九、愿景</w:t>
      </w:r>
    </w:p>
    <w:p>
      <w:pPr>
        <w:spacing w:after="6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36"/>
          <w:szCs w:val="36"/>
        </w:rPr>
        <w:t xml:space="preserve">“让每一座城市，</w:t>
      </w:r>
    </w:p>
    <w:p>
      <w:pPr>
        <w:spacing w:after="40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8A7530"/>
          <w:sz w:val="36"/>
          <w:szCs w:val="36"/>
        </w:rPr>
        <w:t xml:space="preserve">都有一座山川的博物馆。”</w:t>
      </w:r>
    </w:p>
    <w:p>
      <w:pPr>
        <w:spacing w:after="400"/>
      </w:pPr>
    </w:p>
    <w:p>
      <w:pPr>
        <w:spacing w:after="40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让每一座博物馆里，都有一个等候被说出口的祝福。</w:t>
      </w:r>
    </w:p>
    <w:p>
      <w:pPr>
        <w:spacing w:after="8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—— 山川造物</w:t>
      </w:r>
    </w:p>
    <w:p>
      <w:pPr>
        <w:spacing w:after="1000"/>
      </w:pPr>
    </w:p>
    <w:p>
      <w:pPr>
        <w:spacing w:after="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联系方式：[待填写]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6"/>
          <w:szCs w:val="16"/>
        </w:rPr>
        <w:t xml:space="preserve">CONFIDENTIAL·2026.04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2026-04-16T09:07:24.777Z</dcterms:created>
  <dcterms:modified xsi:type="dcterms:W3CDTF">2026-04-16T09:07:24.778Z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