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20"/>
        <w:jc w:val="center"/>
      </w:pPr>
      <w:r>
        <w:rPr>
          <w:rFonts w:ascii="SimHei" w:cs="SimHei" w:eastAsia="SimHei" w:hAnsi="SimHei"/>
          <w:b/>
          <w:bCs/>
          <w:color w:val="2D6A4F"/>
          <w:sz w:val="52"/>
          <w:szCs w:val="52"/>
        </w:rPr>
        <w:t xml:space="preserve">山川造物</w:t>
      </w:r>
    </w:p>
    <w:p>
      <w:pPr>
        <w:spacing w:after="80"/>
        <w:jc w:val="center"/>
      </w:pPr>
      <w:r>
        <w:rPr>
          <w:rFonts w:ascii="Arial" w:cs="Arial" w:eastAsia="Arial" w:hAnsi="Arial"/>
          <w:color w:val="A0A0A0"/>
          <w:spacing w:val="200"/>
          <w:sz w:val="18"/>
          <w:szCs w:val="18"/>
        </w:rPr>
        <w:t xml:space="preserve">NATURE’S CREATIONS</w:t>
      </w:r>
    </w:p>
    <w:p>
      <w:pPr>
        <w:spacing w:after="300"/>
      </w:pPr>
    </w:p>
    <w:p>
      <w:pPr>
        <w:spacing w:after="120"/>
        <w:jc w:val="center"/>
      </w:pPr>
      <w:r>
        <w:rPr>
          <w:rFonts w:ascii="SimHei" w:cs="SimHei" w:eastAsia="SimHei" w:hAnsi="SimHei"/>
          <w:b/>
          <w:bCs/>
          <w:color w:val="2C2C2C"/>
          <w:sz w:val="36"/>
          <w:szCs w:val="36"/>
        </w:rPr>
        <w:t xml:space="preserve">投资说明文件</w:t>
      </w:r>
    </w:p>
    <w:p>
      <w:pPr>
        <w:spacing w:after="80"/>
        <w:jc w:val="center"/>
      </w:pPr>
      <w:r>
        <w:rPr>
          <w:rFonts w:ascii="Arial" w:cs="Arial" w:eastAsia="Arial" w:hAnsi="Arial"/>
          <w:color w:val="A0A0A0"/>
          <w:sz w:val="22"/>
          <w:szCs w:val="22"/>
        </w:rPr>
        <w:t xml:space="preserve">Investment Memorandum</w:t>
      </w:r>
    </w:p>
    <w:p>
      <w:pPr>
        <w:spacing w:after="100"/>
      </w:pPr>
    </w:p>
    <w:p>
      <w:pPr>
        <w:jc w:val="center"/>
      </w:pPr>
      <w:r>
        <w:rPr>
          <w:rFonts w:ascii="SimSun" w:cs="SimSun" w:eastAsia="SimSun" w:hAnsi="SimSun"/>
          <w:color w:val="6B6B6B"/>
          <w:sz w:val="20"/>
          <w:szCs w:val="20"/>
        </w:rPr>
        <w:t xml:space="preserve">自然标本美学 · 品牌授权加盟 · AI驱动运营</w:t>
      </w:r>
    </w:p>
    <w:p>
      <w:pPr>
        <w:spacing w:after="1800"/>
      </w:pPr>
    </w:p>
    <w:p>
      <w:pPr>
        <w:jc w:val="center"/>
      </w:pPr>
      <w:r>
        <w:rPr>
          <w:rFonts w:ascii="SimSun" w:cs="SimSun" w:eastAsia="SimSun" w:hAnsi="SimSun"/>
          <w:color w:val="A0A0A0"/>
          <w:sz w:val="20"/>
          <w:szCs w:val="20"/>
        </w:rPr>
        <w:t xml:space="preserve">2026年4月 · CONFIDENTIAL</w:t>
      </w:r>
    </w:p>
    <w:p>
      <w:r>
        <w:br w:type="page"/>
      </w:r>
    </w:p>
    <w:p>
      <w:pPr>
        <w:pStyle w:val="Heading1"/>
      </w:pPr>
      <w:r>
        <w:t xml:space="preserve">一、执行摘要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山川造物（Nature’s Creations）是中国首个自然标本美学生活方式品牌。核心投资逻辑：三个趋势交汇（自然回归消费 × 文旅体验经济 × 超级个体+AI）→ 品类无品牌的市场空白 → 品牌+内容驱动的轻资产连锁模型。</w:t>
      </w:r>
    </w:p>
    <w:p>
      <w:pPr>
        <w:pStyle w:val="Heading1"/>
      </w:pPr>
      <w:r>
        <w:t xml:space="preserve">二、市场机会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文创标本市场规模¥85亿+（CAGR 18.5%）。核心人群25-40岁新中产。平均客单价¥680（行业均值¥420）。复购率28.4%（行业均值18%）。线上渗透率42%且持续上升。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行业痛点：高度分散，无品牌、无标准、无体验、无数字化。山川造物要做的是这个品类的第一个品牌。</w:t>
      </w:r>
    </w:p>
    <w:p>
      <w:pPr>
        <w:pStyle w:val="Heading1"/>
      </w:pPr>
      <w:r>
        <w:t xml:space="preserve">三、商业模式</w:t>
      </w:r>
    </w:p>
    <w:p>
      <w:pPr>
        <w:pStyle w:val="Heading2"/>
      </w:pPr>
      <w:r>
        <w:t xml:space="preserve">3.1 双层架构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品牌平台公司（上层）+ 门店投资实体（下层）。公司拥有品牌、管理体系、数字化工具，通过输出能力获取40%股权+管理费+供应链差价。</w:t>
      </w:r>
    </w:p>
    <w:p>
      <w:pPr>
        <w:pStyle w:val="Heading2"/>
      </w:pPr>
      <w:r>
        <w:t xml:space="preserve">3.2 公司五条收入流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① 门店40%股权分红 ② 产品供货差价 ③ 品牌管理费（3-5%营收） ④ 线上直营收入 ⑤ B端/IP收入（远期）</w:t>
      </w:r>
    </w:p>
    <w:p>
      <w:pPr>
        <w:pStyle w:val="Heading2"/>
      </w:pPr>
      <w:r>
        <w:t xml:space="preserve">3.3 胖东来增长飞轮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极致门店体验 → 社交内容传播 → 品牌认知+社群 → 加盟扩张 → 供应链优化 → 产品创新 → 回到体验。核心能力是体验和内容，不是供应链。</w:t>
      </w:r>
    </w:p>
    <w:p>
      <w:pPr>
        <w:pStyle w:val="Heading1"/>
      </w:pPr>
      <w:r>
        <w:t xml:space="preserve">四、核心壁垒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1. 门店即博物馆：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六区动线设计，线上无法复制的沉浸体验。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2. 区域主题化：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70%标品+30%在地特色，每店独特。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3. AI超级个体：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1人+AI = 3-5人团队。全套自研数字化基建。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4. 品牌内容资产：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时间越长壁垒越深。</w:t>
      </w:r>
    </w:p>
    <w:p>
      <w:pPr>
        <w:pStyle w:val="Heading1"/>
      </w:pPr>
      <w:r>
        <w:t xml:space="preserve">五、数字化基建（已建成）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官方小程序：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博物标本室四大品类、收藏家协会会员体系、AI标本鉴定、预约系统、自然图鉴+成就系统、完整电商闭环。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ERP管理后台：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指挥中心仪表盘、运营决策中心、实时监控大屏、店长移动端后台九大功能模块。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AI智能中心：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20+虚拟员工，三种模式（工具/咨询/博弈）。智能库存、动态定价、销售预测、客户画像、门店经营助手。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战略调研看板：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行业总览/产业链/金字塔/爆品生成器/流量漏斗/竞品分析/盈利模拟/门店设计/3年规划/AI用研。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这套数字化基建是品牌可复制性的底层保障。加盟商接入的不只是品牌和产品，更是一套完整的数字化运营工具。</w:t>
      </w:r>
    </w:p>
    <w:p>
      <w:pPr>
        <w:pStyle w:val="Heading1"/>
      </w:pPr>
      <w:r>
        <w:t xml:space="preserve">六、团队与股权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李贺（CEO，45%）：前优酷/支付宝/Bilibili。负责战略/品牌/数字化/内容。全套数字化基建均由其独立开发。廉澍（产品总监，35%）：品牌创始人、专业标本师。人才期权池20%（双方各出10%）。</w:t>
      </w:r>
    </w:p>
    <w:p>
      <w:pPr>
        <w:pStyle w:val="Heading1"/>
      </w:pPr>
      <w:r>
        <w:t xml:space="preserve">七、融资规划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06"/>
      </w:tblGrid>
      <w:tr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估值</w:t>
            </w:r>
          </w:p>
        </w:tc>
        <w:tc>
          <w:tcPr>
            <w:tcW w:type="dxa" w:w="5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资金用途</w:t>
            </w:r>
          </w:p>
        </w:tc>
      </w:tr>
      <w:tr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种子期</w:t>
            </w:r>
          </w:p>
        </w:tc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300-500万</w:t>
            </w:r>
          </w:p>
        </w:tc>
        <w:tc>
          <w:tcPr>
            <w:tcW w:type="dxa" w:w="5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VI落地、包装升级、线上渠道、首家加盟店支持</w:t>
            </w:r>
          </w:p>
        </w:tc>
      </w:tr>
      <w:tr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天使轮</w:t>
            </w:r>
          </w:p>
        </w:tc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800-2000万</w:t>
            </w:r>
          </w:p>
        </w:tc>
        <w:tc>
          <w:tcPr>
            <w:tcW w:type="dxa" w:w="5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供应链、跨城运营、团队扩充、旗舰店</w:t>
            </w:r>
          </w:p>
        </w:tc>
      </w:tr>
      <w:tr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A轮</w:t>
            </w:r>
          </w:p>
        </w:tc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3000万-1亿</w:t>
            </w:r>
          </w:p>
        </w:tc>
        <w:tc>
          <w:tcPr>
            <w:tcW w:type="dxa" w:w="5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全国扩张、海外、IP开发、数字生态</w:t>
            </w:r>
          </w:p>
        </w:tc>
      </w:tr>
    </w:tbl>
    <w:p>
      <w:pPr>
        <w:spacing w:after="100"/>
      </w:pP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融资原则：投资人进入公司层（非门店层）。每轮≤ 20%股权。创始人合计≥51%底线。</w:t>
      </w:r>
    </w:p>
    <w:p>
      <w:pPr>
        <w:pStyle w:val="Heading1"/>
      </w:pPr>
      <w:r>
        <w:t xml:space="preserve">八、愿景</w:t>
      </w:r>
    </w:p>
    <w:p>
      <w:pPr>
        <w:spacing w:after="200" w:before="400"/>
        <w:jc w:val="center"/>
      </w:pPr>
      <w:r>
        <w:rPr>
          <w:rFonts w:ascii="SimHei" w:cs="SimHei" w:eastAsia="SimHei" w:hAnsi="SimHei"/>
          <w:color w:val="2D6A4F"/>
          <w:sz w:val="32"/>
          <w:szCs w:val="32"/>
        </w:rPr>
        <w:t xml:space="preserve">“让每一座城市，都有一座山川的博物馆”</w:t>
      </w:r>
    </w:p>
    <w:p>
      <w:pPr>
        <w:spacing w:after="200"/>
      </w:pP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联系方式：[待填写]。本文件为保密文件。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color w:val="2D6A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SimHei" w:cs="SimHei" w:eastAsia="SimHei" w:hAnsi="SimHei"/>
      <w:b/>
      <w:bCs/>
      <w:color w:val="2C2C2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8B6F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2026-04-14T09:08:07.772Z</dcterms:created>
  <dcterms:modified xsi:type="dcterms:W3CDTF">2026-04-14T09:08:07.772Z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