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48"/>
          <w:szCs w:val="48"/>
        </w:rPr>
        <w:t xml:space="preserve">山川造物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NATURE’S CREATIONS</w:t>
      </w:r>
    </w:p>
    <w:p>
      <w:pPr>
        <w:spacing w:after="4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投资人路演文档</w:t>
      </w: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40"/>
          <w:szCs w:val="40"/>
        </w:rPr>
        <w:t xml:space="preserve">第四章 · 马上有实证和命名方法论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Chapter 4 · Ma Shang You Case &amp; Naming Methodology</w:t>
      </w:r>
    </w:p>
    <w:p>
      <w:pPr>
        <w:spacing w:after="3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6B6560"/>
          <w:sz w:val="20"/>
          <w:szCs w:val="20"/>
        </w:rPr>
        <w:t xml:space="preserve">—— 仅地敌单店验证的品牌方法论，可复制到未来每一家新店 ——</w:t>
      </w:r>
    </w:p>
    <w:p>
      <w:pPr>
        <w:spacing w:after="13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v2.0 · 2026.04.16 · CONFIDENTIAL</w:t>
      </w:r>
    </w:p>
    <w:p>
      <w:r>
        <w:br w:type="page"/>
      </w:r>
    </w:p>
    <w:p>
      <w:pPr>
        <w:pStyle w:val="Heading1"/>
      </w:pPr>
      <w:r>
        <w:t xml:space="preserve">版本说明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v2.0代替v1.0。相比v1.0的核心修正：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英文品牌名：Nature’s Creations（带s）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剔除《山海经》神兽体系的所有描述，改为「标本→熟语」的命名方法论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主章节架构由「单店马上有案例 + 处既有实点推广出的方法论 + 外生变换的可复制性」三段组成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澄清大理/杭州店的示意为示意，不作为成型确认</w:t>
      </w:r>
    </w:p>
    <w:p>
      <w:r>
        <w:br w:type="page"/>
      </w:r>
    </w:p>
    <w:p>
      <w:pPr>
        <w:pStyle w:val="Heading1"/>
      </w:pPr>
      <w:r>
        <w:t xml:space="preserve">4.0 本章提要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本章是BP中核心的“押宝章”。它回答一个唯一的问题：</w:t>
      </w:r>
    </w:p>
    <w:p>
      <w:pPr>
        <w:spacing w:after="100"/>
      </w:pP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“山川造物为什么不只是一家自然标本商，而是一个能规模化复制的品牌？”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答案在一件我们在长春店实体验证后的东西上：一个从标本生成得IP的方法论。长春店的马上有不是个别创意的历山君裹，而是有传系统组出的样板。未来大理店、杭州店、海南店都将利用同样的方法论从各自的镇店标本里长出自己的IP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本章分为三小节：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4.1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长春店·马上有案例完整拆解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4.2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从个例提炼出命名方法论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4.3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方法论如何备展复制能力</w:t>
      </w:r>
    </w:p>
    <w:p>
      <w:r>
        <w:br w:type="page"/>
      </w:r>
    </w:p>
    <w:p>
      <w:pPr>
        <w:pStyle w:val="Heading1"/>
      </w:pPr>
      <w:r>
        <w:t xml:space="preserve">4.1 长春店 · 马上有案例拆解</w:t>
      </w:r>
    </w:p>
    <w:p>
      <w:pPr>
        <w:pStyle w:val="Heading2"/>
      </w:pPr>
      <w:r>
        <w:t xml:space="preserve">4.1.1 问题切入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山川造物长春店有一匹成年黑马标本。在这匹黑马出现之前，店铺是一个典型的“看的人多、买的人少”的例子：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月到店流量稳定，但直接转化率低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UGC零散、难以形成叠加效应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顾客在店因起了「好看」「特别」的很多感，但没从“这家店是XXX”的二词共识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核心诊断：自然标本本身是视觉吸引点，但没有「仪式打卡点」。没有仪式，不能沉淀成长期记忆·不能被带走分享·不能触发关联性购买。</w:t>
      </w:r>
    </w:p>
    <w:p>
      <w:pPr>
        <w:pStyle w:val="Heading2"/>
      </w:pPr>
      <w:r>
        <w:t xml:space="preserve">4.1.2 解决方案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马上有的设计核心是一个简单的动作指令：</w:t>
      </w:r>
    </w:p>
    <w:p>
      <w:pPr>
        <w:spacing w:after="100"/>
      </w:pP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8"/>
          <w:szCs w:val="28"/>
        </w:rPr>
        <w:t xml:space="preserve">摸一下它的鼻子，你马上就有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这个指令纹结了四件事：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1·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一个物理动作（摸鼻子），让顾客有「我与它发生了什么」的回忆点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2·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一个中国人耳熟的祝福语（马上有），不需要解释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3·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一个额外的留白（“有什么”由顾客自己填），可识别并自由度已经押在肉中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4·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一个陈设激箛，下面铜牌铭文明确泄露“此处能摸」，给顾客合规性的激澻</w:t>
      </w:r>
    </w:p>
    <w:p>
      <w:pPr>
        <w:pStyle w:val="Heading2"/>
      </w:pPr>
      <w:r>
        <w:t xml:space="preserve">4.1.3 核心视觉表达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元素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主标本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成年黑马标本·东北合法养殖基地出处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鼻尖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真黄铜咳哤作金黄色出现（唯一的色彩突发点）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主文案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「摸一下它的鼻子，你马上就有」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照明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单盏飞利浦3000K商用射灯·突出铜鼻尖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仪式铜牌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壁面铜牌·有重量感的变色黄铜·安静感强于装饰感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愿望卡盘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顾客可写愿望卡挂在木架上·全场圆形体验的闭环点</w:t>
            </w:r>
          </w:p>
        </w:tc>
      </w:tr>
    </w:tbl>
    <w:p>
      <w:pPr>
        <w:pStyle w:val="Heading2"/>
      </w:pPr>
      <w:r>
        <w:t xml:space="preserve">4.1.4 观察指标与快速辐响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长春店展陈更新后的 4-6 周时长，我们直接监控五项指标却保障方法论的有效性：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目标值</w:t>
            </w:r>
          </w:p>
        </w:tc>
        <w:tc>
          <w:tcPr>
            <w:tcW w:type="dxa" w:w="5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操作含义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触摸率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&gt;50%</w:t>
            </w:r>
          </w:p>
        </w:tc>
        <w:tc>
          <w:tcPr>
            <w:tcW w:type="dxa" w:w="5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用摸鼻子的消费者 / 进店消费者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拍照率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&gt;70%</w:t>
            </w:r>
          </w:p>
        </w:tc>
        <w:tc>
          <w:tcPr>
            <w:tcW w:type="dxa" w:w="5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给IP拍照的消费者 / 摸鼻子的消费者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愿望卡使用率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&gt;15%</w:t>
            </w:r>
          </w:p>
        </w:tc>
        <w:tc>
          <w:tcPr>
            <w:tcW w:type="dxa" w:w="5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了愿望卡的消费者 / 拍照的消费者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相关购买率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&gt;5%</w:t>
            </w:r>
          </w:p>
        </w:tc>
        <w:tc>
          <w:tcPr>
            <w:tcW w:type="dxa" w:w="5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产生商品购买的消费者 / 触摸IP的消费者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月UGC数量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&gt;100条</w:t>
            </w:r>
          </w:p>
        </w:tc>
        <w:tc>
          <w:tcPr>
            <w:tcW w:type="dxa" w:w="5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跨平台统计（小红书/抖音/微博/小级选）</w:t>
            </w:r>
          </w:p>
        </w:tc>
      </w:tr>
    </w:tbl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这五项任何单单未达标，我们都会特定因素定位策略调整。这种放开式验证机制是我们与「造了再看」类项目的关键区别。</w:t>
      </w:r>
    </w:p>
    <w:p>
      <w:r>
        <w:br w:type="page"/>
      </w:r>
    </w:p>
    <w:p>
      <w:pPr>
        <w:pStyle w:val="Heading1"/>
      </w:pPr>
      <w:r>
        <w:t xml:space="preserve">4.2 从单例提炼出的命名方法论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长春店追回很容易。调理说叫恒寒也的单店成实。但在将成功复制到非长春的门店之前，我们必须把马上有的可复制性位置澈清。答案是：不多判别「马上有」这个短语本身，而是生成这个短语的方法论。</w:t>
      </w:r>
    </w:p>
    <w:p>
      <w:pPr>
        <w:pStyle w:val="Heading2"/>
      </w:pPr>
      <w:r>
        <w:t xml:space="preserve">4.2.1 方法论的一句话表述</w:t>
      </w:r>
    </w:p>
    <w:p>
      <w:pPr>
        <w:spacing w:after="100"/>
      </w:pP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“每家店的传播概念 = 一个中国人耳熟能详的熟语，直接由这家店的镇店标本物种天然引出。”</w:t>
      </w:r>
    </w:p>
    <w:p>
      <w:pPr>
        <w:spacing w:after="100"/>
      </w:pPr>
    </w:p>
    <w:p>
      <w:pPr>
        <w:pStyle w:val="Heading2"/>
      </w:pPr>
      <w:r>
        <w:t xml:space="preserve">4.2.2 方法论的四个操作细则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细则一·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短语出处不限。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俗语、词牌名、民间传说、成语、诗句、谚语都可以。唯一的筛选标准是中国人听一遍就懂，不用查字典、不用附注。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细则二·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物种级别的直接对应。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黑马→马上有，「马」字直接语义对应。不通过典籍转码或隐喻推导。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细则三·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字数宽但三四字最适。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比一个字多信息、比五个字或整句话更易传播。主受限制字数，但三到四字是实践值。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细则四·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短语自带情绪。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选对了短语，情绪自然也对。不额外设计情感。</w:t>
      </w:r>
    </w:p>
    <w:p>
      <w:pPr>
        <w:pStyle w:val="Heading2"/>
      </w:pPr>
      <w:r>
        <w:t xml:space="preserve">4.2.3 方法论的开店流程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每家新店的命名工作按固定的五步执行：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706"/>
      </w:tblGrid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确定镇店标本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根据城市资源/证照/预算选定标本</w:t>
            </w:r>
          </w:p>
        </w:tc>
      </w:tr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碰头物种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确认标本物种的中文日常名字（不用生物学名）</w:t>
            </w:r>
          </w:p>
        </w:tc>
      </w:tr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穷举熟语候选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列出所有和这个物种直接相关的中国熟语</w:t>
            </w:r>
          </w:p>
        </w:tc>
      </w:tr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四条细则筛选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熟悉度/直接性/字数/情绪四项都满足</w:t>
            </w:r>
          </w:p>
        </w:tc>
      </w:tr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组装打卡句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填入「[动作]一下它的[部位]，马上有[愿望]」</w:t>
            </w:r>
          </w:p>
        </w:tc>
      </w:tr>
    </w:tbl>
    <w:p>
      <w:pPr>
        <w:pStyle w:val="Heading2"/>
      </w:pPr>
      <w:r>
        <w:t xml:space="preserve">4.2.4 方法论的跨店统一性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这个方法论不依赖任何预设的文化框架（山海经、四象方位、二十四节气等），但它自成的统一性来自四个层面：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统一性来源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具体体现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短语生成方式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都是「物种→熟语」的直接引出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短语气质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都是中国人听一遍就懂的日常语言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打卡句式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都是「[动作]一下它的[部位]，马上有[愿望]」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标本利用方式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守护性展陈+黄铜咳哤+仪式铜牌+愿望卡</w:t>
            </w:r>
          </w:p>
        </w:tc>
      </w:tr>
    </w:tbl>
    <w:p>
      <w:pPr>
        <w:pStyle w:val="Heading2"/>
      </w:pPr>
      <w:r>
        <w:t xml:space="preserve">4.2.5 方法论的示意产出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下面这两家门店仅作方法论的推导示范，不作为此刻成型确认。最终确定必须在选址和标本到位后。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3006"/>
      </w:tblGrid>
      <w:tr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门店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镇店标本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传播短语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短语来源</w:t>
            </w:r>
          </w:p>
        </w:tc>
      </w:tr>
      <w:tr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长春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成年黑马标本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马上有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民间俗语</w:t>
            </w:r>
          </w:p>
        </w:tc>
      </w:tr>
      <w:tr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大理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巨型蝴蝶+干花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蝶恋花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词牌名+民间熟语</w:t>
            </w:r>
          </w:p>
        </w:tc>
      </w:tr>
      <w:tr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杭州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大型白蛇类标本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白蛇传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四大民间传说之一</w:t>
            </w:r>
          </w:p>
        </w:tc>
      </w:tr>
    </w:tbl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这三个名字共同的特点：中国人听到都不用解释、都与标本直接对应、都三字、都自带不同情绪。这就是方法论的强大之处。</w:t>
      </w:r>
    </w:p>
    <w:p>
      <w:r>
        <w:br w:type="page"/>
      </w:r>
    </w:p>
    <w:p>
      <w:pPr>
        <w:pStyle w:val="Heading1"/>
      </w:pPr>
      <w:r>
        <w:t xml:space="preserve">4.3 方法论为我们带来的复制能力</w:t>
      </w:r>
    </w:p>
    <w:p>
      <w:pPr>
        <w:pStyle w:val="Heading2"/>
      </w:pPr>
      <w:r>
        <w:t xml:space="preserve">4.3.1 对开店成本的影响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方法论替换了传统的“为每家新店独立设计IP”的开店模式：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传统模式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方法论模式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IP创意成本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高·需要品牌顾问、创意团队单独投入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18"/>
                <w:szCs w:val="18"/>
              </w:rPr>
              <w:t xml:space="preserve">极低·方法论自动生成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设计周期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3-6个月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18"/>
                <w:szCs w:val="18"/>
              </w:rPr>
              <w:t xml:space="preserve">1-2周（选寚后）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依赖关键人员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高·依赖创意总监的灵感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18"/>
                <w:szCs w:val="18"/>
              </w:rPr>
              <w:t xml:space="preserve">低·保驩了方法论即可执行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单店开店预算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相当于30-50万元IP创意费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18"/>
                <w:szCs w:val="18"/>
              </w:rPr>
              <w:t xml:space="preserve">节省的费用直接投入到产品质感</w:t>
            </w:r>
          </w:p>
        </w:tc>
      </w:tr>
    </w:tbl>
    <w:p>
      <w:pPr>
        <w:pStyle w:val="Heading2"/>
      </w:pPr>
      <w:r>
        <w:t xml:space="preserve">4.3.2 对估值逻辑的影响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方法论的价值体现在我们的估值方式上：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传统赚毕模型：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已有运营IP数量×每个IP带来的利润×增长势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我们的估值模型：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方法论资产×标本供应链×门店运营能力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前者的增长受限于开新IP的线性成本。后者的增长在三个资产都稳定时是指数级的。</w:t>
      </w:r>
    </w:p>
    <w:p>
      <w:pPr>
        <w:pStyle w:val="Heading2"/>
      </w:pPr>
      <w:r>
        <w:t xml:space="preserve">4.3.3 对合作伙伴选择的影响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方法论让我们能接纳更广的合作伙伴类型：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全国各地的自然标本收藏家——我们教他们方法论，他们用自己的标本资源开店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商业地产方——精品商场需要有IP的门店，我们的覆盖能力比传统机构简单得多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家具/家居/服装商——我们的方法论可以授权他们在自己的产品上做类似的东西</w:t>
      </w:r>
    </w:p>
    <w:p>
      <w:pPr>
        <w:pStyle w:val="Heading2"/>
      </w:pPr>
      <w:r>
        <w:t xml:space="preserve">4.3.4 对黑天鹅的防御能力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一个和方法论绑定的品牌比和单个IP绑定的品牌要更抗打击：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某家门店的IP发生风波，不会冲击到其他门店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某位关键设计师/顾问离职，不会带走方法论本身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某散产品系列被模仿，方法论永久在我们手中即大同下一次浪潮</w:t>
      </w:r>
    </w:p>
    <w:p>
      <w:r>
        <w:br w:type="page"/>
      </w:r>
    </w:p>
    <w:p>
      <w:pPr>
        <w:pStyle w:val="Heading1"/>
      </w:pPr>
      <w:r>
        <w:t xml:space="preserve">4.4 本章小结</w:t>
      </w:r>
    </w:p>
    <w:p>
      <w:pPr>
        <w:spacing w:after="200"/>
      </w:pP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“马上有不是一个发光的IP，而是一个能发光的方法论在长春店的一次实验。”</w:t>
      </w:r>
    </w:p>
    <w:p>
      <w:pPr>
        <w:spacing w:after="2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我们可以用这个方法论在任何一家新店重复这种发光方式。当我们的宽穷导出10家店、100家店时，我们拥有的不是10个、100个散扣IP，而是一个被反复验证的生成引擎。</w:t>
      </w:r>
    </w:p>
    <w:p>
      <w:pPr>
        <w:spacing w:after="2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这才是山川造物真正的商业价值。</w:t>
      </w:r>
    </w:p>
    <w:p>
      <w:pPr>
        <w:spacing w:after="800"/>
      </w:pP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22"/>
          <w:szCs w:val="22"/>
        </w:rPr>
        <w:t xml:space="preserve">山川造物 · Nature’s Creations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BP 第四章 v2.0 · 2026.04.16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4"/>
          <w:szCs w:val="14"/>
        </w:rPr>
        <w:t xml:space="preserve">—— 从一个幸运的特例，抽炼为可重复的系统 ——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2026-04-16T14:49:39.058Z</dcterms:created>
  <dcterms:modified xsi:type="dcterms:W3CDTF">2026-04-16T14:49:39.059Z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