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FAA" w:rsidRPr="00813EA2" w:rsidRDefault="00813EA2" w:rsidP="00813EA2">
      <w:pPr>
        <w:spacing w:after="0"/>
        <w:jc w:val="center"/>
        <w:rPr>
          <w:b/>
          <w:sz w:val="28"/>
          <w:szCs w:val="28"/>
          <w:u w:val="single"/>
        </w:rPr>
      </w:pPr>
      <w:r w:rsidRPr="00813EA2">
        <w:rPr>
          <w:b/>
          <w:sz w:val="28"/>
          <w:szCs w:val="28"/>
          <w:u w:val="single"/>
        </w:rPr>
        <w:t xml:space="preserve">BASE </w:t>
      </w:r>
      <w:r w:rsidR="006F28E4">
        <w:rPr>
          <w:b/>
          <w:sz w:val="28"/>
          <w:szCs w:val="28"/>
          <w:u w:val="single"/>
        </w:rPr>
        <w:t>Project W</w:t>
      </w:r>
      <w:r w:rsidRPr="00813EA2">
        <w:rPr>
          <w:b/>
          <w:sz w:val="28"/>
          <w:szCs w:val="28"/>
          <w:u w:val="single"/>
        </w:rPr>
        <w:t>orkflow</w:t>
      </w:r>
    </w:p>
    <w:p w:rsidR="00813EA2" w:rsidRDefault="00813EA2" w:rsidP="00FA3FAA">
      <w:pPr>
        <w:spacing w:after="0"/>
        <w:rPr>
          <w:b/>
        </w:rPr>
      </w:pPr>
    </w:p>
    <w:p w:rsidR="00813EA2" w:rsidRDefault="00813EA2" w:rsidP="00FA3FAA">
      <w:pPr>
        <w:spacing w:after="0"/>
        <w:rPr>
          <w:b/>
        </w:rPr>
      </w:pPr>
    </w:p>
    <w:p w:rsidR="00FA3FAA" w:rsidRPr="00FA3FAA" w:rsidRDefault="00FA3FAA" w:rsidP="00FA3FAA">
      <w:pPr>
        <w:spacing w:after="0"/>
        <w:rPr>
          <w:b/>
        </w:rPr>
      </w:pPr>
      <w:r w:rsidRPr="00FA3FAA">
        <w:rPr>
          <w:b/>
        </w:rPr>
        <w:t>Thorough documentation of the collection procedures will ensure maintenance of sample value.</w:t>
      </w:r>
    </w:p>
    <w:p w:rsidR="00FA3FAA" w:rsidRDefault="00FA3FAA" w:rsidP="00FA3FAA">
      <w:pPr>
        <w:spacing w:after="0"/>
      </w:pPr>
    </w:p>
    <w:p w:rsidR="00B65CFC" w:rsidRDefault="00F66CE8" w:rsidP="00B65CFC">
      <w:pPr>
        <w:pStyle w:val="ListParagraph"/>
        <w:numPr>
          <w:ilvl w:val="0"/>
          <w:numId w:val="5"/>
        </w:numPr>
        <w:spacing w:after="0"/>
      </w:pPr>
      <w:r w:rsidRPr="00475604">
        <w:rPr>
          <w:color w:val="000000" w:themeColor="text1"/>
        </w:rPr>
        <w:t>Following acceptance of your samples by the selection group:</w:t>
      </w:r>
      <w:r>
        <w:t xml:space="preserve"> </w:t>
      </w:r>
      <w:r w:rsidR="00FA3FAA">
        <w:t xml:space="preserve">Request unique identifiers for sample naming/labelling from Bioplatforms (Anna Fitzgerald email: </w:t>
      </w:r>
      <w:hyperlink r:id="rId8" w:history="1">
        <w:r w:rsidR="00FA3FAA" w:rsidRPr="005F0824">
          <w:rPr>
            <w:rStyle w:val="Hyperlink"/>
          </w:rPr>
          <w:t>afitzgerald@bioplatforms.com</w:t>
        </w:r>
      </w:hyperlink>
      <w:r w:rsidR="00FA3FAA">
        <w:t xml:space="preserve">) </w:t>
      </w:r>
    </w:p>
    <w:p w:rsidR="00B65CFC" w:rsidRDefault="00B65CFC" w:rsidP="00B65CFC">
      <w:pPr>
        <w:pStyle w:val="ListParagraph"/>
        <w:spacing w:after="0"/>
        <w:ind w:left="360"/>
      </w:pPr>
    </w:p>
    <w:p w:rsidR="00B65CFC" w:rsidRDefault="00FA3FAA" w:rsidP="00B65CFC">
      <w:pPr>
        <w:pStyle w:val="ListParagraph"/>
        <w:numPr>
          <w:ilvl w:val="0"/>
          <w:numId w:val="5"/>
        </w:numPr>
        <w:spacing w:after="0"/>
      </w:pPr>
      <w:proofErr w:type="gramStart"/>
      <w:r>
        <w:t xml:space="preserve">Select </w:t>
      </w:r>
      <w:r w:rsidRPr="00A64B0A">
        <w:t xml:space="preserve"> a</w:t>
      </w:r>
      <w:proofErr w:type="gramEnd"/>
      <w:r w:rsidRPr="00A64B0A">
        <w:t xml:space="preserve"> 25 x25m plot </w:t>
      </w:r>
      <w:r w:rsidR="002213F8">
        <w:t xml:space="preserve">at the sample site </w:t>
      </w:r>
      <w:r w:rsidRPr="00A64B0A">
        <w:t xml:space="preserve"> in a reasonably homogenous environment</w:t>
      </w:r>
      <w:r w:rsidR="002213F8">
        <w:t xml:space="preserve"> that reflects the characteristics of the site</w:t>
      </w:r>
      <w:r w:rsidRPr="00A64B0A">
        <w:t xml:space="preserve"> (based on soil, vegetation and land use)</w:t>
      </w:r>
      <w:r w:rsidR="001F4F66">
        <w:t>.</w:t>
      </w:r>
    </w:p>
    <w:p w:rsidR="00B65CFC" w:rsidRDefault="00B65CFC" w:rsidP="00B65CFC">
      <w:pPr>
        <w:pStyle w:val="ListParagraph"/>
      </w:pPr>
    </w:p>
    <w:p w:rsidR="00FA3FAA" w:rsidRDefault="00FA3FAA" w:rsidP="00B65CFC">
      <w:pPr>
        <w:pStyle w:val="ListParagraph"/>
        <w:numPr>
          <w:ilvl w:val="0"/>
          <w:numId w:val="5"/>
        </w:numPr>
        <w:spacing w:after="0"/>
      </w:pPr>
      <w:r w:rsidRPr="00A64B0A">
        <w:t xml:space="preserve">Collect </w:t>
      </w:r>
      <w:r w:rsidR="002213F8">
        <w:t>soil</w:t>
      </w:r>
      <w:r w:rsidRPr="00A64B0A">
        <w:t xml:space="preserve"> </w:t>
      </w:r>
      <w:r>
        <w:t>(comprising b</w:t>
      </w:r>
      <w:r w:rsidRPr="00AA36E8">
        <w:t>etween 9-30 samples</w:t>
      </w:r>
      <w:r>
        <w:t>)</w:t>
      </w:r>
      <w:r w:rsidRPr="00AA36E8">
        <w:t xml:space="preserve"> </w:t>
      </w:r>
      <w:r w:rsidRPr="00A64B0A">
        <w:t xml:space="preserve">from </w:t>
      </w:r>
      <w:r>
        <w:t>the</w:t>
      </w:r>
      <w:r w:rsidRPr="00A64B0A">
        <w:t xml:space="preserve"> plot in a manner that adequately samples the whole plot and ensures biological integrity of the sample. </w:t>
      </w:r>
    </w:p>
    <w:p w:rsidR="00B65CFC" w:rsidRDefault="00FA3FAA" w:rsidP="00B65CFC">
      <w:pPr>
        <w:spacing w:after="0"/>
        <w:ind w:left="426"/>
      </w:pPr>
      <w:r w:rsidRPr="00A64B0A">
        <w:t xml:space="preserve">These can be sampled regularly on a grid if you think there isn’t much </w:t>
      </w:r>
      <w:proofErr w:type="spellStart"/>
      <w:r w:rsidRPr="00A64B0A">
        <w:t>microgeographic</w:t>
      </w:r>
      <w:proofErr w:type="spellEnd"/>
      <w:r w:rsidRPr="00A64B0A">
        <w:t xml:space="preserve"> variation, or the sample points could be stratified to take account of anything you think might</w:t>
      </w:r>
      <w:r>
        <w:t xml:space="preserve"> be important.</w:t>
      </w:r>
    </w:p>
    <w:p w:rsidR="00B618A7" w:rsidRDefault="00B618A7">
      <w:pPr>
        <w:spacing w:after="0"/>
      </w:pPr>
    </w:p>
    <w:p w:rsidR="00B618A7" w:rsidRDefault="002213F8" w:rsidP="002F6964">
      <w:pPr>
        <w:pStyle w:val="ListParagraph"/>
        <w:numPr>
          <w:ilvl w:val="0"/>
          <w:numId w:val="5"/>
        </w:numPr>
        <w:spacing w:after="0"/>
      </w:pPr>
      <w:r>
        <w:t xml:space="preserve">Collect the </w:t>
      </w:r>
      <w:r w:rsidRPr="00A64B0A">
        <w:t xml:space="preserve">samples </w:t>
      </w:r>
      <w:r>
        <w:t>a</w:t>
      </w:r>
      <w:r w:rsidR="00AA784E">
        <w:t>s two depths (1) top 10cm; (2) 2</w:t>
      </w:r>
      <w:r>
        <w:t xml:space="preserve">0cm and below </w:t>
      </w:r>
      <w:r w:rsidRPr="00A64B0A">
        <w:t>(define)</w:t>
      </w:r>
      <w:r w:rsidR="001F4F66">
        <w:t>.</w:t>
      </w:r>
    </w:p>
    <w:p w:rsidR="00B618A7" w:rsidRDefault="00B618A7">
      <w:pPr>
        <w:spacing w:after="0"/>
      </w:pPr>
    </w:p>
    <w:p w:rsidR="00B618A7" w:rsidRDefault="002213F8">
      <w:pPr>
        <w:pStyle w:val="ListParagraph"/>
        <w:spacing w:after="0"/>
        <w:ind w:left="360"/>
      </w:pPr>
      <w:r>
        <w:t xml:space="preserve">Homogenise all within plot sub-samples to make a pooled sample for each of the two depths. </w:t>
      </w:r>
      <w:r w:rsidRPr="00A64B0A">
        <w:t xml:space="preserve">Samples are best mixed in the field in a large </w:t>
      </w:r>
      <w:proofErr w:type="spellStart"/>
      <w:r w:rsidRPr="00A64B0A">
        <w:t>ziplock</w:t>
      </w:r>
      <w:proofErr w:type="spellEnd"/>
      <w:r w:rsidRPr="00A64B0A">
        <w:t xml:space="preserve"> plastic bags from which aliquots can easily be drawn</w:t>
      </w:r>
      <w:r>
        <w:t xml:space="preserve">. </w:t>
      </w:r>
      <w:r w:rsidRPr="00A64B0A">
        <w:t>Sieve if needed.</w:t>
      </w:r>
    </w:p>
    <w:p w:rsidR="00B618A7" w:rsidRDefault="00B618A7">
      <w:pPr>
        <w:spacing w:after="0"/>
      </w:pPr>
    </w:p>
    <w:p w:rsidR="00B65CFC" w:rsidRDefault="002213F8" w:rsidP="009205CC">
      <w:pPr>
        <w:pStyle w:val="ListParagraph"/>
        <w:numPr>
          <w:ilvl w:val="0"/>
          <w:numId w:val="5"/>
        </w:numPr>
        <w:spacing w:after="0"/>
      </w:pPr>
      <w:r>
        <w:t xml:space="preserve">Ensure collection of adequate soil for nucleic acid extraction </w:t>
      </w:r>
      <w:r w:rsidR="00D6724D">
        <w:t xml:space="preserve">and contextual data generation </w:t>
      </w:r>
      <w:r>
        <w:t>from each sampling unit (e.g., 1 kg from each depth)</w:t>
      </w:r>
      <w:r w:rsidR="001F4F66">
        <w:t>.</w:t>
      </w:r>
    </w:p>
    <w:p w:rsidR="00B65CFC" w:rsidRDefault="00B65CFC" w:rsidP="00B65CFC">
      <w:pPr>
        <w:pStyle w:val="ListParagraph"/>
      </w:pPr>
    </w:p>
    <w:p w:rsidR="00B65CFC" w:rsidRDefault="00FA3FAA" w:rsidP="00FA3FAA">
      <w:pPr>
        <w:pStyle w:val="ListParagraph"/>
        <w:numPr>
          <w:ilvl w:val="0"/>
          <w:numId w:val="5"/>
        </w:numPr>
        <w:spacing w:after="0"/>
      </w:pPr>
      <w:r w:rsidRPr="00A64B0A">
        <w:t xml:space="preserve">Assign unique sample identifiers to </w:t>
      </w:r>
      <w:r w:rsidR="002213F8">
        <w:t>each sample</w:t>
      </w:r>
      <w:r w:rsidR="001E77AE">
        <w:t xml:space="preserve"> using the last digits after the “/” i.e. 102.100.100/8202 would be called </w:t>
      </w:r>
      <w:r w:rsidR="001E77AE" w:rsidRPr="001E77AE">
        <w:rPr>
          <w:b/>
        </w:rPr>
        <w:t>8202</w:t>
      </w:r>
      <w:r w:rsidR="00144EFD">
        <w:t>.</w:t>
      </w:r>
      <w:r w:rsidR="00CC32B6">
        <w:t xml:space="preserve"> Each depth is to have a separate identifier.</w:t>
      </w:r>
    </w:p>
    <w:p w:rsidR="00B618A7" w:rsidRDefault="00B618A7">
      <w:pPr>
        <w:pStyle w:val="ListParagraph"/>
      </w:pPr>
    </w:p>
    <w:p w:rsidR="00144EFD" w:rsidRDefault="00144EFD" w:rsidP="00FA3FAA">
      <w:pPr>
        <w:pStyle w:val="ListParagraph"/>
        <w:numPr>
          <w:ilvl w:val="0"/>
          <w:numId w:val="5"/>
        </w:numPr>
        <w:spacing w:after="0"/>
      </w:pPr>
      <w:r>
        <w:t xml:space="preserve"> </w:t>
      </w:r>
      <w:r w:rsidRPr="00A64B0A">
        <w:t>Collect and record all othe</w:t>
      </w:r>
      <w:r>
        <w:t>r local contextual data listed in the ‘BASE contextual data template spreadsheet’</w:t>
      </w:r>
      <w:r w:rsidR="001F4F66">
        <w:t>.</w:t>
      </w:r>
    </w:p>
    <w:p w:rsidR="00B618A7" w:rsidRDefault="00B618A7">
      <w:pPr>
        <w:pStyle w:val="ListParagraph"/>
      </w:pPr>
    </w:p>
    <w:p w:rsidR="00144EFD" w:rsidRDefault="00144EFD" w:rsidP="00144EFD">
      <w:pPr>
        <w:pStyle w:val="ListParagraph"/>
        <w:numPr>
          <w:ilvl w:val="0"/>
          <w:numId w:val="5"/>
        </w:numPr>
        <w:spacing w:after="0"/>
      </w:pPr>
      <w:r w:rsidRPr="007E7974">
        <w:t>Take photo</w:t>
      </w:r>
      <w:r>
        <w:t>s</w:t>
      </w:r>
      <w:r w:rsidRPr="007E7974">
        <w:t xml:space="preserve"> of plot – soil and surrounding environment (example below)</w:t>
      </w:r>
      <w:r w:rsidR="001F4F66">
        <w:t>.</w:t>
      </w:r>
    </w:p>
    <w:p w:rsidR="00144EFD" w:rsidRDefault="00144EFD" w:rsidP="00144EFD">
      <w:pPr>
        <w:pStyle w:val="ListParagraph"/>
      </w:pPr>
    </w:p>
    <w:p w:rsidR="00144EFD" w:rsidRPr="00501C68" w:rsidRDefault="001F4F66" w:rsidP="00144EFD">
      <w:pPr>
        <w:pStyle w:val="ListParagraph"/>
        <w:spacing w:after="0"/>
        <w:ind w:left="360"/>
        <w:rPr>
          <w:rFonts w:ascii="Vectora LT Light" w:hAnsi="Vectora LT Light"/>
          <w:sz w:val="24"/>
          <w:szCs w:val="24"/>
        </w:rPr>
      </w:pPr>
      <w:r>
        <w:rPr>
          <w:noProof/>
          <w:lang w:eastAsia="en-AU"/>
        </w:rPr>
        <w:drawing>
          <wp:inline distT="0" distB="0" distL="0" distR="0">
            <wp:extent cx="5684520" cy="1362710"/>
            <wp:effectExtent l="19050" t="0" r="0" b="0"/>
            <wp:docPr id="2" name="Picture 5" descr="JoelMacBookPro:Users:joelb:Desktop:2009-Europe trip June-August:pictures:20111101-Biodiversity and Gold field trip:20111031-Marla to Tilmouth Well:IMGP5689 p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elMacBookPro:Users:joelb:Desktop:2009-Europe trip June-August:pictures:20111101-Biodiversity and Gold field trip:20111031-Marla to Tilmouth Well:IMGP5689 pano.jpg"/>
                    <pic:cNvPicPr>
                      <a:picLocks noChangeAspect="1" noChangeArrowheads="1"/>
                    </pic:cNvPicPr>
                  </pic:nvPicPr>
                  <pic:blipFill>
                    <a:blip r:embed="rId9" cstate="print"/>
                    <a:srcRect/>
                    <a:stretch>
                      <a:fillRect/>
                    </a:stretch>
                  </pic:blipFill>
                  <pic:spPr bwMode="auto">
                    <a:xfrm>
                      <a:off x="0" y="0"/>
                      <a:ext cx="5684520" cy="1362710"/>
                    </a:xfrm>
                    <a:prstGeom prst="rect">
                      <a:avLst/>
                    </a:prstGeom>
                    <a:noFill/>
                    <a:ln w="9525">
                      <a:noFill/>
                      <a:miter lim="800000"/>
                      <a:headEnd/>
                      <a:tailEnd/>
                    </a:ln>
                  </pic:spPr>
                </pic:pic>
              </a:graphicData>
            </a:graphic>
          </wp:inline>
        </w:drawing>
      </w:r>
    </w:p>
    <w:p w:rsidR="00B65CFC" w:rsidRDefault="00B65CFC" w:rsidP="009205CC">
      <w:pPr>
        <w:pStyle w:val="ListParagraph"/>
        <w:spacing w:after="0"/>
        <w:ind w:left="360"/>
      </w:pPr>
    </w:p>
    <w:p w:rsidR="002046AC" w:rsidRDefault="002046AC" w:rsidP="002046AC">
      <w:pPr>
        <w:spacing w:after="0"/>
      </w:pPr>
    </w:p>
    <w:p w:rsidR="002046AC" w:rsidRDefault="002046AC" w:rsidP="002046AC">
      <w:pPr>
        <w:spacing w:after="0"/>
      </w:pPr>
    </w:p>
    <w:p w:rsidR="00B65CFC" w:rsidRDefault="00B62D94" w:rsidP="00B65CFC">
      <w:pPr>
        <w:pStyle w:val="ListParagraph"/>
        <w:numPr>
          <w:ilvl w:val="0"/>
          <w:numId w:val="5"/>
        </w:numPr>
        <w:spacing w:after="0"/>
      </w:pPr>
      <w:r>
        <w:lastRenderedPageBreak/>
        <w:t>Send each sample for DNA analysis, chemical analysis and archiving as below</w:t>
      </w:r>
      <w:r w:rsidR="00FA3FAA" w:rsidRPr="00A64B0A">
        <w:t>:</w:t>
      </w:r>
    </w:p>
    <w:p w:rsidR="00B62D94" w:rsidRDefault="00B62D94" w:rsidP="00B62D94">
      <w:pPr>
        <w:pStyle w:val="ListParagraph"/>
        <w:spacing w:after="0"/>
        <w:ind w:left="360"/>
      </w:pPr>
    </w:p>
    <w:p w:rsidR="007F7AD6" w:rsidRDefault="00B65CFC" w:rsidP="00C42127">
      <w:pPr>
        <w:pStyle w:val="ListParagraph"/>
        <w:numPr>
          <w:ilvl w:val="0"/>
          <w:numId w:val="23"/>
        </w:numPr>
        <w:spacing w:after="0"/>
      </w:pPr>
      <w:r w:rsidRPr="00C42127">
        <w:rPr>
          <w:b/>
        </w:rPr>
        <w:t xml:space="preserve">DNA </w:t>
      </w:r>
      <w:r w:rsidR="00B62D94">
        <w:rPr>
          <w:b/>
        </w:rPr>
        <w:t>ANALYSIS</w:t>
      </w:r>
      <w:r>
        <w:t xml:space="preserve">: </w:t>
      </w:r>
      <w:r w:rsidR="00FA3FAA" w:rsidRPr="00A64B0A">
        <w:t xml:space="preserve"> </w:t>
      </w:r>
    </w:p>
    <w:p w:rsidR="00B65CFC" w:rsidRDefault="007F7AD6" w:rsidP="007F7AD6">
      <w:pPr>
        <w:pStyle w:val="ListParagraph"/>
        <w:numPr>
          <w:ilvl w:val="0"/>
          <w:numId w:val="7"/>
        </w:numPr>
        <w:spacing w:after="0"/>
      </w:pPr>
      <w:r>
        <w:t>F</w:t>
      </w:r>
      <w:r w:rsidR="00FA3FAA" w:rsidRPr="00A64B0A">
        <w:t xml:space="preserve">ill 50mL Falcon tube </w:t>
      </w:r>
      <w:r w:rsidR="00FA3FAA">
        <w:t xml:space="preserve">with soil </w:t>
      </w:r>
      <w:r w:rsidR="00FA3FAA" w:rsidRPr="00A64B0A">
        <w:t xml:space="preserve">for DNA analysis </w:t>
      </w:r>
      <w:r w:rsidR="00784A5B">
        <w:t xml:space="preserve">(leaving 1-2 cm of space at top of tube) </w:t>
      </w:r>
      <w:r w:rsidR="00FA3FAA" w:rsidRPr="00A64B0A">
        <w:t xml:space="preserve">and </w:t>
      </w:r>
      <w:r w:rsidR="00B65CFC">
        <w:t>freeze as soon as possible</w:t>
      </w:r>
      <w:r w:rsidR="002654A5">
        <w:t>.</w:t>
      </w:r>
    </w:p>
    <w:p w:rsidR="00C42127" w:rsidRDefault="00A45CCB" w:rsidP="007F7AD6">
      <w:pPr>
        <w:pStyle w:val="ListParagraph"/>
        <w:numPr>
          <w:ilvl w:val="0"/>
          <w:numId w:val="7"/>
        </w:numPr>
        <w:spacing w:after="0"/>
        <w:rPr>
          <w:color w:val="000000" w:themeColor="text1"/>
        </w:rPr>
      </w:pPr>
      <w:r w:rsidRPr="00475604">
        <w:rPr>
          <w:color w:val="000000" w:themeColor="text1"/>
        </w:rPr>
        <w:t xml:space="preserve">Contact John Stephen </w:t>
      </w:r>
      <w:r w:rsidR="00C42127">
        <w:rPr>
          <w:color w:val="000000" w:themeColor="text1"/>
        </w:rPr>
        <w:t xml:space="preserve">from AGRF </w:t>
      </w:r>
      <w:r w:rsidRPr="00475604">
        <w:rPr>
          <w:color w:val="000000" w:themeColor="text1"/>
        </w:rPr>
        <w:t xml:space="preserve">at the address below to organise </w:t>
      </w:r>
    </w:p>
    <w:p w:rsidR="00C42127" w:rsidRDefault="00F66CE8" w:rsidP="00C42127">
      <w:pPr>
        <w:pStyle w:val="ListParagraph"/>
        <w:spacing w:after="0"/>
        <w:ind w:left="1440"/>
        <w:rPr>
          <w:color w:val="000000" w:themeColor="text1"/>
        </w:rPr>
      </w:pPr>
      <w:r w:rsidRPr="00475604">
        <w:rPr>
          <w:color w:val="000000" w:themeColor="text1"/>
        </w:rPr>
        <w:t xml:space="preserve">(1) </w:t>
      </w:r>
      <w:proofErr w:type="gramStart"/>
      <w:r w:rsidR="00A45CCB" w:rsidRPr="00475604">
        <w:rPr>
          <w:color w:val="000000" w:themeColor="text1"/>
        </w:rPr>
        <w:t>soil</w:t>
      </w:r>
      <w:proofErr w:type="gramEnd"/>
      <w:r w:rsidR="00A45CCB" w:rsidRPr="00475604">
        <w:rPr>
          <w:color w:val="000000" w:themeColor="text1"/>
        </w:rPr>
        <w:t xml:space="preserve"> transfer permit paperwork (</w:t>
      </w:r>
      <w:proofErr w:type="spellStart"/>
      <w:r w:rsidR="00A45CCB" w:rsidRPr="00475604">
        <w:rPr>
          <w:color w:val="000000" w:themeColor="text1"/>
        </w:rPr>
        <w:t>Biosecurity</w:t>
      </w:r>
      <w:proofErr w:type="spellEnd"/>
      <w:r w:rsidR="00A45CCB" w:rsidRPr="00475604">
        <w:rPr>
          <w:color w:val="000000" w:themeColor="text1"/>
        </w:rPr>
        <w:t xml:space="preserve"> SA)</w:t>
      </w:r>
    </w:p>
    <w:p w:rsidR="00C42127" w:rsidRDefault="00F66CE8" w:rsidP="00C42127">
      <w:pPr>
        <w:pStyle w:val="ListParagraph"/>
        <w:spacing w:after="0"/>
        <w:ind w:left="1440"/>
        <w:rPr>
          <w:color w:val="000000" w:themeColor="text1"/>
        </w:rPr>
      </w:pPr>
      <w:r w:rsidRPr="00475604">
        <w:rPr>
          <w:color w:val="000000" w:themeColor="text1"/>
        </w:rPr>
        <w:t xml:space="preserve">(2) </w:t>
      </w:r>
      <w:proofErr w:type="gramStart"/>
      <w:r w:rsidRPr="00475604">
        <w:rPr>
          <w:color w:val="000000" w:themeColor="text1"/>
        </w:rPr>
        <w:t>ensure</w:t>
      </w:r>
      <w:proofErr w:type="gramEnd"/>
      <w:r w:rsidRPr="00475604">
        <w:rPr>
          <w:color w:val="000000" w:themeColor="text1"/>
        </w:rPr>
        <w:t xml:space="preserve"> you have a current login for the AGRF sample submission site</w:t>
      </w:r>
    </w:p>
    <w:p w:rsidR="00A45CCB" w:rsidRPr="00475604" w:rsidRDefault="00F66CE8" w:rsidP="00C42127">
      <w:pPr>
        <w:pStyle w:val="ListParagraph"/>
        <w:spacing w:after="0"/>
        <w:ind w:left="1440"/>
        <w:rPr>
          <w:color w:val="000000" w:themeColor="text1"/>
        </w:rPr>
      </w:pPr>
      <w:r w:rsidRPr="00475604">
        <w:rPr>
          <w:color w:val="000000" w:themeColor="text1"/>
        </w:rPr>
        <w:t xml:space="preserve">(3) </w:t>
      </w:r>
      <w:proofErr w:type="gramStart"/>
      <w:r w:rsidR="00A45CCB" w:rsidRPr="00475604">
        <w:rPr>
          <w:color w:val="000000" w:themeColor="text1"/>
        </w:rPr>
        <w:t>log</w:t>
      </w:r>
      <w:proofErr w:type="gramEnd"/>
      <w:r w:rsidR="00A45CCB" w:rsidRPr="00475604">
        <w:rPr>
          <w:color w:val="000000" w:themeColor="text1"/>
        </w:rPr>
        <w:t xml:space="preserve"> samples online via the AGRF website</w:t>
      </w:r>
      <w:r w:rsidR="00C42127">
        <w:rPr>
          <w:color w:val="000000" w:themeColor="text1"/>
        </w:rPr>
        <w:t xml:space="preserve"> (follow instructions below)</w:t>
      </w:r>
      <w:r w:rsidR="00A45CCB" w:rsidRPr="00475604">
        <w:rPr>
          <w:color w:val="000000" w:themeColor="text1"/>
        </w:rPr>
        <w:t>.</w:t>
      </w:r>
    </w:p>
    <w:p w:rsidR="002654A5" w:rsidRDefault="002654A5" w:rsidP="002046AC">
      <w:pPr>
        <w:pStyle w:val="ListParagraph"/>
        <w:numPr>
          <w:ilvl w:val="0"/>
          <w:numId w:val="7"/>
        </w:numPr>
        <w:spacing w:after="0"/>
      </w:pPr>
      <w:r>
        <w:t xml:space="preserve">Send frozen </w:t>
      </w:r>
      <w:r w:rsidR="007F7AD6">
        <w:t xml:space="preserve">samples </w:t>
      </w:r>
      <w:r>
        <w:t xml:space="preserve">to AGRF Adelaide for DNA extraction and sequencing </w:t>
      </w:r>
      <w:r w:rsidR="007F7AD6">
        <w:t>analysis</w:t>
      </w:r>
      <w:r w:rsidR="001F4F66">
        <w:t>.</w:t>
      </w:r>
    </w:p>
    <w:p w:rsidR="00FD16AF" w:rsidRDefault="00FD16AF" w:rsidP="00FD16AF">
      <w:pPr>
        <w:pStyle w:val="ListParagraph"/>
        <w:spacing w:after="0"/>
        <w:ind w:left="1440"/>
      </w:pPr>
    </w:p>
    <w:tbl>
      <w:tblPr>
        <w:tblStyle w:val="TableGrid"/>
        <w:tblW w:w="0" w:type="auto"/>
        <w:tblInd w:w="534" w:type="dxa"/>
        <w:tblLook w:val="04A0"/>
      </w:tblPr>
      <w:tblGrid>
        <w:gridCol w:w="1776"/>
        <w:gridCol w:w="3043"/>
        <w:gridCol w:w="3402"/>
      </w:tblGrid>
      <w:tr w:rsidR="002654A5" w:rsidTr="006F28E4">
        <w:tc>
          <w:tcPr>
            <w:tcW w:w="1776" w:type="dxa"/>
            <w:shd w:val="clear" w:color="auto" w:fill="8DB3E2" w:themeFill="text2" w:themeFillTint="66"/>
          </w:tcPr>
          <w:p w:rsidR="002654A5" w:rsidRPr="00796998" w:rsidRDefault="002654A5" w:rsidP="00A25873">
            <w:pPr>
              <w:rPr>
                <w:rFonts w:cstheme="minorHAnsi"/>
                <w:b/>
                <w:color w:val="000000" w:themeColor="text1"/>
              </w:rPr>
            </w:pPr>
            <w:r>
              <w:rPr>
                <w:rFonts w:cstheme="minorHAnsi"/>
                <w:b/>
                <w:color w:val="000000" w:themeColor="text1"/>
              </w:rPr>
              <w:t>Facility</w:t>
            </w:r>
          </w:p>
        </w:tc>
        <w:tc>
          <w:tcPr>
            <w:tcW w:w="3043" w:type="dxa"/>
            <w:shd w:val="clear" w:color="auto" w:fill="8DB3E2" w:themeFill="text2" w:themeFillTint="66"/>
          </w:tcPr>
          <w:p w:rsidR="002654A5" w:rsidRPr="00796998" w:rsidRDefault="002654A5" w:rsidP="00A25873">
            <w:pPr>
              <w:rPr>
                <w:rFonts w:cstheme="minorHAnsi"/>
                <w:b/>
                <w:color w:val="000000" w:themeColor="text1"/>
              </w:rPr>
            </w:pPr>
            <w:r>
              <w:rPr>
                <w:rFonts w:cstheme="minorHAnsi"/>
                <w:b/>
                <w:color w:val="000000" w:themeColor="text1"/>
              </w:rPr>
              <w:t>Address</w:t>
            </w:r>
          </w:p>
        </w:tc>
        <w:tc>
          <w:tcPr>
            <w:tcW w:w="3402" w:type="dxa"/>
            <w:shd w:val="clear" w:color="auto" w:fill="8DB3E2" w:themeFill="text2" w:themeFillTint="66"/>
          </w:tcPr>
          <w:p w:rsidR="002654A5" w:rsidRPr="00796998" w:rsidRDefault="002654A5" w:rsidP="00A25873">
            <w:pPr>
              <w:rPr>
                <w:rFonts w:cstheme="minorHAnsi"/>
                <w:b/>
                <w:color w:val="000000" w:themeColor="text1"/>
              </w:rPr>
            </w:pPr>
            <w:r>
              <w:rPr>
                <w:rFonts w:cstheme="minorHAnsi"/>
                <w:b/>
                <w:color w:val="000000" w:themeColor="text1"/>
              </w:rPr>
              <w:t>Contact person</w:t>
            </w:r>
          </w:p>
        </w:tc>
      </w:tr>
      <w:tr w:rsidR="002654A5" w:rsidTr="00501C68">
        <w:tc>
          <w:tcPr>
            <w:tcW w:w="1776" w:type="dxa"/>
          </w:tcPr>
          <w:p w:rsidR="002654A5" w:rsidRPr="00796998" w:rsidRDefault="002654A5" w:rsidP="00A25873">
            <w:pPr>
              <w:rPr>
                <w:rFonts w:cstheme="minorHAnsi"/>
                <w:b/>
                <w:color w:val="000000" w:themeColor="text1"/>
              </w:rPr>
            </w:pPr>
            <w:r>
              <w:rPr>
                <w:rFonts w:cstheme="minorHAnsi"/>
                <w:b/>
                <w:color w:val="000000" w:themeColor="text1"/>
              </w:rPr>
              <w:t>AGRF</w:t>
            </w:r>
          </w:p>
        </w:tc>
        <w:tc>
          <w:tcPr>
            <w:tcW w:w="3043" w:type="dxa"/>
          </w:tcPr>
          <w:p w:rsidR="002654A5" w:rsidRDefault="002654A5" w:rsidP="002654A5">
            <w:pPr>
              <w:rPr>
                <w:rFonts w:eastAsia="Times New Roman" w:cstheme="minorHAnsi"/>
                <w:color w:val="000000" w:themeColor="text1"/>
              </w:rPr>
            </w:pPr>
            <w:r w:rsidRPr="00914424">
              <w:rPr>
                <w:rFonts w:eastAsia="Times New Roman" w:cstheme="minorHAnsi"/>
                <w:color w:val="000000" w:themeColor="text1"/>
              </w:rPr>
              <w:t>Australian Genome Research Facility Ltd</w:t>
            </w:r>
          </w:p>
          <w:p w:rsidR="002654A5" w:rsidRDefault="002654A5" w:rsidP="002654A5">
            <w:pPr>
              <w:rPr>
                <w:rFonts w:cstheme="minorHAnsi"/>
                <w:color w:val="000000" w:themeColor="text1"/>
              </w:rPr>
            </w:pPr>
            <w:r w:rsidRPr="002654A5">
              <w:rPr>
                <w:rFonts w:cstheme="minorHAnsi"/>
                <w:color w:val="000000" w:themeColor="text1"/>
              </w:rPr>
              <w:t xml:space="preserve">Plant Genomics Centre </w:t>
            </w:r>
          </w:p>
          <w:p w:rsidR="002654A5" w:rsidRDefault="002654A5" w:rsidP="002654A5">
            <w:pPr>
              <w:rPr>
                <w:rFonts w:cstheme="minorHAnsi"/>
                <w:color w:val="000000" w:themeColor="text1"/>
              </w:rPr>
            </w:pPr>
            <w:r w:rsidRPr="002654A5">
              <w:rPr>
                <w:rFonts w:cstheme="minorHAnsi"/>
                <w:color w:val="000000" w:themeColor="text1"/>
              </w:rPr>
              <w:t xml:space="preserve">University of Adelaide </w:t>
            </w:r>
          </w:p>
          <w:p w:rsidR="002654A5" w:rsidRDefault="002654A5" w:rsidP="002654A5">
            <w:pPr>
              <w:rPr>
                <w:rFonts w:cstheme="minorHAnsi"/>
                <w:color w:val="000000" w:themeColor="text1"/>
              </w:rPr>
            </w:pPr>
            <w:r w:rsidRPr="002654A5">
              <w:rPr>
                <w:rFonts w:cstheme="minorHAnsi"/>
                <w:color w:val="000000" w:themeColor="text1"/>
              </w:rPr>
              <w:t>PMB1 Glen Osmond</w:t>
            </w:r>
          </w:p>
          <w:p w:rsidR="002654A5" w:rsidRPr="002654A5" w:rsidRDefault="002654A5" w:rsidP="002654A5">
            <w:pPr>
              <w:rPr>
                <w:rFonts w:eastAsia="Times New Roman" w:cstheme="minorHAnsi"/>
                <w:color w:val="000000" w:themeColor="text1"/>
              </w:rPr>
            </w:pPr>
            <w:r w:rsidRPr="002654A5">
              <w:rPr>
                <w:rFonts w:cstheme="minorHAnsi"/>
                <w:color w:val="000000" w:themeColor="text1"/>
              </w:rPr>
              <w:t xml:space="preserve">Urrbrae SA 5064 </w:t>
            </w:r>
          </w:p>
          <w:p w:rsidR="002654A5" w:rsidRPr="00796998" w:rsidRDefault="002654A5" w:rsidP="00A25873">
            <w:pPr>
              <w:rPr>
                <w:rFonts w:cstheme="minorHAnsi"/>
                <w:b/>
                <w:color w:val="000000" w:themeColor="text1"/>
              </w:rPr>
            </w:pPr>
          </w:p>
        </w:tc>
        <w:tc>
          <w:tcPr>
            <w:tcW w:w="3402" w:type="dxa"/>
          </w:tcPr>
          <w:p w:rsidR="002654A5" w:rsidRDefault="002654A5" w:rsidP="00A25873">
            <w:pPr>
              <w:rPr>
                <w:rFonts w:eastAsia="Times New Roman" w:cstheme="minorHAnsi"/>
                <w:color w:val="000000" w:themeColor="text1"/>
              </w:rPr>
            </w:pPr>
            <w:r>
              <w:rPr>
                <w:rFonts w:eastAsia="Times New Roman" w:cstheme="minorHAnsi"/>
                <w:color w:val="000000" w:themeColor="text1"/>
              </w:rPr>
              <w:t>John Stephen</w:t>
            </w:r>
          </w:p>
          <w:p w:rsidR="002654A5" w:rsidRDefault="002654A5" w:rsidP="00A25873">
            <w:pPr>
              <w:rPr>
                <w:rFonts w:eastAsia="Times New Roman" w:cstheme="minorHAnsi"/>
                <w:color w:val="000000" w:themeColor="text1"/>
              </w:rPr>
            </w:pPr>
            <w:r>
              <w:rPr>
                <w:rFonts w:eastAsia="Times New Roman" w:cstheme="minorHAnsi"/>
                <w:color w:val="000000" w:themeColor="text1"/>
              </w:rPr>
              <w:t>Phone: (0</w:t>
            </w:r>
            <w:r w:rsidRPr="002654A5">
              <w:rPr>
                <w:rFonts w:eastAsia="Times New Roman" w:cstheme="minorHAnsi"/>
                <w:color w:val="000000" w:themeColor="text1"/>
              </w:rPr>
              <w:t>8</w:t>
            </w:r>
            <w:r>
              <w:rPr>
                <w:rFonts w:eastAsia="Times New Roman" w:cstheme="minorHAnsi"/>
                <w:color w:val="000000" w:themeColor="text1"/>
              </w:rPr>
              <w:t>)</w:t>
            </w:r>
            <w:r w:rsidRPr="002654A5">
              <w:rPr>
                <w:rFonts w:eastAsia="Times New Roman" w:cstheme="minorHAnsi"/>
                <w:color w:val="000000" w:themeColor="text1"/>
              </w:rPr>
              <w:t xml:space="preserve"> 8303 7202</w:t>
            </w:r>
          </w:p>
          <w:p w:rsidR="002654A5" w:rsidRDefault="002654A5" w:rsidP="00A25873">
            <w:pPr>
              <w:rPr>
                <w:rFonts w:eastAsia="Times New Roman" w:cstheme="minorHAnsi"/>
                <w:color w:val="000000" w:themeColor="text1"/>
              </w:rPr>
            </w:pPr>
            <w:r>
              <w:rPr>
                <w:rFonts w:eastAsia="Times New Roman" w:cstheme="minorHAnsi"/>
                <w:color w:val="000000" w:themeColor="text1"/>
              </w:rPr>
              <w:t xml:space="preserve">Email: </w:t>
            </w:r>
            <w:hyperlink r:id="rId10" w:history="1">
              <w:r w:rsidRPr="005F0824">
                <w:rPr>
                  <w:rStyle w:val="Hyperlink"/>
                  <w:rFonts w:eastAsia="Times New Roman" w:cstheme="minorHAnsi"/>
                </w:rPr>
                <w:t>John.Stephen@agrf.org.au</w:t>
              </w:r>
            </w:hyperlink>
          </w:p>
          <w:p w:rsidR="002654A5" w:rsidRDefault="002654A5" w:rsidP="00A25873">
            <w:pPr>
              <w:rPr>
                <w:rFonts w:eastAsia="Times New Roman" w:cstheme="minorHAnsi"/>
                <w:color w:val="000000" w:themeColor="text1"/>
              </w:rPr>
            </w:pPr>
          </w:p>
          <w:p w:rsidR="002654A5" w:rsidRPr="00796998" w:rsidRDefault="002654A5" w:rsidP="00A25873">
            <w:pPr>
              <w:rPr>
                <w:rFonts w:cstheme="minorHAnsi"/>
                <w:b/>
                <w:color w:val="000000" w:themeColor="text1"/>
              </w:rPr>
            </w:pPr>
          </w:p>
        </w:tc>
      </w:tr>
    </w:tbl>
    <w:p w:rsidR="002654A5" w:rsidRDefault="002654A5" w:rsidP="007F7AD6">
      <w:pPr>
        <w:spacing w:after="0"/>
      </w:pPr>
    </w:p>
    <w:p w:rsidR="00C42127" w:rsidRPr="00C42127" w:rsidRDefault="00C42127" w:rsidP="00C42127">
      <w:pPr>
        <w:pStyle w:val="ListParagraph"/>
        <w:spacing w:after="0" w:line="240" w:lineRule="auto"/>
        <w:ind w:left="360"/>
        <w:contextualSpacing w:val="0"/>
        <w:rPr>
          <w:u w:val="single"/>
        </w:rPr>
      </w:pPr>
      <w:r>
        <w:rPr>
          <w:u w:val="single"/>
        </w:rPr>
        <w:t>Sample s</w:t>
      </w:r>
      <w:r w:rsidRPr="00C42127">
        <w:rPr>
          <w:u w:val="single"/>
        </w:rPr>
        <w:t>ubmission instructions:</w:t>
      </w:r>
    </w:p>
    <w:p w:rsidR="00C42127" w:rsidRPr="00C42127" w:rsidRDefault="00C42127" w:rsidP="00C42127">
      <w:pPr>
        <w:pStyle w:val="ListParagraph"/>
        <w:numPr>
          <w:ilvl w:val="0"/>
          <w:numId w:val="26"/>
        </w:numPr>
        <w:spacing w:after="0" w:line="240" w:lineRule="auto"/>
        <w:ind w:left="709" w:hanging="349"/>
        <w:rPr>
          <w:b/>
          <w:color w:val="000000" w:themeColor="text1"/>
        </w:rPr>
      </w:pPr>
      <w:r w:rsidRPr="00C42127">
        <w:rPr>
          <w:b/>
          <w:color w:val="000000" w:themeColor="text1"/>
        </w:rPr>
        <w:t>Submitter Registration</w:t>
      </w:r>
    </w:p>
    <w:p w:rsidR="00C42127" w:rsidRPr="00C42127" w:rsidRDefault="00C42127" w:rsidP="00C42127">
      <w:pPr>
        <w:pStyle w:val="ListParagraph"/>
        <w:numPr>
          <w:ilvl w:val="0"/>
          <w:numId w:val="7"/>
        </w:numPr>
        <w:spacing w:after="0" w:line="240" w:lineRule="auto"/>
        <w:rPr>
          <w:color w:val="000000" w:themeColor="text1"/>
        </w:rPr>
      </w:pPr>
      <w:r>
        <w:t>All work is being performed under a single agreement in the AGRF system:</w:t>
      </w:r>
    </w:p>
    <w:p w:rsidR="00C42127" w:rsidRDefault="00C42127" w:rsidP="00C42127">
      <w:pPr>
        <w:pStyle w:val="ListParagraph"/>
        <w:spacing w:after="0" w:line="240" w:lineRule="auto"/>
        <w:ind w:left="1440"/>
      </w:pPr>
      <w:r>
        <w:t xml:space="preserve">Agreement ID: </w:t>
      </w:r>
      <w:r w:rsidRPr="00A9114E">
        <w:t>AGRF12-00265</w:t>
      </w:r>
    </w:p>
    <w:p w:rsidR="00FD16AF" w:rsidRDefault="00C42127" w:rsidP="00FD16AF">
      <w:pPr>
        <w:pStyle w:val="ListParagraph"/>
        <w:spacing w:after="0" w:line="240" w:lineRule="auto"/>
        <w:ind w:left="1440"/>
      </w:pPr>
      <w:r>
        <w:t>Primary contact: Anna Fitzgerald</w:t>
      </w:r>
    </w:p>
    <w:p w:rsidR="00FD16AF" w:rsidRPr="00FD16AF" w:rsidRDefault="00FD16AF" w:rsidP="00C42127">
      <w:pPr>
        <w:pStyle w:val="ListParagraph"/>
        <w:numPr>
          <w:ilvl w:val="0"/>
          <w:numId w:val="7"/>
        </w:numPr>
        <w:spacing w:after="0" w:line="240" w:lineRule="auto"/>
        <w:rPr>
          <w:color w:val="000000" w:themeColor="text1"/>
        </w:rPr>
      </w:pPr>
      <w:r>
        <w:t>R</w:t>
      </w:r>
      <w:r w:rsidR="00C42127">
        <w:t>egister to t</w:t>
      </w:r>
      <w:r>
        <w:t>his account on the AGRF website</w:t>
      </w:r>
      <w:r w:rsidR="00C42127">
        <w:t xml:space="preserve"> </w:t>
      </w:r>
      <w:hyperlink r:id="rId11" w:history="1">
        <w:r w:rsidR="00C42127" w:rsidRPr="00350384">
          <w:rPr>
            <w:rStyle w:val="Hyperlink"/>
          </w:rPr>
          <w:t>https://lims.agrf.org.au/ClientSubmission/NewUser.aspx</w:t>
        </w:r>
      </w:hyperlink>
    </w:p>
    <w:p w:rsidR="00C42127" w:rsidRPr="00FD16AF" w:rsidRDefault="00FD16AF" w:rsidP="00C42127">
      <w:pPr>
        <w:pStyle w:val="ListParagraph"/>
        <w:numPr>
          <w:ilvl w:val="0"/>
          <w:numId w:val="7"/>
        </w:numPr>
        <w:spacing w:after="0" w:line="240" w:lineRule="auto"/>
        <w:rPr>
          <w:color w:val="000000" w:themeColor="text1"/>
        </w:rPr>
      </w:pPr>
      <w:r>
        <w:t>T</w:t>
      </w:r>
      <w:r w:rsidR="00C42127">
        <w:t>ick the option that says “</w:t>
      </w:r>
      <w:r w:rsidR="00C42127" w:rsidRPr="00A8158F">
        <w:t>I want to register as a sample submitter on an existing contract/account</w:t>
      </w:r>
      <w:r w:rsidR="00C42127">
        <w:t>”, and use contract ID number “</w:t>
      </w:r>
      <w:r w:rsidR="00C42127" w:rsidRPr="00A9114E">
        <w:t>AGRF12-00265</w:t>
      </w:r>
      <w:r>
        <w:t>”</w:t>
      </w:r>
    </w:p>
    <w:p w:rsidR="00C42127" w:rsidRPr="00FD16AF" w:rsidRDefault="00C42127" w:rsidP="00FD16AF">
      <w:pPr>
        <w:pStyle w:val="ListParagraph"/>
        <w:numPr>
          <w:ilvl w:val="0"/>
          <w:numId w:val="7"/>
        </w:numPr>
        <w:spacing w:after="0" w:line="240" w:lineRule="auto"/>
        <w:rPr>
          <w:color w:val="000000" w:themeColor="text1"/>
        </w:rPr>
      </w:pPr>
      <w:r>
        <w:t>An email will be sent to Anna Fitzgerald, requesting authorisation. Submissions can be made online immediately, but sample processing will not occur until authorisation has been received.</w:t>
      </w:r>
    </w:p>
    <w:p w:rsidR="00FD16AF" w:rsidRPr="00FD16AF" w:rsidRDefault="00FD16AF" w:rsidP="00FD16AF">
      <w:pPr>
        <w:pStyle w:val="ListParagraph"/>
        <w:spacing w:after="0" w:line="240" w:lineRule="auto"/>
        <w:ind w:left="1440"/>
        <w:rPr>
          <w:color w:val="000000" w:themeColor="text1"/>
        </w:rPr>
      </w:pPr>
    </w:p>
    <w:p w:rsidR="00C42127" w:rsidRPr="00FD16AF" w:rsidRDefault="00C42127" w:rsidP="00FD16AF">
      <w:pPr>
        <w:pStyle w:val="ListParagraph"/>
        <w:numPr>
          <w:ilvl w:val="0"/>
          <w:numId w:val="26"/>
        </w:numPr>
        <w:spacing w:after="0" w:line="240" w:lineRule="auto"/>
        <w:ind w:left="709" w:hanging="349"/>
        <w:rPr>
          <w:b/>
          <w:color w:val="000000" w:themeColor="text1"/>
        </w:rPr>
      </w:pPr>
      <w:r w:rsidRPr="00FD16AF">
        <w:rPr>
          <w:b/>
          <w:color w:val="000000" w:themeColor="text1"/>
        </w:rPr>
        <w:t xml:space="preserve">Submission </w:t>
      </w:r>
      <w:r w:rsidR="00FD16AF" w:rsidRPr="00FD16AF">
        <w:rPr>
          <w:b/>
          <w:color w:val="000000" w:themeColor="text1"/>
        </w:rPr>
        <w:t>process</w:t>
      </w:r>
    </w:p>
    <w:p w:rsidR="00FD16AF" w:rsidRDefault="00FD16AF" w:rsidP="00FD16AF">
      <w:pPr>
        <w:pStyle w:val="ListParagraph"/>
      </w:pPr>
      <w:r>
        <w:t>Once registered:</w:t>
      </w:r>
      <w:r w:rsidR="00C42127">
        <w:t xml:space="preserve"> </w:t>
      </w:r>
    </w:p>
    <w:p w:rsidR="00FD16AF" w:rsidRDefault="00C42127" w:rsidP="00FD16AF">
      <w:pPr>
        <w:pStyle w:val="ListParagraph"/>
        <w:numPr>
          <w:ilvl w:val="0"/>
          <w:numId w:val="28"/>
        </w:numPr>
      </w:pPr>
      <w:proofErr w:type="gramStart"/>
      <w:r>
        <w:t>log</w:t>
      </w:r>
      <w:proofErr w:type="gramEnd"/>
      <w:r>
        <w:t xml:space="preserve"> into the AGRF website </w:t>
      </w:r>
      <w:r w:rsidR="00FD16AF">
        <w:t xml:space="preserve">by </w:t>
      </w:r>
      <w:r w:rsidR="00FD16AF" w:rsidRPr="00FD16AF">
        <w:t xml:space="preserve">clicking the “update details” link on the left hand side. Enter the contract ID AGRF12-00265 and </w:t>
      </w:r>
      <w:proofErr w:type="gramStart"/>
      <w:r w:rsidR="00FD16AF" w:rsidRPr="00FD16AF">
        <w:t>click submit</w:t>
      </w:r>
      <w:proofErr w:type="gramEnd"/>
      <w:r w:rsidR="00FD16AF" w:rsidRPr="00FD16AF">
        <w:t>.</w:t>
      </w:r>
      <w:r w:rsidR="00FD16AF">
        <w:t xml:space="preserve"> </w:t>
      </w:r>
    </w:p>
    <w:p w:rsidR="00FD16AF" w:rsidRDefault="00FD16AF" w:rsidP="00FD16AF">
      <w:pPr>
        <w:pStyle w:val="ListParagraph"/>
        <w:numPr>
          <w:ilvl w:val="0"/>
          <w:numId w:val="27"/>
        </w:numPr>
      </w:pPr>
      <w:r>
        <w:t xml:space="preserve">Then click on the “submit samples” link on the left side menu. </w:t>
      </w:r>
    </w:p>
    <w:p w:rsidR="00FD16AF" w:rsidRDefault="00FD16AF" w:rsidP="00FD16AF">
      <w:pPr>
        <w:pStyle w:val="ListParagraph"/>
        <w:numPr>
          <w:ilvl w:val="0"/>
          <w:numId w:val="27"/>
        </w:numPr>
      </w:pPr>
      <w:r>
        <w:t>Choose the contract ID “AGRF12-00265”, and then select the “Nucleic Acid Extraction” option (see image below).</w:t>
      </w:r>
    </w:p>
    <w:p w:rsidR="00C42127" w:rsidRDefault="00C42127" w:rsidP="00C42127">
      <w:r>
        <w:rPr>
          <w:noProof/>
          <w:lang w:eastAsia="en-AU"/>
        </w:rPr>
        <w:lastRenderedPageBreak/>
        <w:drawing>
          <wp:inline distT="0" distB="0" distL="0" distR="0">
            <wp:extent cx="5729274" cy="25523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7377"/>
                    <a:stretch/>
                  </pic:blipFill>
                  <pic:spPr bwMode="auto">
                    <a:xfrm>
                      <a:off x="0" y="0"/>
                      <a:ext cx="5731510" cy="255336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42127" w:rsidRDefault="00C42127" w:rsidP="00FD16AF">
      <w:pPr>
        <w:pStyle w:val="ListParagraph"/>
        <w:numPr>
          <w:ilvl w:val="0"/>
          <w:numId w:val="29"/>
        </w:numPr>
      </w:pPr>
      <w:r>
        <w:t xml:space="preserve">Once selected, a page asking for submission details will appear: </w:t>
      </w:r>
    </w:p>
    <w:p w:rsidR="00C42127" w:rsidRDefault="00C42127" w:rsidP="00C42127">
      <w:r>
        <w:rPr>
          <w:noProof/>
          <w:lang w:eastAsia="en-AU"/>
        </w:rPr>
        <w:drawing>
          <wp:inline distT="0" distB="0" distL="0" distR="0">
            <wp:extent cx="5038725" cy="575432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1806" r="16527"/>
                    <a:stretch/>
                  </pic:blipFill>
                  <pic:spPr bwMode="auto">
                    <a:xfrm>
                      <a:off x="0" y="0"/>
                      <a:ext cx="5045894" cy="576251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D16AF" w:rsidRDefault="00C42127" w:rsidP="00B62D94">
      <w:pPr>
        <w:pStyle w:val="ListParagraph"/>
        <w:numPr>
          <w:ilvl w:val="0"/>
          <w:numId w:val="29"/>
        </w:numPr>
        <w:ind w:left="1418" w:hanging="425"/>
      </w:pPr>
      <w:r>
        <w:lastRenderedPageBreak/>
        <w:t xml:space="preserve">Complete the relevant fields, and </w:t>
      </w:r>
      <w:proofErr w:type="gramStart"/>
      <w:r>
        <w:t>click submit</w:t>
      </w:r>
      <w:proofErr w:type="gramEnd"/>
      <w:r>
        <w:t xml:space="preserve">. </w:t>
      </w:r>
    </w:p>
    <w:p w:rsidR="00FD16AF" w:rsidRDefault="00C42127" w:rsidP="00B62D94">
      <w:pPr>
        <w:pStyle w:val="ListParagraph"/>
        <w:numPr>
          <w:ilvl w:val="0"/>
          <w:numId w:val="29"/>
        </w:numPr>
        <w:ind w:left="1418" w:hanging="425"/>
      </w:pPr>
      <w:r>
        <w:t>A link will appear at the top of the page to a PDF document</w:t>
      </w:r>
      <w:r w:rsidR="00FD16AF">
        <w:t>; this your submission receipt.</w:t>
      </w:r>
    </w:p>
    <w:p w:rsidR="00FD16AF" w:rsidRDefault="00C42127" w:rsidP="00B62D94">
      <w:pPr>
        <w:pStyle w:val="ListParagraph"/>
        <w:numPr>
          <w:ilvl w:val="0"/>
          <w:numId w:val="29"/>
        </w:numPr>
        <w:ind w:left="1418" w:hanging="425"/>
      </w:pPr>
      <w:r>
        <w:t>Print off the sample submission receipt, and include this with your samples that you send to Adelaide.</w:t>
      </w:r>
    </w:p>
    <w:p w:rsidR="00C42127" w:rsidRDefault="00C42127" w:rsidP="00B62D94">
      <w:pPr>
        <w:pStyle w:val="ListParagraph"/>
        <w:numPr>
          <w:ilvl w:val="0"/>
          <w:numId w:val="29"/>
        </w:numPr>
        <w:ind w:left="1418" w:hanging="425"/>
      </w:pPr>
      <w:r>
        <w:t xml:space="preserve">Samples are to be shipped frozen (dry ice). Any samples received that are thawed/room temperature when inspected will be deemed inappropriate for extraction. </w:t>
      </w:r>
    </w:p>
    <w:p w:rsidR="00C42127" w:rsidRDefault="00C42127" w:rsidP="00501C68">
      <w:pPr>
        <w:spacing w:after="0"/>
        <w:ind w:left="426"/>
      </w:pPr>
    </w:p>
    <w:p w:rsidR="00A25873" w:rsidRDefault="00A25873" w:rsidP="00501C68">
      <w:pPr>
        <w:spacing w:after="0"/>
        <w:ind w:left="426"/>
      </w:pPr>
      <w:r w:rsidRPr="007E7974">
        <w:t>Gently air dry and bag remaining soil</w:t>
      </w:r>
      <w:r>
        <w:t xml:space="preserve"> for: </w:t>
      </w:r>
    </w:p>
    <w:p w:rsidR="00A25873" w:rsidRPr="002654A5" w:rsidRDefault="00A25873" w:rsidP="007F7AD6">
      <w:pPr>
        <w:spacing w:after="0"/>
      </w:pPr>
    </w:p>
    <w:p w:rsidR="00B65CFC" w:rsidRDefault="00B62D94" w:rsidP="00B62D94">
      <w:pPr>
        <w:pStyle w:val="ListParagraph"/>
        <w:numPr>
          <w:ilvl w:val="0"/>
          <w:numId w:val="23"/>
        </w:numPr>
        <w:spacing w:after="0"/>
      </w:pPr>
      <w:r>
        <w:rPr>
          <w:b/>
        </w:rPr>
        <w:t xml:space="preserve">CHEMICAL ANALYSIS </w:t>
      </w:r>
      <w:r w:rsidR="00744F56" w:rsidRPr="00B62D94">
        <w:rPr>
          <w:b/>
        </w:rPr>
        <w:t>(as below or equivalent)</w:t>
      </w:r>
      <w:r w:rsidR="00B65CFC">
        <w:t>:</w:t>
      </w:r>
    </w:p>
    <w:p w:rsidR="00A4460C" w:rsidRDefault="00DB70BE" w:rsidP="00A4460C">
      <w:pPr>
        <w:pStyle w:val="ListParagraph"/>
        <w:numPr>
          <w:ilvl w:val="0"/>
          <w:numId w:val="8"/>
        </w:numPr>
        <w:spacing w:after="0"/>
      </w:pPr>
      <w:r>
        <w:t xml:space="preserve">Send sample </w:t>
      </w:r>
      <w:r w:rsidRPr="007E7974">
        <w:t xml:space="preserve">250g dry weight preferred [200g minimum required] </w:t>
      </w:r>
      <w:r w:rsidR="00A4460C">
        <w:t xml:space="preserve">to CSBP, Perth WA </w:t>
      </w:r>
      <w:r w:rsidRPr="007E7974">
        <w:t xml:space="preserve">for the ‘Comprehensive </w:t>
      </w:r>
      <w:proofErr w:type="gramStart"/>
      <w:r w:rsidRPr="007E7974">
        <w:t xml:space="preserve">Test’ </w:t>
      </w:r>
      <w:r w:rsidR="001F4F66">
        <w:t>.</w:t>
      </w:r>
      <w:proofErr w:type="gramEnd"/>
    </w:p>
    <w:p w:rsidR="00A4460C" w:rsidRDefault="00146F4B" w:rsidP="00A4460C">
      <w:pPr>
        <w:pStyle w:val="ListParagraph"/>
        <w:spacing w:after="0"/>
      </w:pPr>
      <w:hyperlink r:id="rId14" w:history="1">
        <w:r w:rsidR="00A4460C" w:rsidRPr="00A4460C">
          <w:rPr>
            <w:rStyle w:val="Hyperlink"/>
            <w:rFonts w:cs="Arial"/>
          </w:rPr>
          <w:t>http://www.csbp-fertilisers.com.au/nutrition-services/soil-and-plant-analysis-laboratory</w:t>
        </w:r>
      </w:hyperlink>
    </w:p>
    <w:p w:rsidR="00A4460C" w:rsidRPr="00A4460C" w:rsidRDefault="00B62D94" w:rsidP="00A4460C">
      <w:pPr>
        <w:pStyle w:val="ListParagraph"/>
        <w:numPr>
          <w:ilvl w:val="0"/>
          <w:numId w:val="8"/>
        </w:numPr>
        <w:spacing w:after="0"/>
      </w:pPr>
      <w:r>
        <w:t>Cost per sample will be $52.50</w:t>
      </w:r>
      <w:r w:rsidR="00A4460C">
        <w:t xml:space="preserve">+GST when citing quote number: </w:t>
      </w:r>
      <w:r>
        <w:t xml:space="preserve">CSBP13/0457 </w:t>
      </w:r>
      <w:r w:rsidR="00F822BA">
        <w:rPr>
          <w:rFonts w:ascii="GillSansMT" w:hAnsi="GillSansMT" w:cs="GillSansMT"/>
          <w:sz w:val="20"/>
          <w:szCs w:val="20"/>
        </w:rPr>
        <w:t xml:space="preserve">and </w:t>
      </w:r>
      <w:r w:rsidR="00F822BA">
        <w:t>account number 55877. Please include your “bill to” contact and address.</w:t>
      </w:r>
    </w:p>
    <w:p w:rsidR="00A4460C" w:rsidRPr="00B62D94" w:rsidRDefault="00A4460C" w:rsidP="00DB70BE">
      <w:pPr>
        <w:pStyle w:val="Default"/>
        <w:numPr>
          <w:ilvl w:val="0"/>
          <w:numId w:val="8"/>
        </w:numPr>
      </w:pPr>
      <w:r w:rsidRPr="00501C68">
        <w:rPr>
          <w:rFonts w:ascii="GillSansMT" w:hAnsi="GillSansMT" w:cs="GillSansMT"/>
          <w:sz w:val="20"/>
          <w:szCs w:val="20"/>
        </w:rPr>
        <w:t>Include completed ‘</w:t>
      </w:r>
      <w:r w:rsidRPr="00A4460C">
        <w:rPr>
          <w:rFonts w:asciiTheme="minorHAnsi" w:hAnsiTheme="minorHAnsi" w:cstheme="minorBidi"/>
          <w:color w:val="auto"/>
          <w:sz w:val="22"/>
          <w:szCs w:val="22"/>
        </w:rPr>
        <w:t>Soil Analysis</w:t>
      </w:r>
      <w:r w:rsidRPr="00A4460C">
        <w:rPr>
          <w:rFonts w:asciiTheme="minorHAnsi" w:hAnsiTheme="minorHAnsi"/>
          <w:sz w:val="22"/>
          <w:szCs w:val="22"/>
        </w:rPr>
        <w:t xml:space="preserve"> Request Form</w:t>
      </w:r>
      <w:r>
        <w:rPr>
          <w:rFonts w:asciiTheme="minorHAnsi" w:hAnsiTheme="minorHAnsi"/>
          <w:sz w:val="22"/>
          <w:szCs w:val="22"/>
        </w:rPr>
        <w:t>’ and ‘</w:t>
      </w:r>
      <w:r w:rsidRPr="00A4460C">
        <w:rPr>
          <w:rFonts w:asciiTheme="minorHAnsi" w:hAnsiTheme="minorHAnsi" w:cstheme="minorBidi"/>
          <w:color w:val="auto"/>
          <w:sz w:val="22"/>
          <w:szCs w:val="22"/>
        </w:rPr>
        <w:t>Payment Information</w:t>
      </w:r>
      <w:r w:rsidR="00271E62">
        <w:rPr>
          <w:rFonts w:asciiTheme="minorHAnsi" w:hAnsiTheme="minorHAnsi" w:cstheme="minorBidi"/>
          <w:color w:val="auto"/>
          <w:sz w:val="22"/>
          <w:szCs w:val="22"/>
        </w:rPr>
        <w:t xml:space="preserve">’ form available as </w:t>
      </w:r>
      <w:proofErr w:type="spellStart"/>
      <w:r w:rsidR="00271E62">
        <w:rPr>
          <w:rFonts w:asciiTheme="minorHAnsi" w:hAnsiTheme="minorHAnsi" w:cstheme="minorBidi"/>
          <w:color w:val="auto"/>
          <w:sz w:val="22"/>
          <w:szCs w:val="22"/>
        </w:rPr>
        <w:t>pdfs</w:t>
      </w:r>
      <w:proofErr w:type="spellEnd"/>
      <w:r>
        <w:rPr>
          <w:rFonts w:asciiTheme="minorHAnsi" w:hAnsiTheme="minorHAnsi" w:cstheme="minorBidi"/>
          <w:color w:val="auto"/>
          <w:sz w:val="22"/>
          <w:szCs w:val="22"/>
        </w:rPr>
        <w:t xml:space="preserve"> </w:t>
      </w:r>
      <w:r w:rsidR="00271E62">
        <w:rPr>
          <w:rFonts w:asciiTheme="minorHAnsi" w:hAnsiTheme="minorHAnsi" w:cstheme="minorBidi"/>
          <w:color w:val="auto"/>
          <w:sz w:val="22"/>
          <w:szCs w:val="22"/>
        </w:rPr>
        <w:t xml:space="preserve">from </w:t>
      </w:r>
      <w:r>
        <w:rPr>
          <w:rFonts w:asciiTheme="minorHAnsi" w:hAnsiTheme="minorHAnsi" w:cstheme="minorBidi"/>
          <w:color w:val="auto"/>
          <w:sz w:val="22"/>
          <w:szCs w:val="22"/>
        </w:rPr>
        <w:t>the CSBP website</w:t>
      </w:r>
      <w:r w:rsidR="001F4F66">
        <w:rPr>
          <w:rFonts w:asciiTheme="minorHAnsi" w:hAnsiTheme="minorHAnsi" w:cstheme="minorBidi"/>
          <w:color w:val="auto"/>
          <w:sz w:val="22"/>
          <w:szCs w:val="22"/>
        </w:rPr>
        <w:t>.</w:t>
      </w:r>
    </w:p>
    <w:p w:rsidR="00501C68" w:rsidRDefault="00501C68" w:rsidP="00501C68">
      <w:pPr>
        <w:pStyle w:val="Default"/>
        <w:ind w:left="1440"/>
      </w:pPr>
    </w:p>
    <w:tbl>
      <w:tblPr>
        <w:tblStyle w:val="TableGrid"/>
        <w:tblW w:w="0" w:type="auto"/>
        <w:tblInd w:w="534" w:type="dxa"/>
        <w:tblLook w:val="04A0"/>
      </w:tblPr>
      <w:tblGrid>
        <w:gridCol w:w="1776"/>
        <w:gridCol w:w="3043"/>
        <w:gridCol w:w="3402"/>
      </w:tblGrid>
      <w:tr w:rsidR="00501C68" w:rsidTr="006F28E4">
        <w:tc>
          <w:tcPr>
            <w:tcW w:w="1776" w:type="dxa"/>
            <w:shd w:val="clear" w:color="auto" w:fill="8DB3E2" w:themeFill="text2" w:themeFillTint="66"/>
          </w:tcPr>
          <w:p w:rsidR="00501C68" w:rsidRPr="00796998" w:rsidRDefault="00501C68" w:rsidP="00501C68">
            <w:pPr>
              <w:rPr>
                <w:rFonts w:cstheme="minorHAnsi"/>
                <w:b/>
                <w:color w:val="000000" w:themeColor="text1"/>
              </w:rPr>
            </w:pPr>
            <w:r>
              <w:rPr>
                <w:rFonts w:cstheme="minorHAnsi"/>
                <w:b/>
                <w:color w:val="000000" w:themeColor="text1"/>
              </w:rPr>
              <w:t>Facility</w:t>
            </w:r>
          </w:p>
        </w:tc>
        <w:tc>
          <w:tcPr>
            <w:tcW w:w="3043" w:type="dxa"/>
            <w:shd w:val="clear" w:color="auto" w:fill="8DB3E2" w:themeFill="text2" w:themeFillTint="66"/>
          </w:tcPr>
          <w:p w:rsidR="00501C68" w:rsidRPr="00796998" w:rsidRDefault="00501C68" w:rsidP="00501C68">
            <w:pPr>
              <w:rPr>
                <w:rFonts w:cstheme="minorHAnsi"/>
                <w:b/>
                <w:color w:val="000000" w:themeColor="text1"/>
              </w:rPr>
            </w:pPr>
            <w:r>
              <w:rPr>
                <w:rFonts w:cstheme="minorHAnsi"/>
                <w:b/>
                <w:color w:val="000000" w:themeColor="text1"/>
              </w:rPr>
              <w:t>Address</w:t>
            </w:r>
          </w:p>
        </w:tc>
        <w:tc>
          <w:tcPr>
            <w:tcW w:w="3402" w:type="dxa"/>
            <w:shd w:val="clear" w:color="auto" w:fill="8DB3E2" w:themeFill="text2" w:themeFillTint="66"/>
          </w:tcPr>
          <w:p w:rsidR="00501C68" w:rsidRPr="00796998" w:rsidRDefault="00501C68" w:rsidP="00501C68">
            <w:pPr>
              <w:rPr>
                <w:rFonts w:cstheme="minorHAnsi"/>
                <w:b/>
                <w:color w:val="000000" w:themeColor="text1"/>
              </w:rPr>
            </w:pPr>
            <w:r>
              <w:rPr>
                <w:rFonts w:cstheme="minorHAnsi"/>
                <w:b/>
                <w:color w:val="000000" w:themeColor="text1"/>
              </w:rPr>
              <w:t>Contact person</w:t>
            </w:r>
          </w:p>
        </w:tc>
      </w:tr>
      <w:tr w:rsidR="00501C68" w:rsidTr="00501C68">
        <w:tc>
          <w:tcPr>
            <w:tcW w:w="1776" w:type="dxa"/>
          </w:tcPr>
          <w:p w:rsidR="00501C68" w:rsidRPr="00796998" w:rsidRDefault="00501C68" w:rsidP="00501C68">
            <w:pPr>
              <w:rPr>
                <w:rFonts w:cstheme="minorHAnsi"/>
                <w:b/>
                <w:color w:val="000000" w:themeColor="text1"/>
              </w:rPr>
            </w:pPr>
            <w:r>
              <w:rPr>
                <w:rFonts w:cstheme="minorHAnsi"/>
                <w:b/>
                <w:color w:val="000000" w:themeColor="text1"/>
              </w:rPr>
              <w:t>CSBP</w:t>
            </w:r>
          </w:p>
        </w:tc>
        <w:tc>
          <w:tcPr>
            <w:tcW w:w="3043" w:type="dxa"/>
          </w:tcPr>
          <w:p w:rsidR="00501C68" w:rsidRDefault="00501C68" w:rsidP="00501C68">
            <w:pPr>
              <w:rPr>
                <w:rFonts w:eastAsia="Times New Roman" w:cstheme="minorHAnsi"/>
                <w:color w:val="000000" w:themeColor="text1"/>
              </w:rPr>
            </w:pPr>
            <w:r w:rsidRPr="00501C68">
              <w:rPr>
                <w:rFonts w:eastAsia="Times New Roman" w:cstheme="minorHAnsi"/>
                <w:color w:val="000000" w:themeColor="text1"/>
              </w:rPr>
              <w:t>CSBP Soil and Plant Laboratory</w:t>
            </w:r>
          </w:p>
          <w:p w:rsidR="00501C68" w:rsidRDefault="00501C68" w:rsidP="00501C68">
            <w:pPr>
              <w:rPr>
                <w:rFonts w:eastAsia="Times New Roman" w:cstheme="minorHAnsi"/>
                <w:color w:val="000000" w:themeColor="text1"/>
              </w:rPr>
            </w:pPr>
            <w:r w:rsidRPr="00501C68">
              <w:rPr>
                <w:rFonts w:eastAsia="Times New Roman" w:cstheme="minorHAnsi"/>
                <w:color w:val="000000" w:themeColor="text1"/>
              </w:rPr>
              <w:t>2 Altona Street</w:t>
            </w:r>
          </w:p>
          <w:p w:rsidR="00501C68" w:rsidRPr="00796998" w:rsidRDefault="00501C68" w:rsidP="00501C68">
            <w:pPr>
              <w:rPr>
                <w:rFonts w:cstheme="minorHAnsi"/>
                <w:b/>
                <w:color w:val="000000" w:themeColor="text1"/>
              </w:rPr>
            </w:pPr>
            <w:r w:rsidRPr="00501C68">
              <w:rPr>
                <w:rFonts w:eastAsia="Times New Roman" w:cstheme="minorHAnsi"/>
                <w:color w:val="000000" w:themeColor="text1"/>
              </w:rPr>
              <w:t>BIBRA LAKE WA 6163</w:t>
            </w:r>
          </w:p>
        </w:tc>
        <w:tc>
          <w:tcPr>
            <w:tcW w:w="3402" w:type="dxa"/>
          </w:tcPr>
          <w:p w:rsidR="00501C68" w:rsidRDefault="00501C68" w:rsidP="00501C68">
            <w:pPr>
              <w:rPr>
                <w:rFonts w:eastAsia="Times New Roman" w:cstheme="minorHAnsi"/>
                <w:color w:val="000000" w:themeColor="text1"/>
              </w:rPr>
            </w:pPr>
            <w:r>
              <w:rPr>
                <w:rFonts w:eastAsia="Times New Roman" w:cstheme="minorHAnsi"/>
                <w:color w:val="000000" w:themeColor="text1"/>
              </w:rPr>
              <w:t>Phone: (08) 9434 4600</w:t>
            </w:r>
          </w:p>
          <w:p w:rsidR="00501C68" w:rsidRDefault="00501C68" w:rsidP="00501C68">
            <w:pPr>
              <w:rPr>
                <w:rFonts w:eastAsia="Times New Roman" w:cstheme="minorHAnsi"/>
                <w:color w:val="000000" w:themeColor="text1"/>
              </w:rPr>
            </w:pPr>
            <w:r>
              <w:rPr>
                <w:rFonts w:eastAsia="Times New Roman" w:cstheme="minorHAnsi"/>
                <w:color w:val="000000" w:themeColor="text1"/>
              </w:rPr>
              <w:t xml:space="preserve">Email: </w:t>
            </w:r>
            <w:r w:rsidRPr="00501C68">
              <w:rPr>
                <w:rFonts w:eastAsia="Times New Roman" w:cstheme="minorHAnsi"/>
                <w:color w:val="000000" w:themeColor="text1"/>
              </w:rPr>
              <w:t>analysis@csbp.com.au</w:t>
            </w:r>
          </w:p>
          <w:p w:rsidR="00501C68" w:rsidRPr="00796998" w:rsidRDefault="00501C68" w:rsidP="00501C68">
            <w:pPr>
              <w:rPr>
                <w:rFonts w:cstheme="minorHAnsi"/>
                <w:b/>
                <w:color w:val="000000" w:themeColor="text1"/>
              </w:rPr>
            </w:pPr>
          </w:p>
        </w:tc>
      </w:tr>
    </w:tbl>
    <w:p w:rsidR="00501C68" w:rsidRDefault="00501C68" w:rsidP="00501C68">
      <w:pPr>
        <w:pStyle w:val="Default"/>
      </w:pPr>
    </w:p>
    <w:p w:rsidR="00B65CFC" w:rsidRDefault="00B62D94" w:rsidP="00B62D94">
      <w:pPr>
        <w:pStyle w:val="ListParagraph"/>
        <w:numPr>
          <w:ilvl w:val="0"/>
          <w:numId w:val="23"/>
        </w:numPr>
        <w:spacing w:after="0"/>
      </w:pPr>
      <w:r>
        <w:rPr>
          <w:b/>
        </w:rPr>
        <w:t>ARCHIVING</w:t>
      </w:r>
      <w:r w:rsidR="00B65CFC">
        <w:t>:</w:t>
      </w:r>
    </w:p>
    <w:p w:rsidR="00271E62" w:rsidRDefault="00271E62" w:rsidP="00271E62">
      <w:pPr>
        <w:pStyle w:val="ListParagraph"/>
        <w:numPr>
          <w:ilvl w:val="0"/>
          <w:numId w:val="9"/>
        </w:numPr>
        <w:spacing w:after="0"/>
      </w:pPr>
      <w:r>
        <w:t xml:space="preserve">Remaining soil to be sent to </w:t>
      </w:r>
      <w:r w:rsidRPr="007E7974">
        <w:t>CSIRO National Soils Archive, Canberra</w:t>
      </w:r>
      <w:r w:rsidR="001F4F66">
        <w:t>.</w:t>
      </w:r>
    </w:p>
    <w:p w:rsidR="00EB6117" w:rsidRDefault="00EB6117" w:rsidP="00271E62">
      <w:pPr>
        <w:pStyle w:val="ListParagraph"/>
        <w:numPr>
          <w:ilvl w:val="0"/>
          <w:numId w:val="9"/>
        </w:numPr>
        <w:spacing w:after="0"/>
      </w:pPr>
      <w:r>
        <w:t>Samples must be air dried (or oven dried at 40 degrees Celsius)</w:t>
      </w:r>
    </w:p>
    <w:p w:rsidR="00271E62" w:rsidRDefault="00271E62" w:rsidP="00271E62">
      <w:pPr>
        <w:pStyle w:val="ListParagraph"/>
        <w:numPr>
          <w:ilvl w:val="0"/>
          <w:numId w:val="9"/>
        </w:numPr>
        <w:spacing w:after="0"/>
      </w:pPr>
      <w:r>
        <w:t>M</w:t>
      </w:r>
      <w:r w:rsidR="00FA3FAA" w:rsidRPr="007E7974">
        <w:t>inimum 200</w:t>
      </w:r>
      <w:r w:rsidR="00784A5B">
        <w:t>g</w:t>
      </w:r>
      <w:r>
        <w:t xml:space="preserve"> </w:t>
      </w:r>
      <w:r w:rsidR="00FA3FAA" w:rsidRPr="007E7974">
        <w:t xml:space="preserve">dry weight to be sent </w:t>
      </w:r>
      <w:r w:rsidR="00FA3FAA">
        <w:t xml:space="preserve">in </w:t>
      </w:r>
      <w:r>
        <w:t xml:space="preserve">approved </w:t>
      </w:r>
      <w:r w:rsidR="00FA3FAA">
        <w:t xml:space="preserve">containers </w:t>
      </w:r>
      <w:r>
        <w:t>(</w:t>
      </w:r>
      <w:proofErr w:type="spellStart"/>
      <w:r>
        <w:t>Cospak</w:t>
      </w:r>
      <w:proofErr w:type="spellEnd"/>
      <w:r>
        <w:t xml:space="preserve"> 500mL or 1L polyethylene containers cat # A500 or A572) labelled with BPA provided unique identifier</w:t>
      </w:r>
      <w:r w:rsidR="001F4F66">
        <w:t>.</w:t>
      </w:r>
    </w:p>
    <w:p w:rsidR="003466A4" w:rsidRDefault="003466A4" w:rsidP="003466A4">
      <w:pPr>
        <w:pStyle w:val="ListParagraph"/>
        <w:numPr>
          <w:ilvl w:val="0"/>
          <w:numId w:val="9"/>
        </w:numPr>
        <w:spacing w:after="0"/>
      </w:pPr>
      <w:r>
        <w:t xml:space="preserve">Email Linda </w:t>
      </w:r>
      <w:proofErr w:type="spellStart"/>
      <w:r>
        <w:t>Karssies</w:t>
      </w:r>
      <w:proofErr w:type="spellEnd"/>
      <w:r>
        <w:t xml:space="preserve"> at the address below when you are sending samples for archive so they are aware of their impending arrival.</w:t>
      </w:r>
    </w:p>
    <w:p w:rsidR="00501C68" w:rsidRDefault="00501C68" w:rsidP="00501C68">
      <w:pPr>
        <w:spacing w:after="0"/>
      </w:pPr>
    </w:p>
    <w:tbl>
      <w:tblPr>
        <w:tblStyle w:val="TableGrid"/>
        <w:tblW w:w="0" w:type="auto"/>
        <w:tblInd w:w="534" w:type="dxa"/>
        <w:tblLook w:val="04A0"/>
      </w:tblPr>
      <w:tblGrid>
        <w:gridCol w:w="1776"/>
        <w:gridCol w:w="3043"/>
        <w:gridCol w:w="3402"/>
      </w:tblGrid>
      <w:tr w:rsidR="00501C68" w:rsidTr="006F28E4">
        <w:tc>
          <w:tcPr>
            <w:tcW w:w="1776" w:type="dxa"/>
            <w:shd w:val="clear" w:color="auto" w:fill="8DB3E2" w:themeFill="text2" w:themeFillTint="66"/>
          </w:tcPr>
          <w:p w:rsidR="00501C68" w:rsidRPr="00796998" w:rsidRDefault="00501C68" w:rsidP="00501C68">
            <w:pPr>
              <w:rPr>
                <w:rFonts w:cstheme="minorHAnsi"/>
                <w:b/>
                <w:color w:val="000000" w:themeColor="text1"/>
              </w:rPr>
            </w:pPr>
            <w:r>
              <w:rPr>
                <w:rFonts w:cstheme="minorHAnsi"/>
                <w:b/>
                <w:color w:val="000000" w:themeColor="text1"/>
              </w:rPr>
              <w:t>Facility</w:t>
            </w:r>
          </w:p>
        </w:tc>
        <w:tc>
          <w:tcPr>
            <w:tcW w:w="3043" w:type="dxa"/>
            <w:shd w:val="clear" w:color="auto" w:fill="8DB3E2" w:themeFill="text2" w:themeFillTint="66"/>
          </w:tcPr>
          <w:p w:rsidR="00501C68" w:rsidRPr="00796998" w:rsidRDefault="00501C68" w:rsidP="00501C68">
            <w:pPr>
              <w:rPr>
                <w:rFonts w:cstheme="minorHAnsi"/>
                <w:b/>
                <w:color w:val="000000" w:themeColor="text1"/>
              </w:rPr>
            </w:pPr>
            <w:r>
              <w:rPr>
                <w:rFonts w:cstheme="minorHAnsi"/>
                <w:b/>
                <w:color w:val="000000" w:themeColor="text1"/>
              </w:rPr>
              <w:t>Address</w:t>
            </w:r>
          </w:p>
        </w:tc>
        <w:tc>
          <w:tcPr>
            <w:tcW w:w="3402" w:type="dxa"/>
            <w:shd w:val="clear" w:color="auto" w:fill="8DB3E2" w:themeFill="text2" w:themeFillTint="66"/>
          </w:tcPr>
          <w:p w:rsidR="00501C68" w:rsidRPr="00796998" w:rsidRDefault="00501C68" w:rsidP="00501C68">
            <w:pPr>
              <w:rPr>
                <w:rFonts w:cstheme="minorHAnsi"/>
                <w:b/>
                <w:color w:val="000000" w:themeColor="text1"/>
              </w:rPr>
            </w:pPr>
            <w:r>
              <w:rPr>
                <w:rFonts w:cstheme="minorHAnsi"/>
                <w:b/>
                <w:color w:val="000000" w:themeColor="text1"/>
              </w:rPr>
              <w:t>Contact person</w:t>
            </w:r>
          </w:p>
        </w:tc>
      </w:tr>
      <w:tr w:rsidR="00501C68" w:rsidTr="00501C68">
        <w:tc>
          <w:tcPr>
            <w:tcW w:w="1776" w:type="dxa"/>
          </w:tcPr>
          <w:p w:rsidR="00501C68" w:rsidRPr="00796998" w:rsidRDefault="00B035A6" w:rsidP="00501C68">
            <w:pPr>
              <w:rPr>
                <w:rFonts w:cstheme="minorHAnsi"/>
                <w:b/>
                <w:color w:val="000000" w:themeColor="text1"/>
              </w:rPr>
            </w:pPr>
            <w:r>
              <w:rPr>
                <w:rFonts w:cstheme="minorHAnsi"/>
                <w:b/>
                <w:color w:val="000000" w:themeColor="text1"/>
              </w:rPr>
              <w:t>CSIRO National Soils Archive</w:t>
            </w:r>
          </w:p>
        </w:tc>
        <w:tc>
          <w:tcPr>
            <w:tcW w:w="3043" w:type="dxa"/>
          </w:tcPr>
          <w:p w:rsidR="00B035A6" w:rsidRPr="00B035A6" w:rsidRDefault="00B035A6" w:rsidP="00B035A6">
            <w:pPr>
              <w:rPr>
                <w:rFonts w:eastAsia="Times New Roman" w:cstheme="minorHAnsi"/>
                <w:color w:val="000000" w:themeColor="text1"/>
              </w:rPr>
            </w:pPr>
            <w:r w:rsidRPr="00B035A6">
              <w:rPr>
                <w:rFonts w:eastAsia="Times New Roman" w:cstheme="minorHAnsi"/>
                <w:color w:val="000000" w:themeColor="text1"/>
              </w:rPr>
              <w:t>National Soils Archive</w:t>
            </w:r>
          </w:p>
          <w:p w:rsidR="00B035A6" w:rsidRPr="00B035A6" w:rsidRDefault="00B035A6" w:rsidP="00B035A6">
            <w:pPr>
              <w:rPr>
                <w:rFonts w:eastAsia="Times New Roman" w:cstheme="minorHAnsi"/>
                <w:color w:val="000000" w:themeColor="text1"/>
              </w:rPr>
            </w:pPr>
            <w:r w:rsidRPr="00B035A6">
              <w:rPr>
                <w:rFonts w:eastAsia="Times New Roman" w:cstheme="minorHAnsi"/>
                <w:color w:val="000000" w:themeColor="text1"/>
              </w:rPr>
              <w:t xml:space="preserve">CSIRO Land and Water, </w:t>
            </w:r>
          </w:p>
          <w:p w:rsidR="00B035A6" w:rsidRPr="00B035A6" w:rsidRDefault="00B035A6" w:rsidP="00B035A6">
            <w:pPr>
              <w:rPr>
                <w:rFonts w:eastAsia="Times New Roman" w:cstheme="minorHAnsi"/>
                <w:color w:val="000000" w:themeColor="text1"/>
              </w:rPr>
            </w:pPr>
            <w:r w:rsidRPr="00B035A6">
              <w:rPr>
                <w:rFonts w:eastAsia="Times New Roman" w:cstheme="minorHAnsi"/>
                <w:color w:val="000000" w:themeColor="text1"/>
              </w:rPr>
              <w:t xml:space="preserve">Black Mountain, </w:t>
            </w:r>
          </w:p>
          <w:p w:rsidR="00501C68" w:rsidRPr="00796998" w:rsidRDefault="00B035A6" w:rsidP="00B035A6">
            <w:pPr>
              <w:rPr>
                <w:rFonts w:cstheme="minorHAnsi"/>
                <w:b/>
                <w:color w:val="000000" w:themeColor="text1"/>
              </w:rPr>
            </w:pPr>
            <w:r w:rsidRPr="00B035A6">
              <w:rPr>
                <w:rFonts w:eastAsia="Times New Roman" w:cstheme="minorHAnsi"/>
                <w:color w:val="000000" w:themeColor="text1"/>
              </w:rPr>
              <w:t>Canberra ACT 2601</w:t>
            </w:r>
          </w:p>
        </w:tc>
        <w:tc>
          <w:tcPr>
            <w:tcW w:w="3402" w:type="dxa"/>
          </w:tcPr>
          <w:p w:rsidR="00501C68" w:rsidRPr="00B035A6" w:rsidRDefault="00501C68" w:rsidP="00501C68">
            <w:pPr>
              <w:rPr>
                <w:rFonts w:eastAsia="Times New Roman" w:cstheme="minorHAnsi"/>
                <w:bCs/>
                <w:color w:val="000000" w:themeColor="text1"/>
              </w:rPr>
            </w:pPr>
            <w:r w:rsidRPr="00B035A6">
              <w:rPr>
                <w:rFonts w:eastAsia="Times New Roman" w:cstheme="minorHAnsi"/>
                <w:bCs/>
                <w:color w:val="000000" w:themeColor="text1"/>
              </w:rPr>
              <w:t xml:space="preserve">Linda </w:t>
            </w:r>
            <w:proofErr w:type="spellStart"/>
            <w:r w:rsidRPr="00B035A6">
              <w:rPr>
                <w:rFonts w:eastAsia="Times New Roman" w:cstheme="minorHAnsi"/>
                <w:bCs/>
                <w:color w:val="000000" w:themeColor="text1"/>
              </w:rPr>
              <w:t>Karssies</w:t>
            </w:r>
            <w:proofErr w:type="spellEnd"/>
            <w:r w:rsidRPr="00B035A6">
              <w:rPr>
                <w:rFonts w:eastAsia="Times New Roman" w:cstheme="minorHAnsi"/>
                <w:bCs/>
                <w:color w:val="000000" w:themeColor="text1"/>
              </w:rPr>
              <w:t xml:space="preserve"> </w:t>
            </w:r>
          </w:p>
          <w:p w:rsidR="00501C68" w:rsidRDefault="00501C68" w:rsidP="00501C68">
            <w:pPr>
              <w:rPr>
                <w:rFonts w:eastAsia="Times New Roman" w:cstheme="minorHAnsi"/>
                <w:color w:val="000000" w:themeColor="text1"/>
              </w:rPr>
            </w:pPr>
            <w:r>
              <w:rPr>
                <w:rFonts w:eastAsia="Times New Roman" w:cstheme="minorHAnsi"/>
                <w:color w:val="000000" w:themeColor="text1"/>
              </w:rPr>
              <w:t>Phone: (</w:t>
            </w:r>
            <w:r w:rsidRPr="00B035A6">
              <w:rPr>
                <w:rFonts w:eastAsia="Times New Roman" w:cstheme="minorHAnsi"/>
                <w:color w:val="000000" w:themeColor="text1"/>
              </w:rPr>
              <w:t>02) 6246 5824</w:t>
            </w:r>
          </w:p>
          <w:p w:rsidR="00501C68" w:rsidRDefault="00501C68" w:rsidP="00501C68">
            <w:pPr>
              <w:rPr>
                <w:rFonts w:eastAsia="Times New Roman" w:cstheme="minorHAnsi"/>
                <w:color w:val="000000" w:themeColor="text1"/>
              </w:rPr>
            </w:pPr>
            <w:r>
              <w:rPr>
                <w:rFonts w:eastAsia="Times New Roman" w:cstheme="minorHAnsi"/>
                <w:color w:val="000000" w:themeColor="text1"/>
              </w:rPr>
              <w:t xml:space="preserve">Email: </w:t>
            </w:r>
            <w:hyperlink r:id="rId15" w:history="1">
              <w:r>
                <w:rPr>
                  <w:rStyle w:val="Hyperlink"/>
                </w:rPr>
                <w:t>linda.karssies@csiro.au</w:t>
              </w:r>
            </w:hyperlink>
          </w:p>
          <w:p w:rsidR="00501C68" w:rsidRPr="00796998" w:rsidRDefault="00501C68" w:rsidP="00501C68">
            <w:pPr>
              <w:rPr>
                <w:rFonts w:cstheme="minorHAnsi"/>
                <w:b/>
                <w:color w:val="000000" w:themeColor="text1"/>
              </w:rPr>
            </w:pPr>
          </w:p>
        </w:tc>
      </w:tr>
    </w:tbl>
    <w:p w:rsidR="002046AC" w:rsidRDefault="002046AC" w:rsidP="002046AC">
      <w:pPr>
        <w:spacing w:after="0"/>
      </w:pPr>
    </w:p>
    <w:p w:rsidR="00ED4BAF" w:rsidRDefault="00ED4BAF" w:rsidP="002046AC">
      <w:pPr>
        <w:spacing w:after="0"/>
      </w:pPr>
    </w:p>
    <w:p w:rsidR="00ED4BAF" w:rsidRPr="00ED4BAF" w:rsidRDefault="00ED4BAF" w:rsidP="00ED4BAF">
      <w:pPr>
        <w:pStyle w:val="ListParagraph"/>
        <w:numPr>
          <w:ilvl w:val="0"/>
          <w:numId w:val="23"/>
        </w:numPr>
        <w:spacing w:after="0"/>
        <w:rPr>
          <w:b/>
        </w:rPr>
      </w:pPr>
      <w:r w:rsidRPr="00ED4BAF">
        <w:rPr>
          <w:b/>
        </w:rPr>
        <w:t>SITE CONTEXTUAL DATA:</w:t>
      </w:r>
    </w:p>
    <w:p w:rsidR="002046AC" w:rsidRDefault="002046AC" w:rsidP="00B62D94">
      <w:pPr>
        <w:pStyle w:val="ListParagraph"/>
        <w:numPr>
          <w:ilvl w:val="0"/>
          <w:numId w:val="30"/>
        </w:numPr>
      </w:pPr>
      <w:r>
        <w:t xml:space="preserve">Submit all contextual data into </w:t>
      </w:r>
      <w:proofErr w:type="gramStart"/>
      <w:r w:rsidR="001A164D">
        <w:t>the excel</w:t>
      </w:r>
      <w:proofErr w:type="gramEnd"/>
      <w:r w:rsidR="001A164D">
        <w:t xml:space="preserve"> flat file sheet supplied by Anna Fitzgerald.</w:t>
      </w:r>
    </w:p>
    <w:p w:rsidR="00B62D94" w:rsidRDefault="00B62D94">
      <w:r>
        <w:br w:type="page"/>
      </w:r>
    </w:p>
    <w:p w:rsidR="00444B87" w:rsidRDefault="00444B87" w:rsidP="00444B87">
      <w:pPr>
        <w:pStyle w:val="ListParagraph"/>
        <w:ind w:left="360"/>
      </w:pPr>
    </w:p>
    <w:p w:rsidR="00784A5B" w:rsidRDefault="00784A5B" w:rsidP="002046AC">
      <w:pPr>
        <w:pStyle w:val="ListParagraph"/>
        <w:ind w:left="360"/>
      </w:pPr>
      <w:r>
        <w:rPr>
          <w:b/>
          <w:u w:val="single"/>
        </w:rPr>
        <w:t xml:space="preserve">DNA </w:t>
      </w:r>
      <w:r w:rsidR="00F43B24">
        <w:rPr>
          <w:b/>
          <w:u w:val="single"/>
        </w:rPr>
        <w:t>EXTRACTION WORKFLOW</w:t>
      </w:r>
      <w:r>
        <w:rPr>
          <w:b/>
          <w:u w:val="single"/>
        </w:rPr>
        <w:t xml:space="preserve"> (AGRF Adelaide):</w:t>
      </w:r>
    </w:p>
    <w:p w:rsidR="00344EDC" w:rsidRDefault="009547C6" w:rsidP="00B62D94">
      <w:pPr>
        <w:pStyle w:val="ListParagraph"/>
        <w:numPr>
          <w:ilvl w:val="0"/>
          <w:numId w:val="30"/>
        </w:numPr>
      </w:pPr>
      <w:r>
        <w:t>D</w:t>
      </w:r>
      <w:r w:rsidR="00BA6DC3">
        <w:t xml:space="preserve">NA extracted from each sample in triplicate using the Mo Bio </w:t>
      </w:r>
      <w:proofErr w:type="spellStart"/>
      <w:r w:rsidR="00BA6DC3">
        <w:t>PowerLyser</w:t>
      </w:r>
      <w:proofErr w:type="spellEnd"/>
      <w:r w:rsidR="00BA6DC3">
        <w:t xml:space="preserve"> Power Soil DNA extraction kit</w:t>
      </w:r>
      <w:r w:rsidR="00030B7C">
        <w:t xml:space="preserve"> (250mg input into each extraction)</w:t>
      </w:r>
      <w:r w:rsidR="001F4F66">
        <w:t>.</w:t>
      </w:r>
    </w:p>
    <w:p w:rsidR="00030B7C" w:rsidRDefault="00030B7C" w:rsidP="00030B7C">
      <w:pPr>
        <w:pStyle w:val="ListParagraph"/>
        <w:numPr>
          <w:ilvl w:val="0"/>
          <w:numId w:val="38"/>
        </w:numPr>
      </w:pPr>
      <w:r>
        <w:t>For consistency if added DNA output is required an increased number of extractions will be performed and pooled and noted in the metadata (rather than increasing the soil input into an extraction)</w:t>
      </w:r>
    </w:p>
    <w:p w:rsidR="007A187C" w:rsidRDefault="007A187C" w:rsidP="007A187C">
      <w:pPr>
        <w:pStyle w:val="ListParagraph"/>
      </w:pPr>
    </w:p>
    <w:p w:rsidR="007A187C" w:rsidRDefault="00BA6DC3" w:rsidP="007A187C">
      <w:pPr>
        <w:pStyle w:val="ListParagraph"/>
        <w:numPr>
          <w:ilvl w:val="0"/>
          <w:numId w:val="30"/>
        </w:numPr>
      </w:pPr>
      <w:r>
        <w:t>DNA replicate extractions pooled</w:t>
      </w:r>
      <w:r w:rsidR="001F4F66">
        <w:t>.</w:t>
      </w:r>
    </w:p>
    <w:p w:rsidR="007A187C" w:rsidRDefault="007A187C" w:rsidP="007A187C">
      <w:pPr>
        <w:pStyle w:val="ListParagraph"/>
      </w:pPr>
    </w:p>
    <w:p w:rsidR="001E77AE" w:rsidRDefault="001E77AE" w:rsidP="00B62D94">
      <w:pPr>
        <w:pStyle w:val="ListParagraph"/>
        <w:numPr>
          <w:ilvl w:val="0"/>
          <w:numId w:val="30"/>
        </w:numPr>
      </w:pPr>
      <w:r>
        <w:t xml:space="preserve">DNA extractions will be named using the last 4-5 digits of the soil sample unique identifier followed by an underscore and the extraction number e.g. sample 102.100.100/8202 would be called </w:t>
      </w:r>
      <w:r w:rsidRPr="001E77AE">
        <w:rPr>
          <w:b/>
        </w:rPr>
        <w:t>8202_1</w:t>
      </w:r>
      <w:r>
        <w:t xml:space="preserve"> and if a repeat extraction is required at a later date the DNA sample would be labelled </w:t>
      </w:r>
      <w:r w:rsidRPr="001E77AE">
        <w:rPr>
          <w:b/>
        </w:rPr>
        <w:t>8202_2</w:t>
      </w:r>
      <w:r>
        <w:t xml:space="preserve"> etc</w:t>
      </w:r>
    </w:p>
    <w:p w:rsidR="007A187C" w:rsidRDefault="007A187C" w:rsidP="007A187C">
      <w:pPr>
        <w:pStyle w:val="ListParagraph"/>
      </w:pPr>
    </w:p>
    <w:p w:rsidR="003C79DE" w:rsidRPr="00311CAD" w:rsidRDefault="003C79DE" w:rsidP="00B62D94">
      <w:pPr>
        <w:pStyle w:val="ListParagraph"/>
        <w:numPr>
          <w:ilvl w:val="0"/>
          <w:numId w:val="30"/>
        </w:numPr>
      </w:pPr>
      <w:r w:rsidRPr="00311CAD">
        <w:t>DNA sample QC</w:t>
      </w:r>
      <w:r w:rsidR="001F4F66">
        <w:t>:</w:t>
      </w:r>
    </w:p>
    <w:p w:rsidR="003C79DE" w:rsidRPr="00311CAD" w:rsidRDefault="003C79DE" w:rsidP="003C79DE">
      <w:pPr>
        <w:pStyle w:val="ListParagraph"/>
        <w:numPr>
          <w:ilvl w:val="0"/>
          <w:numId w:val="20"/>
        </w:numPr>
      </w:pPr>
      <w:proofErr w:type="spellStart"/>
      <w:r w:rsidRPr="00311CAD">
        <w:t>Fluorimetric</w:t>
      </w:r>
      <w:proofErr w:type="spellEnd"/>
      <w:r w:rsidRPr="00311CAD">
        <w:t xml:space="preserve"> quantification of DNA</w:t>
      </w:r>
      <w:r w:rsidR="007F52D1">
        <w:t xml:space="preserve"> </w:t>
      </w:r>
      <w:r w:rsidR="00784A5B">
        <w:t xml:space="preserve">measured by </w:t>
      </w:r>
      <w:proofErr w:type="spellStart"/>
      <w:r w:rsidR="00784A5B">
        <w:t>picogreen</w:t>
      </w:r>
      <w:proofErr w:type="spellEnd"/>
      <w:r w:rsidR="00784A5B">
        <w:t xml:space="preserve"> </w:t>
      </w:r>
      <w:proofErr w:type="spellStart"/>
      <w:r w:rsidR="00784A5B">
        <w:t>fluorometry</w:t>
      </w:r>
      <w:proofErr w:type="spellEnd"/>
      <w:r w:rsidR="001A164D">
        <w:t xml:space="preserve"> </w:t>
      </w:r>
      <w:r w:rsidR="001A164D" w:rsidRPr="001A164D">
        <w:t>(samples must have greater than 1</w:t>
      </w:r>
      <w:r w:rsidR="007F52D1" w:rsidRPr="001A164D">
        <w:t>ng/</w:t>
      </w:r>
      <w:proofErr w:type="spellStart"/>
      <w:r w:rsidR="007F52D1" w:rsidRPr="001A164D">
        <w:t>ul</w:t>
      </w:r>
      <w:proofErr w:type="spellEnd"/>
      <w:r w:rsidR="001A164D" w:rsidRPr="001A164D">
        <w:t xml:space="preserve"> to continue in workflow</w:t>
      </w:r>
      <w:r w:rsidR="007F52D1" w:rsidRPr="001A164D">
        <w:t>)</w:t>
      </w:r>
    </w:p>
    <w:p w:rsidR="007A187C" w:rsidRDefault="003C79DE" w:rsidP="007A187C">
      <w:pPr>
        <w:pStyle w:val="ListParagraph"/>
        <w:numPr>
          <w:ilvl w:val="0"/>
          <w:numId w:val="20"/>
        </w:numPr>
      </w:pPr>
      <w:r w:rsidRPr="00311CAD">
        <w:t>Qualitative PCR assay for polymerase inhibition</w:t>
      </w:r>
      <w:r w:rsidR="00E62B70">
        <w:t xml:space="preserve"> performed on the extracted samples</w:t>
      </w:r>
      <w:r w:rsidR="00784A5B">
        <w:t xml:space="preserve"> (16s – V3-V8 region)</w:t>
      </w:r>
      <w:r w:rsidR="00E62B70">
        <w:t>:</w:t>
      </w:r>
    </w:p>
    <w:p w:rsidR="00E62B70" w:rsidRDefault="00E62B70" w:rsidP="00E62B70">
      <w:pPr>
        <w:pStyle w:val="ListParagraph"/>
        <w:numPr>
          <w:ilvl w:val="0"/>
          <w:numId w:val="36"/>
        </w:numPr>
      </w:pPr>
      <w:r>
        <w:t xml:space="preserve">Samples that do not inhibit amplification will be deemed appropriate for further processing. </w:t>
      </w:r>
    </w:p>
    <w:p w:rsidR="007F52D1" w:rsidRDefault="00E62B70" w:rsidP="00E62B70">
      <w:pPr>
        <w:pStyle w:val="ListParagraph"/>
        <w:numPr>
          <w:ilvl w:val="0"/>
          <w:numId w:val="36"/>
        </w:numPr>
      </w:pPr>
      <w:r>
        <w:t>Samples with PCR inhibiting activity will be diluted 1:100 and retested. If that dilution no longer inhibits PCR, it will be forwarded for further pro</w:t>
      </w:r>
      <w:r w:rsidR="007F52D1">
        <w:t xml:space="preserve">cessing. </w:t>
      </w:r>
    </w:p>
    <w:p w:rsidR="00E62B70" w:rsidRDefault="007F52D1" w:rsidP="00E62B70">
      <w:pPr>
        <w:pStyle w:val="ListParagraph"/>
        <w:numPr>
          <w:ilvl w:val="0"/>
          <w:numId w:val="36"/>
        </w:numPr>
      </w:pPr>
      <w:r>
        <w:t>If still inhibitory after 1:100</w:t>
      </w:r>
      <w:r w:rsidR="00E62B70">
        <w:t xml:space="preserve"> sample will be put aside for further troubleshooting (e.g. purification on the Aurora platform).</w:t>
      </w:r>
    </w:p>
    <w:p w:rsidR="007F52D1" w:rsidRDefault="007F52D1" w:rsidP="007F52D1">
      <w:pPr>
        <w:pStyle w:val="ListParagraph"/>
        <w:numPr>
          <w:ilvl w:val="0"/>
          <w:numId w:val="35"/>
        </w:numPr>
      </w:pPr>
      <w:r>
        <w:t xml:space="preserve">Samples that don’t pass QC after Aurora </w:t>
      </w:r>
      <w:r w:rsidR="00784A5B">
        <w:t>purification will be</w:t>
      </w:r>
      <w:r>
        <w:t xml:space="preserve"> </w:t>
      </w:r>
      <w:r w:rsidR="00784A5B">
        <w:t>re-extracted</w:t>
      </w:r>
      <w:r w:rsidR="001A164D">
        <w:t xml:space="preserve"> once more with option to increase number of reactions if from a low biomass area – if fail a second time samples will be put aside for trouble shooting at CSIRO</w:t>
      </w:r>
      <w:r>
        <w:t xml:space="preserve"> </w:t>
      </w:r>
    </w:p>
    <w:p w:rsidR="002902FD" w:rsidRDefault="002902FD" w:rsidP="007F52D1">
      <w:pPr>
        <w:pStyle w:val="ListParagraph"/>
        <w:numPr>
          <w:ilvl w:val="0"/>
          <w:numId w:val="35"/>
        </w:numPr>
      </w:pPr>
      <w:r>
        <w:t xml:space="preserve">Samples undergoing </w:t>
      </w:r>
      <w:proofErr w:type="spellStart"/>
      <w:r>
        <w:t>metagenomic</w:t>
      </w:r>
      <w:proofErr w:type="spellEnd"/>
      <w:r>
        <w:t xml:space="preserve"> analysis to be cleaned using </w:t>
      </w:r>
      <w:proofErr w:type="spellStart"/>
      <w:r w:rsidR="00397529" w:rsidRPr="00397529">
        <w:t>zymo</w:t>
      </w:r>
      <w:proofErr w:type="spellEnd"/>
      <w:r w:rsidR="00397529" w:rsidRPr="00397529">
        <w:t xml:space="preserve"> concentrate</w:t>
      </w:r>
      <w:r w:rsidR="008030B4" w:rsidRPr="00397529">
        <w:t xml:space="preserve"> columns</w:t>
      </w:r>
    </w:p>
    <w:p w:rsidR="00E62B70" w:rsidRDefault="00784A5B" w:rsidP="00E62B70">
      <w:pPr>
        <w:pStyle w:val="ListParagraph"/>
        <w:numPr>
          <w:ilvl w:val="0"/>
          <w:numId w:val="35"/>
        </w:numPr>
      </w:pPr>
      <w:r>
        <w:t>QC r</w:t>
      </w:r>
      <w:r w:rsidR="00E62B70">
        <w:t>esults to be entered into Google doc</w:t>
      </w:r>
    </w:p>
    <w:p w:rsidR="00E62B70" w:rsidRDefault="00146F4B" w:rsidP="00E62B70">
      <w:pPr>
        <w:pStyle w:val="ListParagraph"/>
        <w:ind w:left="1080"/>
      </w:pPr>
      <w:hyperlink r:id="rId16" w:anchor="gid=0" w:history="1">
        <w:r w:rsidR="001A164D" w:rsidRPr="00B02616">
          <w:rPr>
            <w:rStyle w:val="Hyperlink"/>
          </w:rPr>
          <w:t>https://docs.google.com/spreadsheet/ccc?key=0AvChXk8QAupBdGVxYmNXZjM4TG9yS2FmRXhQWkUtNFE&amp;usp=drive_web#gid=0</w:t>
        </w:r>
      </w:hyperlink>
    </w:p>
    <w:p w:rsidR="001A164D" w:rsidRDefault="001A164D" w:rsidP="00E62B70">
      <w:pPr>
        <w:pStyle w:val="ListParagraph"/>
        <w:ind w:left="1080"/>
      </w:pPr>
    </w:p>
    <w:p w:rsidR="00E62B70" w:rsidRDefault="00E62B70" w:rsidP="00E62B70">
      <w:pPr>
        <w:pStyle w:val="ListParagraph"/>
        <w:numPr>
          <w:ilvl w:val="0"/>
          <w:numId w:val="30"/>
        </w:numPr>
      </w:pPr>
      <w:r>
        <w:t>Samples that pass QC t</w:t>
      </w:r>
      <w:r w:rsidR="00784A5B">
        <w:t>o be sent to sequencing facilities</w:t>
      </w:r>
      <w:r>
        <w:t xml:space="preserve"> and EMP</w:t>
      </w:r>
      <w:r w:rsidR="001A164D">
        <w:t xml:space="preserve"> (only samples from top 0-10cm to be sent to EMP)</w:t>
      </w:r>
      <w:r>
        <w:t xml:space="preserve">. </w:t>
      </w:r>
    </w:p>
    <w:p w:rsidR="007A187C" w:rsidRDefault="007A187C" w:rsidP="007A187C">
      <w:pPr>
        <w:pStyle w:val="ListParagraph"/>
        <w:ind w:left="1080"/>
      </w:pPr>
    </w:p>
    <w:p w:rsidR="00B27791" w:rsidRDefault="00B27791" w:rsidP="00B62D94">
      <w:pPr>
        <w:pStyle w:val="ListParagraph"/>
        <w:numPr>
          <w:ilvl w:val="0"/>
          <w:numId w:val="30"/>
        </w:numPr>
      </w:pPr>
      <w:r>
        <w:t>Aliquot (5</w:t>
      </w:r>
      <w:r w:rsidR="007F52D1">
        <w:t>0</w:t>
      </w:r>
      <w:r>
        <w:t xml:space="preserve"> µL) taken for Earth </w:t>
      </w:r>
      <w:proofErr w:type="spellStart"/>
      <w:r>
        <w:t>Microbiome</w:t>
      </w:r>
      <w:proofErr w:type="spellEnd"/>
      <w:r>
        <w:t xml:space="preserve"> Project (EMP) </w:t>
      </w:r>
      <w:proofErr w:type="spellStart"/>
      <w:r>
        <w:t>Illumina</w:t>
      </w:r>
      <w:proofErr w:type="spellEnd"/>
      <w:r>
        <w:t xml:space="preserve"> analysis</w:t>
      </w:r>
      <w:r w:rsidR="00D36D03">
        <w:t xml:space="preserve"> (sent when DNA available from the total pool of samples requested by the EMP)</w:t>
      </w:r>
      <w:r>
        <w:t>.</w:t>
      </w:r>
    </w:p>
    <w:p w:rsidR="007A187C" w:rsidRDefault="007A187C" w:rsidP="007A187C">
      <w:pPr>
        <w:pStyle w:val="ListParagraph"/>
      </w:pPr>
    </w:p>
    <w:p w:rsidR="007A187C" w:rsidRDefault="0086172B" w:rsidP="00B62D94">
      <w:pPr>
        <w:pStyle w:val="ListParagraph"/>
        <w:numPr>
          <w:ilvl w:val="0"/>
          <w:numId w:val="30"/>
        </w:numPr>
      </w:pPr>
      <w:r>
        <w:t xml:space="preserve">  S</w:t>
      </w:r>
      <w:r w:rsidR="007A187C">
        <w:t>ample</w:t>
      </w:r>
      <w:r>
        <w:t>s (</w:t>
      </w:r>
      <w:r>
        <w:sym w:font="Symbol" w:char="F07E"/>
      </w:r>
      <w:r>
        <w:t>20ul)</w:t>
      </w:r>
      <w:r w:rsidR="007A187C">
        <w:t xml:space="preserve"> to be shipped in batches of 93 to AGRF Melbourne or </w:t>
      </w:r>
      <w:proofErr w:type="spellStart"/>
      <w:r w:rsidR="007A187C">
        <w:t>Ramaciotti</w:t>
      </w:r>
      <w:proofErr w:type="spellEnd"/>
      <w:r w:rsidR="007A187C">
        <w:t xml:space="preserve"> Centre, UNSW</w:t>
      </w:r>
    </w:p>
    <w:p w:rsidR="007A187C" w:rsidRDefault="007A187C" w:rsidP="007A187C">
      <w:pPr>
        <w:pStyle w:val="ListParagraph"/>
      </w:pPr>
      <w:r>
        <w:t>(</w:t>
      </w:r>
      <w:proofErr w:type="gramStart"/>
      <w:r>
        <w:t>leaving</w:t>
      </w:r>
      <w:proofErr w:type="gramEnd"/>
      <w:r>
        <w:t xml:space="preserve"> room for negative control, mock community positive control, BASE soil sample community positive control)</w:t>
      </w:r>
    </w:p>
    <w:p w:rsidR="007A187C" w:rsidRDefault="007A187C" w:rsidP="007A187C">
      <w:pPr>
        <w:pStyle w:val="ListParagraph"/>
      </w:pPr>
    </w:p>
    <w:p w:rsidR="0086172B" w:rsidRDefault="0086172B" w:rsidP="00784A5B">
      <w:pPr>
        <w:pStyle w:val="ListParagraph"/>
        <w:ind w:left="360"/>
        <w:rPr>
          <w:b/>
          <w:u w:val="single"/>
        </w:rPr>
      </w:pPr>
    </w:p>
    <w:p w:rsidR="001A164D" w:rsidRDefault="001A164D" w:rsidP="00784A5B">
      <w:pPr>
        <w:pStyle w:val="ListParagraph"/>
        <w:ind w:left="360"/>
        <w:rPr>
          <w:b/>
          <w:u w:val="single"/>
        </w:rPr>
      </w:pPr>
      <w:r>
        <w:rPr>
          <w:b/>
          <w:u w:val="single"/>
        </w:rPr>
        <w:t xml:space="preserve">AMPLICON </w:t>
      </w:r>
      <w:r w:rsidR="00F43B24">
        <w:rPr>
          <w:b/>
          <w:u w:val="single"/>
        </w:rPr>
        <w:t>SEQUENCING WORKFLOW</w:t>
      </w:r>
      <w:r>
        <w:rPr>
          <w:b/>
          <w:u w:val="single"/>
        </w:rPr>
        <w:t>:</w:t>
      </w:r>
    </w:p>
    <w:p w:rsidR="00784A5B" w:rsidRPr="001A164D" w:rsidRDefault="001A164D" w:rsidP="00784A5B">
      <w:pPr>
        <w:pStyle w:val="ListParagraph"/>
        <w:ind w:left="360"/>
      </w:pPr>
      <w:r w:rsidRPr="001A164D">
        <w:t xml:space="preserve">To be undertaken at </w:t>
      </w:r>
      <w:r w:rsidR="00784A5B" w:rsidRPr="001A164D">
        <w:t>AGRF Melbou</w:t>
      </w:r>
      <w:r w:rsidRPr="001A164D">
        <w:t xml:space="preserve">rne and </w:t>
      </w:r>
      <w:proofErr w:type="spellStart"/>
      <w:r w:rsidRPr="001A164D">
        <w:t>Ramaciotti</w:t>
      </w:r>
      <w:proofErr w:type="spellEnd"/>
      <w:r w:rsidRPr="001A164D">
        <w:t xml:space="preserve"> Centre, UNSW</w:t>
      </w:r>
    </w:p>
    <w:p w:rsidR="00784A5B" w:rsidRPr="00311CAD" w:rsidRDefault="00784A5B" w:rsidP="007A187C">
      <w:pPr>
        <w:pStyle w:val="ListParagraph"/>
      </w:pPr>
    </w:p>
    <w:p w:rsidR="00BA6DC3" w:rsidRDefault="00BA6DC3" w:rsidP="00B62D94">
      <w:pPr>
        <w:pStyle w:val="ListParagraph"/>
        <w:numPr>
          <w:ilvl w:val="0"/>
          <w:numId w:val="30"/>
        </w:numPr>
      </w:pPr>
      <w:proofErr w:type="spellStart"/>
      <w:r w:rsidRPr="00484A94">
        <w:rPr>
          <w:b/>
        </w:rPr>
        <w:t>Amplicon</w:t>
      </w:r>
      <w:proofErr w:type="spellEnd"/>
      <w:r w:rsidRPr="00484A94">
        <w:rPr>
          <w:b/>
        </w:rPr>
        <w:t xml:space="preserve"> generation</w:t>
      </w:r>
    </w:p>
    <w:p w:rsidR="00555E6B" w:rsidRDefault="00555E6B" w:rsidP="00555E6B">
      <w:pPr>
        <w:pStyle w:val="ListParagraph"/>
      </w:pPr>
      <w:r>
        <w:t xml:space="preserve">Two positive controls to be included </w:t>
      </w:r>
      <w:r w:rsidR="00F628CA">
        <w:t>with</w:t>
      </w:r>
      <w:r>
        <w:t xml:space="preserve"> each </w:t>
      </w:r>
      <w:r w:rsidR="00F628CA">
        <w:t>run</w:t>
      </w:r>
      <w:r>
        <w:t>:</w:t>
      </w:r>
    </w:p>
    <w:p w:rsidR="00021226" w:rsidRPr="00F628CA" w:rsidRDefault="00555E6B" w:rsidP="00F628CA">
      <w:pPr>
        <w:pStyle w:val="ListParagraph"/>
        <w:numPr>
          <w:ilvl w:val="0"/>
          <w:numId w:val="37"/>
        </w:numPr>
      </w:pPr>
      <w:r>
        <w:t xml:space="preserve">mock community positive </w:t>
      </w:r>
      <w:r w:rsidRPr="00F628CA">
        <w:t>control</w:t>
      </w:r>
      <w:r w:rsidR="00F628CA" w:rsidRPr="00F628CA">
        <w:t xml:space="preserve"> (</w:t>
      </w:r>
      <w:r w:rsidR="00021226" w:rsidRPr="00F628CA">
        <w:t xml:space="preserve">Bacterial </w:t>
      </w:r>
      <w:r w:rsidR="00F628CA" w:rsidRPr="00F628CA">
        <w:t>for 16s</w:t>
      </w:r>
      <w:r w:rsidR="00F628CA">
        <w:t xml:space="preserve"> and fungal for ITS and 18s)</w:t>
      </w:r>
    </w:p>
    <w:p w:rsidR="00555E6B" w:rsidRDefault="00555E6B" w:rsidP="00C10716">
      <w:pPr>
        <w:pStyle w:val="ListParagraph"/>
      </w:pPr>
      <w:r>
        <w:t>ii)</w:t>
      </w:r>
      <w:r w:rsidRPr="00555E6B">
        <w:t xml:space="preserve"> </w:t>
      </w:r>
      <w:r>
        <w:tab/>
        <w:t>BASE soil sample community positive control (pooled DNA extraction from samples</w:t>
      </w:r>
      <w:r w:rsidR="00C10716">
        <w:t xml:space="preserve"> as below – supplied at 25ng/</w:t>
      </w:r>
      <w:proofErr w:type="spellStart"/>
      <w:r w:rsidR="00C10716">
        <w:t>ul</w:t>
      </w:r>
      <w:proofErr w:type="spellEnd"/>
      <w:r>
        <w:t>)</w:t>
      </w:r>
    </w:p>
    <w:p w:rsidR="0086172B" w:rsidRDefault="0086172B" w:rsidP="00555E6B">
      <w:pPr>
        <w:pStyle w:val="ListParagraph"/>
      </w:pPr>
    </w:p>
    <w:tbl>
      <w:tblPr>
        <w:tblStyle w:val="TableGrid"/>
        <w:tblW w:w="0" w:type="auto"/>
        <w:tblInd w:w="720" w:type="dxa"/>
        <w:tblLook w:val="04A0"/>
      </w:tblPr>
      <w:tblGrid>
        <w:gridCol w:w="3499"/>
      </w:tblGrid>
      <w:tr w:rsidR="0086172B" w:rsidTr="00C10716">
        <w:tc>
          <w:tcPr>
            <w:tcW w:w="3499" w:type="dxa"/>
          </w:tcPr>
          <w:p w:rsidR="0086172B" w:rsidRDefault="00C10716" w:rsidP="00555E6B">
            <w:pPr>
              <w:pStyle w:val="ListParagraph"/>
              <w:ind w:left="0"/>
            </w:pPr>
            <w:r>
              <w:t xml:space="preserve">Samples included in  </w:t>
            </w:r>
            <w:r w:rsidR="0086172B">
              <w:t>BASE soil sample community positive control</w:t>
            </w:r>
          </w:p>
        </w:tc>
      </w:tr>
      <w:tr w:rsidR="0086172B" w:rsidTr="00C10716">
        <w:tc>
          <w:tcPr>
            <w:tcW w:w="3499" w:type="dxa"/>
          </w:tcPr>
          <w:p w:rsidR="0086172B" w:rsidRDefault="0086172B" w:rsidP="0086172B">
            <w:pPr>
              <w:jc w:val="center"/>
              <w:rPr>
                <w:rFonts w:ascii="Times New Roman" w:eastAsia="Times New Roman" w:hAnsi="Times New Roman"/>
                <w:sz w:val="24"/>
                <w:szCs w:val="24"/>
              </w:rPr>
            </w:pPr>
            <w:r w:rsidRPr="0086172B">
              <w:rPr>
                <w:rFonts w:ascii="Arial" w:eastAsia="Times New Roman" w:hAnsi="Arial" w:cs="Arial"/>
              </w:rPr>
              <w:t>7061</w:t>
            </w:r>
          </w:p>
          <w:p w:rsidR="0086172B" w:rsidRPr="0086172B" w:rsidRDefault="0086172B" w:rsidP="0086172B">
            <w:pPr>
              <w:jc w:val="center"/>
              <w:rPr>
                <w:rFonts w:ascii="Times New Roman" w:eastAsia="Times New Roman" w:hAnsi="Times New Roman"/>
                <w:sz w:val="24"/>
                <w:szCs w:val="24"/>
              </w:rPr>
            </w:pPr>
            <w:r w:rsidRPr="0086172B">
              <w:rPr>
                <w:rFonts w:ascii="Arial" w:eastAsia="Times New Roman" w:hAnsi="Arial" w:cs="Arial"/>
              </w:rPr>
              <w:t>9577</w:t>
            </w:r>
          </w:p>
          <w:p w:rsidR="0086172B" w:rsidRPr="0086172B" w:rsidRDefault="0086172B" w:rsidP="0086172B">
            <w:pPr>
              <w:jc w:val="center"/>
              <w:rPr>
                <w:rFonts w:ascii="Times New Roman" w:eastAsia="Times New Roman" w:hAnsi="Times New Roman"/>
                <w:sz w:val="24"/>
                <w:szCs w:val="24"/>
              </w:rPr>
            </w:pPr>
            <w:r w:rsidRPr="0086172B">
              <w:rPr>
                <w:rFonts w:ascii="Arial" w:eastAsia="Times New Roman" w:hAnsi="Arial" w:cs="Arial"/>
              </w:rPr>
              <w:t>8511</w:t>
            </w:r>
          </w:p>
          <w:p w:rsidR="0086172B" w:rsidRPr="0086172B" w:rsidRDefault="0086172B" w:rsidP="0086172B">
            <w:pPr>
              <w:jc w:val="center"/>
              <w:rPr>
                <w:rFonts w:ascii="Times New Roman" w:eastAsia="Times New Roman" w:hAnsi="Times New Roman"/>
                <w:sz w:val="24"/>
                <w:szCs w:val="24"/>
              </w:rPr>
            </w:pPr>
            <w:r w:rsidRPr="0086172B">
              <w:rPr>
                <w:rFonts w:ascii="Arial" w:eastAsia="Times New Roman" w:hAnsi="Arial" w:cs="Arial"/>
              </w:rPr>
              <w:t>8487</w:t>
            </w:r>
          </w:p>
          <w:p w:rsidR="0086172B" w:rsidRPr="0086172B" w:rsidRDefault="0086172B" w:rsidP="0086172B">
            <w:pPr>
              <w:jc w:val="center"/>
              <w:rPr>
                <w:rFonts w:ascii="Times New Roman" w:eastAsia="Times New Roman" w:hAnsi="Times New Roman"/>
                <w:sz w:val="24"/>
                <w:szCs w:val="24"/>
              </w:rPr>
            </w:pPr>
            <w:r w:rsidRPr="0086172B">
              <w:rPr>
                <w:rFonts w:ascii="Arial" w:eastAsia="Times New Roman" w:hAnsi="Arial" w:cs="Arial"/>
              </w:rPr>
              <w:t>8281</w:t>
            </w:r>
          </w:p>
          <w:p w:rsidR="0086172B" w:rsidRPr="0086172B" w:rsidRDefault="0086172B" w:rsidP="0086172B">
            <w:pPr>
              <w:jc w:val="center"/>
              <w:rPr>
                <w:rFonts w:ascii="Times New Roman" w:eastAsia="Times New Roman" w:hAnsi="Times New Roman"/>
                <w:sz w:val="24"/>
                <w:szCs w:val="24"/>
              </w:rPr>
            </w:pPr>
            <w:r w:rsidRPr="0086172B">
              <w:rPr>
                <w:rFonts w:ascii="Arial" w:eastAsia="Times New Roman" w:hAnsi="Arial" w:cs="Arial"/>
              </w:rPr>
              <w:t>8196</w:t>
            </w:r>
          </w:p>
          <w:p w:rsidR="0086172B" w:rsidRPr="0086172B" w:rsidRDefault="0086172B" w:rsidP="0086172B">
            <w:pPr>
              <w:jc w:val="center"/>
              <w:rPr>
                <w:rFonts w:ascii="Times New Roman" w:eastAsia="Times New Roman" w:hAnsi="Times New Roman"/>
                <w:sz w:val="24"/>
                <w:szCs w:val="24"/>
              </w:rPr>
            </w:pPr>
            <w:r w:rsidRPr="0086172B">
              <w:rPr>
                <w:rFonts w:ascii="Arial" w:eastAsia="Times New Roman" w:hAnsi="Arial" w:cs="Arial"/>
              </w:rPr>
              <w:t>7859</w:t>
            </w:r>
          </w:p>
          <w:p w:rsidR="0086172B" w:rsidRPr="0086172B" w:rsidRDefault="0086172B" w:rsidP="0086172B">
            <w:pPr>
              <w:jc w:val="center"/>
              <w:rPr>
                <w:rFonts w:ascii="Times New Roman" w:eastAsia="Times New Roman" w:hAnsi="Times New Roman"/>
                <w:sz w:val="24"/>
                <w:szCs w:val="24"/>
              </w:rPr>
            </w:pPr>
            <w:r w:rsidRPr="0086172B">
              <w:rPr>
                <w:rFonts w:ascii="Arial" w:eastAsia="Times New Roman" w:hAnsi="Arial" w:cs="Arial"/>
              </w:rPr>
              <w:t>9507</w:t>
            </w:r>
          </w:p>
          <w:p w:rsidR="0086172B" w:rsidRPr="0086172B" w:rsidRDefault="0086172B" w:rsidP="0086172B">
            <w:pPr>
              <w:jc w:val="center"/>
              <w:rPr>
                <w:rFonts w:ascii="Times New Roman" w:eastAsia="Times New Roman" w:hAnsi="Times New Roman"/>
                <w:sz w:val="24"/>
                <w:szCs w:val="24"/>
              </w:rPr>
            </w:pPr>
            <w:r w:rsidRPr="0086172B">
              <w:rPr>
                <w:rFonts w:ascii="Arial" w:eastAsia="Times New Roman" w:hAnsi="Arial" w:cs="Arial"/>
              </w:rPr>
              <w:t>7896</w:t>
            </w:r>
          </w:p>
          <w:p w:rsidR="0086172B" w:rsidRPr="00C10716" w:rsidRDefault="0086172B" w:rsidP="00C10716">
            <w:pPr>
              <w:jc w:val="center"/>
              <w:rPr>
                <w:rFonts w:ascii="Times New Roman" w:eastAsia="Times New Roman" w:hAnsi="Times New Roman"/>
                <w:sz w:val="24"/>
                <w:szCs w:val="24"/>
              </w:rPr>
            </w:pPr>
            <w:r w:rsidRPr="0086172B">
              <w:rPr>
                <w:rFonts w:ascii="Arial" w:eastAsia="Times New Roman" w:hAnsi="Arial" w:cs="Arial"/>
              </w:rPr>
              <w:t>2409</w:t>
            </w:r>
          </w:p>
        </w:tc>
      </w:tr>
    </w:tbl>
    <w:p w:rsidR="0086172B" w:rsidRDefault="0086172B" w:rsidP="00555E6B">
      <w:pPr>
        <w:pStyle w:val="ListParagraph"/>
      </w:pPr>
    </w:p>
    <w:tbl>
      <w:tblPr>
        <w:tblStyle w:val="TableGrid"/>
        <w:tblW w:w="7717" w:type="dxa"/>
        <w:tblInd w:w="360" w:type="dxa"/>
        <w:tblLook w:val="04A0"/>
      </w:tblPr>
      <w:tblGrid>
        <w:gridCol w:w="1194"/>
        <w:gridCol w:w="1498"/>
        <w:gridCol w:w="887"/>
        <w:gridCol w:w="1191"/>
        <w:gridCol w:w="1584"/>
        <w:gridCol w:w="1363"/>
      </w:tblGrid>
      <w:tr w:rsidR="005F0661" w:rsidTr="001A164D">
        <w:tc>
          <w:tcPr>
            <w:tcW w:w="1194" w:type="dxa"/>
            <w:shd w:val="clear" w:color="auto" w:fill="8DB3E2" w:themeFill="text2" w:themeFillTint="66"/>
          </w:tcPr>
          <w:p w:rsidR="005F0661" w:rsidRPr="008F7ABD" w:rsidRDefault="005F0661" w:rsidP="001A164D">
            <w:pPr>
              <w:rPr>
                <w:b/>
              </w:rPr>
            </w:pPr>
            <w:proofErr w:type="spellStart"/>
            <w:r w:rsidRPr="008F7ABD">
              <w:rPr>
                <w:b/>
              </w:rPr>
              <w:t>Amplicon</w:t>
            </w:r>
            <w:proofErr w:type="spellEnd"/>
            <w:r w:rsidRPr="008F7ABD">
              <w:rPr>
                <w:b/>
              </w:rPr>
              <w:t xml:space="preserve"> gene target</w:t>
            </w:r>
          </w:p>
        </w:tc>
        <w:tc>
          <w:tcPr>
            <w:tcW w:w="1498" w:type="dxa"/>
            <w:shd w:val="clear" w:color="auto" w:fill="8DB3E2" w:themeFill="text2" w:themeFillTint="66"/>
          </w:tcPr>
          <w:p w:rsidR="005F0661" w:rsidRPr="008F7ABD" w:rsidRDefault="005F0661" w:rsidP="001A164D">
            <w:pPr>
              <w:jc w:val="center"/>
              <w:rPr>
                <w:b/>
              </w:rPr>
            </w:pPr>
            <w:r w:rsidRPr="008F7ABD">
              <w:rPr>
                <w:b/>
              </w:rPr>
              <w:t>Target organism</w:t>
            </w:r>
          </w:p>
        </w:tc>
        <w:tc>
          <w:tcPr>
            <w:tcW w:w="887" w:type="dxa"/>
            <w:shd w:val="clear" w:color="auto" w:fill="8DB3E2" w:themeFill="text2" w:themeFillTint="66"/>
          </w:tcPr>
          <w:p w:rsidR="005F0661" w:rsidRPr="008F7ABD" w:rsidRDefault="005F0661" w:rsidP="001A164D">
            <w:pPr>
              <w:rPr>
                <w:b/>
              </w:rPr>
            </w:pPr>
            <w:r w:rsidRPr="008F7ABD">
              <w:rPr>
                <w:b/>
              </w:rPr>
              <w:t>Target region</w:t>
            </w:r>
          </w:p>
        </w:tc>
        <w:tc>
          <w:tcPr>
            <w:tcW w:w="1191" w:type="dxa"/>
            <w:shd w:val="clear" w:color="auto" w:fill="8DB3E2" w:themeFill="text2" w:themeFillTint="66"/>
          </w:tcPr>
          <w:p w:rsidR="005F0661" w:rsidRPr="008F7ABD" w:rsidRDefault="005F0661" w:rsidP="001A164D">
            <w:pPr>
              <w:rPr>
                <w:b/>
              </w:rPr>
            </w:pPr>
            <w:r w:rsidRPr="008F7ABD">
              <w:rPr>
                <w:b/>
              </w:rPr>
              <w:t>Primers</w:t>
            </w:r>
          </w:p>
        </w:tc>
        <w:tc>
          <w:tcPr>
            <w:tcW w:w="1584" w:type="dxa"/>
            <w:shd w:val="clear" w:color="auto" w:fill="8DB3E2" w:themeFill="text2" w:themeFillTint="66"/>
          </w:tcPr>
          <w:p w:rsidR="005F0661" w:rsidRPr="008F7ABD" w:rsidRDefault="005F0661" w:rsidP="001A164D">
            <w:pPr>
              <w:rPr>
                <w:b/>
              </w:rPr>
            </w:pPr>
            <w:r w:rsidRPr="008F7ABD">
              <w:rPr>
                <w:b/>
              </w:rPr>
              <w:t>Technology Platform</w:t>
            </w:r>
          </w:p>
        </w:tc>
        <w:tc>
          <w:tcPr>
            <w:tcW w:w="1363" w:type="dxa"/>
            <w:shd w:val="clear" w:color="auto" w:fill="8DB3E2" w:themeFill="text2" w:themeFillTint="66"/>
          </w:tcPr>
          <w:p w:rsidR="005F0661" w:rsidRPr="008F7ABD" w:rsidRDefault="005F0661" w:rsidP="001A164D">
            <w:pPr>
              <w:rPr>
                <w:b/>
              </w:rPr>
            </w:pPr>
            <w:r>
              <w:rPr>
                <w:b/>
              </w:rPr>
              <w:t xml:space="preserve">Current estimated </w:t>
            </w:r>
            <w:r w:rsidRPr="008F7ABD">
              <w:rPr>
                <w:b/>
              </w:rPr>
              <w:t># of reads</w:t>
            </w:r>
          </w:p>
        </w:tc>
      </w:tr>
      <w:tr w:rsidR="005F0661" w:rsidTr="001A164D">
        <w:trPr>
          <w:trHeight w:val="498"/>
        </w:trPr>
        <w:tc>
          <w:tcPr>
            <w:tcW w:w="1194" w:type="dxa"/>
            <w:vMerge w:val="restart"/>
            <w:vAlign w:val="center"/>
          </w:tcPr>
          <w:p w:rsidR="005F0661" w:rsidRDefault="005F0661" w:rsidP="001A164D">
            <w:pPr>
              <w:jc w:val="center"/>
            </w:pPr>
            <w:r>
              <w:t>16S</w:t>
            </w:r>
          </w:p>
        </w:tc>
        <w:tc>
          <w:tcPr>
            <w:tcW w:w="1498" w:type="dxa"/>
            <w:vAlign w:val="center"/>
          </w:tcPr>
          <w:p w:rsidR="005F0661" w:rsidRDefault="005F0661" w:rsidP="001A164D">
            <w:pPr>
              <w:jc w:val="center"/>
            </w:pPr>
            <w:r>
              <w:t>Bacteria</w:t>
            </w:r>
          </w:p>
        </w:tc>
        <w:tc>
          <w:tcPr>
            <w:tcW w:w="887" w:type="dxa"/>
            <w:vAlign w:val="center"/>
          </w:tcPr>
          <w:p w:rsidR="005F0661" w:rsidRDefault="005F0661" w:rsidP="001A164D">
            <w:pPr>
              <w:jc w:val="center"/>
            </w:pPr>
            <w:r>
              <w:t>V1-3</w:t>
            </w:r>
          </w:p>
        </w:tc>
        <w:tc>
          <w:tcPr>
            <w:tcW w:w="1191" w:type="dxa"/>
            <w:vAlign w:val="center"/>
          </w:tcPr>
          <w:p w:rsidR="005F0661" w:rsidRDefault="005F0661" w:rsidP="001A164D">
            <w:pPr>
              <w:jc w:val="center"/>
            </w:pPr>
            <w:r>
              <w:t>27F/</w:t>
            </w:r>
            <w:r w:rsidRPr="00D635B3">
              <w:t>519R</w:t>
            </w:r>
          </w:p>
        </w:tc>
        <w:tc>
          <w:tcPr>
            <w:tcW w:w="1584" w:type="dxa"/>
            <w:vAlign w:val="center"/>
          </w:tcPr>
          <w:p w:rsidR="005F0661" w:rsidRDefault="005F0661" w:rsidP="001A164D">
            <w:pPr>
              <w:jc w:val="center"/>
            </w:pPr>
            <w:proofErr w:type="spellStart"/>
            <w:r>
              <w:t>Illumina</w:t>
            </w:r>
            <w:proofErr w:type="spellEnd"/>
            <w:r>
              <w:t xml:space="preserve"> </w:t>
            </w:r>
            <w:proofErr w:type="spellStart"/>
            <w:r>
              <w:t>Miseq</w:t>
            </w:r>
            <w:proofErr w:type="spellEnd"/>
          </w:p>
          <w:p w:rsidR="005F0661" w:rsidRDefault="005F0661" w:rsidP="001A164D">
            <w:pPr>
              <w:jc w:val="center"/>
            </w:pPr>
            <w:r>
              <w:t xml:space="preserve">2x300 </w:t>
            </w:r>
            <w:proofErr w:type="spellStart"/>
            <w:r>
              <w:t>bp</w:t>
            </w:r>
            <w:proofErr w:type="spellEnd"/>
            <w:r>
              <w:t xml:space="preserve"> paired end reads</w:t>
            </w:r>
          </w:p>
        </w:tc>
        <w:tc>
          <w:tcPr>
            <w:tcW w:w="1363" w:type="dxa"/>
            <w:vAlign w:val="center"/>
          </w:tcPr>
          <w:p w:rsidR="005F0661" w:rsidRPr="0040329D" w:rsidRDefault="005F0661" w:rsidP="001A164D">
            <w:pPr>
              <w:jc w:val="center"/>
              <w:rPr>
                <w:color w:val="000000" w:themeColor="text1"/>
              </w:rPr>
            </w:pPr>
            <w:r w:rsidRPr="0040329D">
              <w:rPr>
                <w:color w:val="000000" w:themeColor="text1"/>
              </w:rPr>
              <w:sym w:font="Symbol" w:char="F07E"/>
            </w:r>
            <w:r w:rsidRPr="0040329D">
              <w:rPr>
                <w:color w:val="000000" w:themeColor="text1"/>
              </w:rPr>
              <w:t>200,000 per sample</w:t>
            </w:r>
          </w:p>
        </w:tc>
      </w:tr>
      <w:tr w:rsidR="005F0661" w:rsidTr="001A164D">
        <w:trPr>
          <w:trHeight w:val="1503"/>
        </w:trPr>
        <w:tc>
          <w:tcPr>
            <w:tcW w:w="1194" w:type="dxa"/>
            <w:vMerge/>
            <w:vAlign w:val="center"/>
          </w:tcPr>
          <w:p w:rsidR="005F0661" w:rsidRDefault="005F0661" w:rsidP="001A164D">
            <w:pPr>
              <w:jc w:val="center"/>
            </w:pPr>
          </w:p>
        </w:tc>
        <w:tc>
          <w:tcPr>
            <w:tcW w:w="1498" w:type="dxa"/>
            <w:vAlign w:val="center"/>
          </w:tcPr>
          <w:p w:rsidR="005F0661" w:rsidRDefault="005F0661" w:rsidP="001A164D">
            <w:pPr>
              <w:jc w:val="center"/>
            </w:pPr>
            <w:r>
              <w:t xml:space="preserve">Bacteria and </w:t>
            </w:r>
            <w:proofErr w:type="spellStart"/>
            <w:r>
              <w:t>archea</w:t>
            </w:r>
            <w:proofErr w:type="spellEnd"/>
          </w:p>
        </w:tc>
        <w:tc>
          <w:tcPr>
            <w:tcW w:w="887" w:type="dxa"/>
            <w:vAlign w:val="center"/>
          </w:tcPr>
          <w:p w:rsidR="005F0661" w:rsidRPr="003B28F4" w:rsidRDefault="005F0661" w:rsidP="001A164D">
            <w:pPr>
              <w:jc w:val="center"/>
              <w:rPr>
                <w:color w:val="000000" w:themeColor="text1"/>
              </w:rPr>
            </w:pPr>
            <w:r w:rsidRPr="003B28F4">
              <w:rPr>
                <w:color w:val="000000" w:themeColor="text1"/>
              </w:rPr>
              <w:t>V4</w:t>
            </w:r>
          </w:p>
        </w:tc>
        <w:tc>
          <w:tcPr>
            <w:tcW w:w="1191" w:type="dxa"/>
            <w:vAlign w:val="center"/>
          </w:tcPr>
          <w:p w:rsidR="005F0661" w:rsidRDefault="005F0661" w:rsidP="001A164D">
            <w:pPr>
              <w:jc w:val="center"/>
            </w:pPr>
            <w:r>
              <w:t>515F/806R</w:t>
            </w:r>
          </w:p>
        </w:tc>
        <w:tc>
          <w:tcPr>
            <w:tcW w:w="1584" w:type="dxa"/>
            <w:vAlign w:val="center"/>
          </w:tcPr>
          <w:p w:rsidR="005F0661" w:rsidRPr="00B27791" w:rsidRDefault="005F0661" w:rsidP="001A164D">
            <w:pPr>
              <w:jc w:val="center"/>
              <w:rPr>
                <w:b/>
              </w:rPr>
            </w:pPr>
            <w:r w:rsidRPr="00B27791">
              <w:rPr>
                <w:b/>
              </w:rPr>
              <w:t>EMP collaboration</w:t>
            </w:r>
          </w:p>
          <w:p w:rsidR="005F0661" w:rsidRPr="006D4AC0" w:rsidRDefault="005F0661" w:rsidP="001A164D">
            <w:pPr>
              <w:jc w:val="center"/>
            </w:pPr>
            <w:proofErr w:type="spellStart"/>
            <w:r w:rsidRPr="006D4AC0">
              <w:t>Illumini</w:t>
            </w:r>
            <w:r>
              <w:t>a</w:t>
            </w:r>
            <w:proofErr w:type="spellEnd"/>
            <w:r>
              <w:t xml:space="preserve"> Hi</w:t>
            </w:r>
            <w:r w:rsidRPr="006D4AC0">
              <w:t>Seq</w:t>
            </w:r>
            <w:r>
              <w:t xml:space="preserve">2500 150bp paired end reads </w:t>
            </w:r>
          </w:p>
          <w:p w:rsidR="005F0661" w:rsidRPr="006D4AC0" w:rsidRDefault="005F0661" w:rsidP="001A164D">
            <w:pPr>
              <w:jc w:val="center"/>
            </w:pPr>
          </w:p>
        </w:tc>
        <w:tc>
          <w:tcPr>
            <w:tcW w:w="1363" w:type="dxa"/>
            <w:vAlign w:val="center"/>
          </w:tcPr>
          <w:p w:rsidR="005F0661" w:rsidRPr="0040329D" w:rsidRDefault="005F0661" w:rsidP="001A164D">
            <w:pPr>
              <w:jc w:val="center"/>
            </w:pPr>
          </w:p>
          <w:p w:rsidR="005F0661" w:rsidRPr="0040329D" w:rsidRDefault="005F0661" w:rsidP="001A164D">
            <w:pPr>
              <w:jc w:val="center"/>
            </w:pPr>
            <w:r w:rsidRPr="0040329D">
              <w:t>-</w:t>
            </w:r>
          </w:p>
          <w:p w:rsidR="005F0661" w:rsidRPr="0040329D" w:rsidRDefault="005F0661" w:rsidP="001A164D">
            <w:pPr>
              <w:jc w:val="center"/>
            </w:pPr>
          </w:p>
        </w:tc>
      </w:tr>
      <w:tr w:rsidR="005F0661" w:rsidTr="001A164D">
        <w:trPr>
          <w:trHeight w:val="1503"/>
        </w:trPr>
        <w:tc>
          <w:tcPr>
            <w:tcW w:w="1194" w:type="dxa"/>
            <w:vMerge/>
            <w:vAlign w:val="center"/>
          </w:tcPr>
          <w:p w:rsidR="005F0661" w:rsidRDefault="005F0661" w:rsidP="001A164D">
            <w:pPr>
              <w:jc w:val="center"/>
            </w:pPr>
          </w:p>
        </w:tc>
        <w:tc>
          <w:tcPr>
            <w:tcW w:w="1498" w:type="dxa"/>
            <w:vAlign w:val="center"/>
          </w:tcPr>
          <w:p w:rsidR="005F0661" w:rsidRDefault="005F0661" w:rsidP="001A164D">
            <w:pPr>
              <w:jc w:val="center"/>
            </w:pPr>
            <w:proofErr w:type="spellStart"/>
            <w:r>
              <w:t>Archaea</w:t>
            </w:r>
            <w:proofErr w:type="spellEnd"/>
          </w:p>
        </w:tc>
        <w:tc>
          <w:tcPr>
            <w:tcW w:w="887" w:type="dxa"/>
            <w:vAlign w:val="center"/>
          </w:tcPr>
          <w:p w:rsidR="005F0661" w:rsidRPr="00555E6B" w:rsidRDefault="005F0661" w:rsidP="001A164D">
            <w:pPr>
              <w:jc w:val="center"/>
              <w:rPr>
                <w:color w:val="000000" w:themeColor="text1"/>
              </w:rPr>
            </w:pPr>
            <w:r>
              <w:t>V3-V5</w:t>
            </w:r>
          </w:p>
        </w:tc>
        <w:tc>
          <w:tcPr>
            <w:tcW w:w="1191" w:type="dxa"/>
            <w:vAlign w:val="center"/>
          </w:tcPr>
          <w:p w:rsidR="005F0661" w:rsidRPr="009C53FC" w:rsidRDefault="005F0661" w:rsidP="001A164D">
            <w:pPr>
              <w:rPr>
                <w:vertAlign w:val="superscript"/>
              </w:rPr>
            </w:pPr>
            <w:r>
              <w:t>Arch-340F/Arch-915R</w:t>
            </w:r>
            <w:r>
              <w:rPr>
                <w:vertAlign w:val="superscript"/>
              </w:rPr>
              <w:t>1</w:t>
            </w:r>
          </w:p>
        </w:tc>
        <w:tc>
          <w:tcPr>
            <w:tcW w:w="1584" w:type="dxa"/>
            <w:vAlign w:val="center"/>
          </w:tcPr>
          <w:p w:rsidR="005F0661" w:rsidRDefault="005F0661" w:rsidP="001A164D">
            <w:pPr>
              <w:jc w:val="center"/>
            </w:pPr>
            <w:proofErr w:type="spellStart"/>
            <w:r>
              <w:t>Illumina</w:t>
            </w:r>
            <w:proofErr w:type="spellEnd"/>
            <w:r>
              <w:t xml:space="preserve"> </w:t>
            </w:r>
            <w:proofErr w:type="spellStart"/>
            <w:r>
              <w:t>Miseq</w:t>
            </w:r>
            <w:proofErr w:type="spellEnd"/>
          </w:p>
          <w:p w:rsidR="005F0661" w:rsidRDefault="00E715DF" w:rsidP="001A164D">
            <w:pPr>
              <w:jc w:val="center"/>
            </w:pPr>
            <w:r>
              <w:t>2x30</w:t>
            </w:r>
            <w:r w:rsidR="005F0661">
              <w:t xml:space="preserve">0 </w:t>
            </w:r>
            <w:proofErr w:type="spellStart"/>
            <w:r w:rsidR="005F0661">
              <w:t>bp</w:t>
            </w:r>
            <w:proofErr w:type="spellEnd"/>
            <w:r w:rsidR="005F0661">
              <w:t xml:space="preserve"> paired end reads</w:t>
            </w:r>
          </w:p>
        </w:tc>
        <w:tc>
          <w:tcPr>
            <w:tcW w:w="1363" w:type="dxa"/>
            <w:vAlign w:val="center"/>
          </w:tcPr>
          <w:p w:rsidR="005F0661" w:rsidRPr="0040329D" w:rsidRDefault="00E715DF" w:rsidP="001A164D">
            <w:pPr>
              <w:jc w:val="center"/>
            </w:pPr>
            <w:r w:rsidRPr="0040329D">
              <w:rPr>
                <w:color w:val="000000" w:themeColor="text1"/>
              </w:rPr>
              <w:sym w:font="Symbol" w:char="F07E"/>
            </w:r>
            <w:r w:rsidRPr="0040329D">
              <w:rPr>
                <w:color w:val="000000" w:themeColor="text1"/>
              </w:rPr>
              <w:t>200,000 per sample</w:t>
            </w:r>
          </w:p>
        </w:tc>
      </w:tr>
      <w:tr w:rsidR="005F0661" w:rsidTr="001A164D">
        <w:tc>
          <w:tcPr>
            <w:tcW w:w="1194" w:type="dxa"/>
            <w:vAlign w:val="center"/>
          </w:tcPr>
          <w:p w:rsidR="005F0661" w:rsidRDefault="005F0661" w:rsidP="001A164D">
            <w:pPr>
              <w:jc w:val="center"/>
            </w:pPr>
            <w:r>
              <w:t>ITS</w:t>
            </w:r>
          </w:p>
        </w:tc>
        <w:tc>
          <w:tcPr>
            <w:tcW w:w="1498" w:type="dxa"/>
            <w:vAlign w:val="center"/>
          </w:tcPr>
          <w:p w:rsidR="005F0661" w:rsidRDefault="005F0661" w:rsidP="001A164D">
            <w:pPr>
              <w:jc w:val="center"/>
            </w:pPr>
            <w:r>
              <w:t>Fungi</w:t>
            </w:r>
          </w:p>
        </w:tc>
        <w:tc>
          <w:tcPr>
            <w:tcW w:w="887" w:type="dxa"/>
            <w:vAlign w:val="center"/>
          </w:tcPr>
          <w:p w:rsidR="005F0661" w:rsidRDefault="005F0661" w:rsidP="001A164D">
            <w:pPr>
              <w:jc w:val="center"/>
            </w:pPr>
            <w:r w:rsidRPr="005F6E8D">
              <w:rPr>
                <w:color w:val="000000" w:themeColor="text1"/>
              </w:rPr>
              <w:t>ITS</w:t>
            </w:r>
            <w:r>
              <w:t>1-4</w:t>
            </w:r>
          </w:p>
        </w:tc>
        <w:tc>
          <w:tcPr>
            <w:tcW w:w="1191" w:type="dxa"/>
            <w:vAlign w:val="center"/>
          </w:tcPr>
          <w:p w:rsidR="005F0661" w:rsidRDefault="005F0661" w:rsidP="001A164D">
            <w:pPr>
              <w:jc w:val="center"/>
            </w:pPr>
            <w:r>
              <w:t>ITS1F/</w:t>
            </w:r>
            <w:r w:rsidRPr="00D635B3">
              <w:t>ITS4</w:t>
            </w:r>
          </w:p>
        </w:tc>
        <w:tc>
          <w:tcPr>
            <w:tcW w:w="1584" w:type="dxa"/>
            <w:vAlign w:val="center"/>
          </w:tcPr>
          <w:p w:rsidR="005F0661" w:rsidRDefault="005F0661" w:rsidP="001A164D">
            <w:pPr>
              <w:jc w:val="center"/>
            </w:pPr>
            <w:proofErr w:type="spellStart"/>
            <w:r>
              <w:t>Illumina</w:t>
            </w:r>
            <w:proofErr w:type="spellEnd"/>
            <w:r>
              <w:t xml:space="preserve"> </w:t>
            </w:r>
            <w:proofErr w:type="spellStart"/>
            <w:r>
              <w:t>Miseq</w:t>
            </w:r>
            <w:proofErr w:type="spellEnd"/>
          </w:p>
          <w:p w:rsidR="005F0661" w:rsidRPr="006D4AC0" w:rsidRDefault="005F0661" w:rsidP="001A164D">
            <w:pPr>
              <w:jc w:val="center"/>
            </w:pPr>
            <w:r>
              <w:t xml:space="preserve">2x300 </w:t>
            </w:r>
            <w:proofErr w:type="spellStart"/>
            <w:r>
              <w:t>bp</w:t>
            </w:r>
            <w:proofErr w:type="spellEnd"/>
            <w:r>
              <w:t xml:space="preserve"> paired end reads</w:t>
            </w:r>
          </w:p>
        </w:tc>
        <w:tc>
          <w:tcPr>
            <w:tcW w:w="1363" w:type="dxa"/>
            <w:vAlign w:val="center"/>
          </w:tcPr>
          <w:p w:rsidR="005F0661" w:rsidRPr="0040329D" w:rsidRDefault="005F0661" w:rsidP="001A164D">
            <w:pPr>
              <w:jc w:val="center"/>
              <w:rPr>
                <w:color w:val="000000" w:themeColor="text1"/>
              </w:rPr>
            </w:pPr>
            <w:r w:rsidRPr="0040329D">
              <w:rPr>
                <w:color w:val="000000" w:themeColor="text1"/>
              </w:rPr>
              <w:sym w:font="Symbol" w:char="F07E"/>
            </w:r>
            <w:r w:rsidRPr="0040329D">
              <w:rPr>
                <w:color w:val="000000" w:themeColor="text1"/>
              </w:rPr>
              <w:t>200,000 per sample</w:t>
            </w:r>
          </w:p>
        </w:tc>
      </w:tr>
      <w:tr w:rsidR="005F0661" w:rsidTr="001A164D">
        <w:tc>
          <w:tcPr>
            <w:tcW w:w="1194" w:type="dxa"/>
            <w:vAlign w:val="center"/>
          </w:tcPr>
          <w:p w:rsidR="005F0661" w:rsidRDefault="005F0661" w:rsidP="001A164D">
            <w:pPr>
              <w:jc w:val="center"/>
            </w:pPr>
            <w:r>
              <w:t>18S</w:t>
            </w:r>
          </w:p>
        </w:tc>
        <w:tc>
          <w:tcPr>
            <w:tcW w:w="1498" w:type="dxa"/>
            <w:vAlign w:val="center"/>
          </w:tcPr>
          <w:p w:rsidR="005F0661" w:rsidRDefault="005F0661" w:rsidP="001A164D">
            <w:pPr>
              <w:jc w:val="center"/>
            </w:pPr>
            <w:proofErr w:type="spellStart"/>
            <w:r>
              <w:t>Euk</w:t>
            </w:r>
            <w:proofErr w:type="spellEnd"/>
            <w:r>
              <w:t>/algal</w:t>
            </w:r>
          </w:p>
        </w:tc>
        <w:tc>
          <w:tcPr>
            <w:tcW w:w="887" w:type="dxa"/>
            <w:vAlign w:val="center"/>
          </w:tcPr>
          <w:p w:rsidR="005F0661" w:rsidRPr="001E77AE" w:rsidRDefault="005F0661" w:rsidP="001A164D">
            <w:pPr>
              <w:jc w:val="center"/>
              <w:rPr>
                <w:color w:val="000000" w:themeColor="text1"/>
                <w:highlight w:val="yellow"/>
              </w:rPr>
            </w:pPr>
            <w:r w:rsidRPr="00555E6B">
              <w:rPr>
                <w:color w:val="000000" w:themeColor="text1"/>
              </w:rPr>
              <w:t>V9</w:t>
            </w:r>
          </w:p>
        </w:tc>
        <w:tc>
          <w:tcPr>
            <w:tcW w:w="1191" w:type="dxa"/>
            <w:vAlign w:val="center"/>
          </w:tcPr>
          <w:p w:rsidR="005F0661" w:rsidRPr="001E77AE" w:rsidRDefault="005F0661" w:rsidP="001A164D">
            <w:pPr>
              <w:rPr>
                <w:highlight w:val="yellow"/>
              </w:rPr>
            </w:pPr>
            <w:r>
              <w:t xml:space="preserve">Euk1391f/ </w:t>
            </w:r>
            <w:proofErr w:type="spellStart"/>
            <w:r>
              <w:t>EukB</w:t>
            </w:r>
            <w:proofErr w:type="spellEnd"/>
          </w:p>
        </w:tc>
        <w:tc>
          <w:tcPr>
            <w:tcW w:w="1584" w:type="dxa"/>
            <w:vAlign w:val="center"/>
          </w:tcPr>
          <w:p w:rsidR="005F0661" w:rsidRDefault="005F0661" w:rsidP="001A164D">
            <w:pPr>
              <w:jc w:val="center"/>
            </w:pPr>
            <w:proofErr w:type="spellStart"/>
            <w:r>
              <w:t>Illumina</w:t>
            </w:r>
            <w:proofErr w:type="spellEnd"/>
            <w:r>
              <w:t xml:space="preserve"> </w:t>
            </w:r>
            <w:proofErr w:type="spellStart"/>
            <w:r>
              <w:t>Miseq</w:t>
            </w:r>
            <w:proofErr w:type="spellEnd"/>
          </w:p>
          <w:p w:rsidR="005F0661" w:rsidRPr="001E77AE" w:rsidRDefault="00E715DF" w:rsidP="001A164D">
            <w:pPr>
              <w:jc w:val="center"/>
              <w:rPr>
                <w:highlight w:val="yellow"/>
              </w:rPr>
            </w:pPr>
            <w:r>
              <w:t>2x15</w:t>
            </w:r>
            <w:r w:rsidR="005F0661">
              <w:t xml:space="preserve">0 </w:t>
            </w:r>
            <w:proofErr w:type="spellStart"/>
            <w:r w:rsidR="005F0661">
              <w:t>bp</w:t>
            </w:r>
            <w:proofErr w:type="spellEnd"/>
            <w:r w:rsidR="005F0661">
              <w:t xml:space="preserve"> paired end reads</w:t>
            </w:r>
          </w:p>
        </w:tc>
        <w:tc>
          <w:tcPr>
            <w:tcW w:w="1363" w:type="dxa"/>
            <w:vAlign w:val="center"/>
          </w:tcPr>
          <w:p w:rsidR="005F0661" w:rsidRPr="0040329D" w:rsidRDefault="00E715DF" w:rsidP="001A164D">
            <w:pPr>
              <w:jc w:val="center"/>
              <w:rPr>
                <w:color w:val="000000" w:themeColor="text1"/>
              </w:rPr>
            </w:pPr>
            <w:r w:rsidRPr="0040329D">
              <w:rPr>
                <w:color w:val="000000" w:themeColor="text1"/>
              </w:rPr>
              <w:sym w:font="Symbol" w:char="F07E"/>
            </w:r>
            <w:r>
              <w:rPr>
                <w:color w:val="000000" w:themeColor="text1"/>
              </w:rPr>
              <w:t>1</w:t>
            </w:r>
            <w:r w:rsidR="005F0661" w:rsidRPr="0040329D">
              <w:rPr>
                <w:color w:val="000000" w:themeColor="text1"/>
              </w:rPr>
              <w:t>00</w:t>
            </w:r>
            <w:r>
              <w:rPr>
                <w:color w:val="000000" w:themeColor="text1"/>
              </w:rPr>
              <w:t>,000-140</w:t>
            </w:r>
            <w:r w:rsidR="005F0661" w:rsidRPr="0040329D">
              <w:rPr>
                <w:color w:val="000000" w:themeColor="text1"/>
              </w:rPr>
              <w:t>,000 per sample</w:t>
            </w:r>
          </w:p>
        </w:tc>
      </w:tr>
    </w:tbl>
    <w:p w:rsidR="00B9366A" w:rsidRPr="00232F12" w:rsidRDefault="00555E6B" w:rsidP="008F3FB6">
      <w:pPr>
        <w:rPr>
          <w:sz w:val="20"/>
          <w:szCs w:val="20"/>
        </w:rPr>
      </w:pPr>
      <w:r>
        <w:rPr>
          <w:rFonts w:cstheme="minorHAnsi"/>
          <w:b/>
          <w:color w:val="000000" w:themeColor="text1"/>
          <w:sz w:val="24"/>
          <w:szCs w:val="24"/>
        </w:rPr>
        <w:tab/>
      </w:r>
      <w:r w:rsidR="00232F12">
        <w:rPr>
          <w:sz w:val="24"/>
          <w:szCs w:val="24"/>
          <w:vertAlign w:val="superscript"/>
        </w:rPr>
        <w:t>1</w:t>
      </w:r>
      <w:r w:rsidR="00232F12" w:rsidRPr="009C53FC">
        <w:rPr>
          <w:sz w:val="20"/>
          <w:szCs w:val="20"/>
        </w:rPr>
        <w:t xml:space="preserve">Pinto AJ, </w:t>
      </w:r>
      <w:proofErr w:type="spellStart"/>
      <w:r w:rsidR="00232F12" w:rsidRPr="009C53FC">
        <w:rPr>
          <w:sz w:val="20"/>
          <w:szCs w:val="20"/>
        </w:rPr>
        <w:t>Raskin</w:t>
      </w:r>
      <w:proofErr w:type="spellEnd"/>
      <w:r w:rsidR="00232F12" w:rsidRPr="009C53FC">
        <w:rPr>
          <w:sz w:val="20"/>
          <w:szCs w:val="20"/>
        </w:rPr>
        <w:t xml:space="preserve"> L (2012) PCR Biases Distort Bacterial and </w:t>
      </w:r>
      <w:proofErr w:type="spellStart"/>
      <w:r w:rsidR="00232F12" w:rsidRPr="009C53FC">
        <w:rPr>
          <w:sz w:val="20"/>
          <w:szCs w:val="20"/>
        </w:rPr>
        <w:t>Archaeal</w:t>
      </w:r>
      <w:proofErr w:type="spellEnd"/>
      <w:r w:rsidR="00232F12" w:rsidRPr="009C53FC">
        <w:rPr>
          <w:sz w:val="20"/>
          <w:szCs w:val="20"/>
        </w:rPr>
        <w:t xml:space="preserve"> Community Structure in </w:t>
      </w:r>
      <w:proofErr w:type="spellStart"/>
      <w:r w:rsidR="00232F12" w:rsidRPr="009C53FC">
        <w:rPr>
          <w:sz w:val="20"/>
          <w:szCs w:val="20"/>
        </w:rPr>
        <w:t>Pyrosequencing</w:t>
      </w:r>
      <w:proofErr w:type="spellEnd"/>
      <w:r w:rsidR="00232F12" w:rsidRPr="009C53FC">
        <w:rPr>
          <w:sz w:val="20"/>
          <w:szCs w:val="20"/>
        </w:rPr>
        <w:t xml:space="preserve"> Datasets. </w:t>
      </w:r>
      <w:proofErr w:type="spellStart"/>
      <w:r w:rsidR="00232F12" w:rsidRPr="009C53FC">
        <w:rPr>
          <w:sz w:val="20"/>
          <w:szCs w:val="20"/>
        </w:rPr>
        <w:t>PLoS</w:t>
      </w:r>
      <w:proofErr w:type="spellEnd"/>
      <w:r w:rsidR="00232F12" w:rsidRPr="009C53FC">
        <w:rPr>
          <w:sz w:val="20"/>
          <w:szCs w:val="20"/>
        </w:rPr>
        <w:t xml:space="preserve"> ONE 7(8): e43093.</w:t>
      </w:r>
    </w:p>
    <w:p w:rsidR="00555E6B" w:rsidRPr="008F3FB6" w:rsidRDefault="00555E6B" w:rsidP="008F3FB6">
      <w:pPr>
        <w:rPr>
          <w:rFonts w:cstheme="minorHAnsi"/>
          <w:b/>
          <w:color w:val="000000" w:themeColor="text1"/>
          <w:sz w:val="24"/>
          <w:szCs w:val="24"/>
        </w:rPr>
      </w:pPr>
    </w:p>
    <w:p w:rsidR="008B6148" w:rsidRPr="00C10716" w:rsidRDefault="00F43B24" w:rsidP="00B62D94">
      <w:pPr>
        <w:pStyle w:val="ListParagraph"/>
        <w:numPr>
          <w:ilvl w:val="0"/>
          <w:numId w:val="30"/>
        </w:numPr>
        <w:rPr>
          <w:b/>
        </w:rPr>
      </w:pPr>
      <w:proofErr w:type="spellStart"/>
      <w:r>
        <w:rPr>
          <w:b/>
        </w:rPr>
        <w:t>Amplicon</w:t>
      </w:r>
      <w:proofErr w:type="spellEnd"/>
      <w:r>
        <w:rPr>
          <w:b/>
        </w:rPr>
        <w:t xml:space="preserve"> library p</w:t>
      </w:r>
      <w:r w:rsidR="008B6148" w:rsidRPr="00C10716">
        <w:rPr>
          <w:b/>
        </w:rPr>
        <w:t>reparation and QC</w:t>
      </w:r>
      <w:r w:rsidR="001F4F66" w:rsidRPr="00C10716">
        <w:rPr>
          <w:b/>
        </w:rPr>
        <w:t>:</w:t>
      </w:r>
    </w:p>
    <w:p w:rsidR="00C10716" w:rsidRDefault="00C10716" w:rsidP="008B6148">
      <w:pPr>
        <w:pStyle w:val="ListParagraph"/>
        <w:numPr>
          <w:ilvl w:val="0"/>
          <w:numId w:val="17"/>
        </w:numPr>
        <w:spacing w:after="0" w:line="240" w:lineRule="auto"/>
      </w:pPr>
      <w:r>
        <w:t>Sample input 1:10 dilution. If fails reflex input to neat or 1:100 depending on DNA concentration.</w:t>
      </w:r>
    </w:p>
    <w:p w:rsidR="00BF5DCC" w:rsidRDefault="00BF5DCC" w:rsidP="008B6148">
      <w:pPr>
        <w:pStyle w:val="ListParagraph"/>
        <w:numPr>
          <w:ilvl w:val="0"/>
          <w:numId w:val="17"/>
        </w:numPr>
        <w:spacing w:after="0" w:line="240" w:lineRule="auto"/>
      </w:pPr>
      <w:proofErr w:type="gramStart"/>
      <w:r>
        <w:t>Bead clean</w:t>
      </w:r>
      <w:proofErr w:type="gramEnd"/>
      <w:r>
        <w:t xml:space="preserve"> up preformed on PCR product</w:t>
      </w:r>
      <w:r w:rsidR="000B6C30">
        <w:t>.</w:t>
      </w:r>
    </w:p>
    <w:p w:rsidR="000B6C30" w:rsidRDefault="000B6C30" w:rsidP="000B6C30">
      <w:pPr>
        <w:pStyle w:val="ListParagraph"/>
        <w:numPr>
          <w:ilvl w:val="0"/>
          <w:numId w:val="17"/>
        </w:numPr>
        <w:spacing w:after="0" w:line="240" w:lineRule="auto"/>
      </w:pPr>
      <w:r>
        <w:t>Quantify PCR product</w:t>
      </w:r>
      <w:r w:rsidRPr="00C10716">
        <w:t xml:space="preserve"> by </w:t>
      </w:r>
      <w:r w:rsidR="00E715DF">
        <w:t>Quant-</w:t>
      </w:r>
      <w:proofErr w:type="spellStart"/>
      <w:r w:rsidR="00E715DF">
        <w:t>iT</w:t>
      </w:r>
      <w:proofErr w:type="spellEnd"/>
      <w:r w:rsidR="00E715DF">
        <w:t xml:space="preserve"> DNA or </w:t>
      </w:r>
      <w:proofErr w:type="spellStart"/>
      <w:r w:rsidRPr="00C10716">
        <w:t>PicoGreen</w:t>
      </w:r>
      <w:proofErr w:type="spellEnd"/>
      <w:r w:rsidRPr="00C10716">
        <w:t xml:space="preserve"> </w:t>
      </w:r>
      <w:proofErr w:type="spellStart"/>
      <w:r w:rsidRPr="00C10716">
        <w:t>Fluorimetry</w:t>
      </w:r>
      <w:proofErr w:type="spellEnd"/>
      <w:r>
        <w:t>.</w:t>
      </w:r>
    </w:p>
    <w:p w:rsidR="008B6148" w:rsidRDefault="000B6C30" w:rsidP="008B6148">
      <w:pPr>
        <w:pStyle w:val="ListParagraph"/>
        <w:numPr>
          <w:ilvl w:val="0"/>
          <w:numId w:val="17"/>
        </w:numPr>
        <w:spacing w:after="0" w:line="240" w:lineRule="auto"/>
      </w:pPr>
      <w:r>
        <w:t>Verify</w:t>
      </w:r>
      <w:r w:rsidR="008B6148" w:rsidRPr="00C10716">
        <w:t xml:space="preserve"> PCR product</w:t>
      </w:r>
      <w:r>
        <w:t xml:space="preserve"> size by </w:t>
      </w:r>
      <w:proofErr w:type="spellStart"/>
      <w:r>
        <w:t>Bioanalyser</w:t>
      </w:r>
      <w:proofErr w:type="spellEnd"/>
      <w:r>
        <w:t xml:space="preserve"> or </w:t>
      </w:r>
      <w:proofErr w:type="spellStart"/>
      <w:r>
        <w:t>Labchip</w:t>
      </w:r>
      <w:proofErr w:type="spellEnd"/>
      <w:r>
        <w:t>.</w:t>
      </w:r>
    </w:p>
    <w:p w:rsidR="000B6C30" w:rsidRPr="00C10716" w:rsidRDefault="000B6C30" w:rsidP="008B6148">
      <w:pPr>
        <w:pStyle w:val="ListParagraph"/>
        <w:numPr>
          <w:ilvl w:val="0"/>
          <w:numId w:val="17"/>
        </w:numPr>
        <w:spacing w:after="0" w:line="240" w:lineRule="auto"/>
      </w:pPr>
      <w:r>
        <w:t xml:space="preserve">If can’t determine size or concentration too low to detect on </w:t>
      </w:r>
      <w:proofErr w:type="spellStart"/>
      <w:r>
        <w:t>labchip</w:t>
      </w:r>
      <w:proofErr w:type="spellEnd"/>
      <w:r>
        <w:t xml:space="preserve"> or </w:t>
      </w:r>
      <w:proofErr w:type="spellStart"/>
      <w:r>
        <w:t>Bioanalyser</w:t>
      </w:r>
      <w:proofErr w:type="spellEnd"/>
      <w:r>
        <w:t xml:space="preserve"> sample will be disregarded.</w:t>
      </w:r>
    </w:p>
    <w:p w:rsidR="00966A02" w:rsidRPr="00311CAD" w:rsidRDefault="00966A02" w:rsidP="00966A02">
      <w:pPr>
        <w:pStyle w:val="ListParagraph"/>
        <w:spacing w:after="0" w:line="240" w:lineRule="auto"/>
        <w:ind w:left="1080"/>
      </w:pPr>
    </w:p>
    <w:p w:rsidR="008B6148" w:rsidRPr="00484A94" w:rsidRDefault="00F43B24" w:rsidP="00B62D94">
      <w:pPr>
        <w:pStyle w:val="ListParagraph"/>
        <w:numPr>
          <w:ilvl w:val="0"/>
          <w:numId w:val="30"/>
        </w:numPr>
        <w:spacing w:after="0" w:line="240" w:lineRule="auto"/>
        <w:rPr>
          <w:b/>
        </w:rPr>
      </w:pPr>
      <w:proofErr w:type="spellStart"/>
      <w:r>
        <w:rPr>
          <w:b/>
        </w:rPr>
        <w:t>Amplicon</w:t>
      </w:r>
      <w:proofErr w:type="spellEnd"/>
      <w:r>
        <w:rPr>
          <w:b/>
        </w:rPr>
        <w:t xml:space="preserve"> s</w:t>
      </w:r>
      <w:r w:rsidR="008B6148" w:rsidRPr="00484A94">
        <w:rPr>
          <w:b/>
        </w:rPr>
        <w:t>equencing</w:t>
      </w:r>
      <w:r w:rsidR="00EC60A1" w:rsidRPr="00484A94">
        <w:rPr>
          <w:b/>
        </w:rPr>
        <w:t>:</w:t>
      </w:r>
    </w:p>
    <w:p w:rsidR="008B6148" w:rsidRPr="00397529" w:rsidRDefault="00966A02" w:rsidP="008B6148">
      <w:pPr>
        <w:pStyle w:val="ListParagraph"/>
        <w:numPr>
          <w:ilvl w:val="0"/>
          <w:numId w:val="16"/>
        </w:numPr>
        <w:spacing w:after="0" w:line="240" w:lineRule="auto"/>
      </w:pPr>
      <w:r w:rsidRPr="00397529">
        <w:t xml:space="preserve">SOP to be included </w:t>
      </w:r>
      <w:r w:rsidR="00B62D94" w:rsidRPr="00397529">
        <w:t xml:space="preserve">as an attachment </w:t>
      </w:r>
      <w:r w:rsidRPr="00397529">
        <w:t>for each target</w:t>
      </w:r>
    </w:p>
    <w:p w:rsidR="001F4D82" w:rsidRPr="00484A94" w:rsidRDefault="007A187C" w:rsidP="00966A02">
      <w:pPr>
        <w:pStyle w:val="ListParagraph"/>
        <w:numPr>
          <w:ilvl w:val="0"/>
          <w:numId w:val="16"/>
        </w:numPr>
        <w:spacing w:after="0" w:line="240" w:lineRule="auto"/>
        <w:rPr>
          <w:u w:val="single"/>
        </w:rPr>
      </w:pPr>
      <w:r w:rsidRPr="00484A94">
        <w:rPr>
          <w:u w:val="single"/>
        </w:rPr>
        <w:t xml:space="preserve">Uniform </w:t>
      </w:r>
      <w:proofErr w:type="spellStart"/>
      <w:r w:rsidR="00484A94" w:rsidRPr="00484A94">
        <w:rPr>
          <w:u w:val="single"/>
        </w:rPr>
        <w:t>MiSeq</w:t>
      </w:r>
      <w:proofErr w:type="spellEnd"/>
      <w:r w:rsidR="00484A94" w:rsidRPr="00484A94">
        <w:rPr>
          <w:u w:val="single"/>
        </w:rPr>
        <w:t xml:space="preserve"> </w:t>
      </w:r>
      <w:r w:rsidRPr="00484A94">
        <w:rPr>
          <w:u w:val="single"/>
        </w:rPr>
        <w:t>f</w:t>
      </w:r>
      <w:r w:rsidR="00966A02" w:rsidRPr="00484A94">
        <w:rPr>
          <w:u w:val="single"/>
        </w:rPr>
        <w:t>ile naming format:</w:t>
      </w:r>
    </w:p>
    <w:p w:rsidR="00770481" w:rsidRPr="00770481" w:rsidRDefault="00770481" w:rsidP="00770481">
      <w:pPr>
        <w:pStyle w:val="ListParagraph"/>
        <w:spacing w:before="100" w:beforeAutospacing="1" w:after="100" w:afterAutospacing="1" w:line="240" w:lineRule="auto"/>
        <w:ind w:left="1080"/>
      </w:pPr>
      <w:r w:rsidRPr="00770481">
        <w:t>Use excel template to concatenate the BPA ID, </w:t>
      </w:r>
      <w:r w:rsidR="00C568F3">
        <w:t>target, facility,</w:t>
      </w:r>
      <w:r w:rsidRPr="00770481">
        <w:t xml:space="preserve"> flow cell ID and index sequence to produce a file name consistent with the </w:t>
      </w:r>
      <w:proofErr w:type="spellStart"/>
      <w:r w:rsidRPr="00770481">
        <w:t>HiSeq</w:t>
      </w:r>
      <w:proofErr w:type="spellEnd"/>
      <w:r w:rsidRPr="00770481">
        <w:t xml:space="preserve"> (as in table below).   </w:t>
      </w:r>
    </w:p>
    <w:p w:rsidR="00770481" w:rsidRPr="00770481" w:rsidRDefault="00770481" w:rsidP="00770481">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AU"/>
        </w:rPr>
      </w:pPr>
    </w:p>
    <w:tbl>
      <w:tblPr>
        <w:tblW w:w="0" w:type="auto"/>
        <w:tblCellMar>
          <w:left w:w="0" w:type="dxa"/>
          <w:right w:w="0" w:type="dxa"/>
        </w:tblCellMar>
        <w:tblLook w:val="04A0"/>
      </w:tblPr>
      <w:tblGrid>
        <w:gridCol w:w="847"/>
        <w:gridCol w:w="849"/>
        <w:gridCol w:w="1039"/>
        <w:gridCol w:w="1768"/>
        <w:gridCol w:w="842"/>
        <w:gridCol w:w="3919"/>
      </w:tblGrid>
      <w:tr w:rsidR="00770481" w:rsidRPr="00770481" w:rsidTr="00770481">
        <w:trPr>
          <w:trHeight w:val="300"/>
        </w:trPr>
        <w:tc>
          <w:tcPr>
            <w:tcW w:w="84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20"/>
                <w:szCs w:val="20"/>
                <w:lang w:eastAsia="en-AU"/>
              </w:rPr>
            </w:pPr>
            <w:r w:rsidRPr="00770481">
              <w:rPr>
                <w:rFonts w:ascii="Calibri" w:eastAsia="Times New Roman" w:hAnsi="Calibri" w:cs="Times New Roman"/>
                <w:b/>
                <w:bCs/>
                <w:color w:val="000000" w:themeColor="text1"/>
                <w:sz w:val="20"/>
                <w:szCs w:val="20"/>
                <w:lang w:eastAsia="en-AU"/>
              </w:rPr>
              <w:t>BPA ID</w:t>
            </w:r>
          </w:p>
        </w:tc>
        <w:tc>
          <w:tcPr>
            <w:tcW w:w="84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20"/>
                <w:szCs w:val="20"/>
                <w:lang w:eastAsia="en-AU"/>
              </w:rPr>
            </w:pPr>
            <w:r w:rsidRPr="00770481">
              <w:rPr>
                <w:rFonts w:ascii="Calibri" w:eastAsia="Times New Roman" w:hAnsi="Calibri" w:cs="Times New Roman"/>
                <w:b/>
                <w:bCs/>
                <w:color w:val="000000" w:themeColor="text1"/>
                <w:sz w:val="20"/>
                <w:szCs w:val="20"/>
                <w:lang w:eastAsia="en-AU"/>
              </w:rPr>
              <w:t>Target</w:t>
            </w:r>
          </w:p>
        </w:tc>
        <w:tc>
          <w:tcPr>
            <w:tcW w:w="103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20"/>
                <w:szCs w:val="20"/>
                <w:lang w:eastAsia="en-AU"/>
              </w:rPr>
            </w:pPr>
            <w:r w:rsidRPr="00770481">
              <w:rPr>
                <w:rFonts w:ascii="Calibri" w:eastAsia="Times New Roman" w:hAnsi="Calibri" w:cs="Times New Roman"/>
                <w:b/>
                <w:bCs/>
                <w:color w:val="000000" w:themeColor="text1"/>
                <w:sz w:val="20"/>
                <w:szCs w:val="20"/>
                <w:lang w:eastAsia="en-AU"/>
              </w:rPr>
              <w:t>Facility</w:t>
            </w:r>
          </w:p>
        </w:tc>
        <w:tc>
          <w:tcPr>
            <w:tcW w:w="176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20"/>
                <w:szCs w:val="20"/>
                <w:lang w:eastAsia="en-AU"/>
              </w:rPr>
            </w:pPr>
            <w:r w:rsidRPr="00770481">
              <w:rPr>
                <w:rFonts w:ascii="Calibri" w:eastAsia="Times New Roman" w:hAnsi="Calibri" w:cs="Times New Roman"/>
                <w:b/>
                <w:bCs/>
                <w:color w:val="000000" w:themeColor="text1"/>
                <w:sz w:val="20"/>
                <w:szCs w:val="20"/>
                <w:lang w:eastAsia="en-AU"/>
              </w:rPr>
              <w:t>Index</w:t>
            </w:r>
          </w:p>
        </w:tc>
        <w:tc>
          <w:tcPr>
            <w:tcW w:w="84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20"/>
                <w:szCs w:val="20"/>
                <w:lang w:eastAsia="en-AU"/>
              </w:rPr>
            </w:pPr>
            <w:r w:rsidRPr="00770481">
              <w:rPr>
                <w:rFonts w:ascii="Calibri" w:eastAsia="Times New Roman" w:hAnsi="Calibri" w:cs="Times New Roman"/>
                <w:b/>
                <w:bCs/>
                <w:color w:val="000000" w:themeColor="text1"/>
                <w:sz w:val="20"/>
                <w:szCs w:val="20"/>
                <w:lang w:eastAsia="en-AU"/>
              </w:rPr>
              <w:t>Flow Cell</w:t>
            </w:r>
          </w:p>
        </w:tc>
        <w:tc>
          <w:tcPr>
            <w:tcW w:w="391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20"/>
                <w:szCs w:val="20"/>
                <w:lang w:eastAsia="en-AU"/>
              </w:rPr>
            </w:pPr>
            <w:r w:rsidRPr="00770481">
              <w:rPr>
                <w:rFonts w:ascii="Calibri" w:eastAsia="Times New Roman" w:hAnsi="Calibri" w:cs="Times New Roman"/>
                <w:b/>
                <w:bCs/>
                <w:color w:val="000000" w:themeColor="text1"/>
                <w:sz w:val="20"/>
                <w:szCs w:val="20"/>
                <w:lang w:eastAsia="en-AU"/>
              </w:rPr>
              <w:t>Sample Name</w:t>
            </w:r>
          </w:p>
        </w:tc>
      </w:tr>
      <w:tr w:rsidR="00770481" w:rsidRPr="00770481" w:rsidTr="00770481">
        <w:trPr>
          <w:trHeight w:val="300"/>
        </w:trPr>
        <w:tc>
          <w:tcPr>
            <w:tcW w:w="84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XXXX_1</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16</w:t>
            </w:r>
            <w:r w:rsidR="000B6C30">
              <w:rPr>
                <w:rFonts w:ascii="Calibri" w:eastAsia="Times New Roman" w:hAnsi="Calibri" w:cs="Times New Roman"/>
                <w:color w:val="000000" w:themeColor="text1"/>
                <w:sz w:val="19"/>
                <w:szCs w:val="19"/>
                <w:lang w:eastAsia="en-AU"/>
              </w:rPr>
              <w:t>S</w:t>
            </w:r>
          </w:p>
        </w:tc>
        <w:tc>
          <w:tcPr>
            <w:tcW w:w="1039"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AGRF</w:t>
            </w:r>
          </w:p>
        </w:tc>
        <w:tc>
          <w:tcPr>
            <w:tcW w:w="1768"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GGAGACAAGGGA</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A5BHR</w:t>
            </w:r>
          </w:p>
        </w:tc>
        <w:tc>
          <w:tcPr>
            <w:tcW w:w="3919"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0B6C30" w:rsidP="00770481">
            <w:pPr>
              <w:spacing w:before="100" w:beforeAutospacing="1" w:after="100" w:afterAutospacing="1" w:line="240" w:lineRule="auto"/>
              <w:rPr>
                <w:rFonts w:ascii="Times New Roman" w:eastAsia="Times New Roman" w:hAnsi="Times New Roman" w:cs="Times New Roman"/>
                <w:color w:val="000000" w:themeColor="text1"/>
                <w:sz w:val="19"/>
                <w:szCs w:val="19"/>
                <w:lang w:eastAsia="en-AU"/>
              </w:rPr>
            </w:pPr>
            <w:r>
              <w:rPr>
                <w:rFonts w:ascii="Calibri" w:eastAsia="Times New Roman" w:hAnsi="Calibri" w:cs="Times New Roman"/>
                <w:color w:val="000000" w:themeColor="text1"/>
                <w:sz w:val="19"/>
                <w:szCs w:val="19"/>
                <w:lang w:eastAsia="en-AU"/>
              </w:rPr>
              <w:t>XXXX_1_16S</w:t>
            </w:r>
            <w:r w:rsidR="00770481" w:rsidRPr="00770481">
              <w:rPr>
                <w:rFonts w:ascii="Calibri" w:eastAsia="Times New Roman" w:hAnsi="Calibri" w:cs="Times New Roman"/>
                <w:color w:val="000000" w:themeColor="text1"/>
                <w:sz w:val="19"/>
                <w:szCs w:val="19"/>
                <w:lang w:eastAsia="en-AU"/>
              </w:rPr>
              <w:t>_AGRF_GGAGACAAGGGA_A5BHR</w:t>
            </w:r>
          </w:p>
        </w:tc>
      </w:tr>
      <w:tr w:rsidR="00770481" w:rsidRPr="00770481" w:rsidTr="00770481">
        <w:trPr>
          <w:trHeight w:val="300"/>
        </w:trPr>
        <w:tc>
          <w:tcPr>
            <w:tcW w:w="84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XXXY_1</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16</w:t>
            </w:r>
            <w:r w:rsidR="000B6C30">
              <w:rPr>
                <w:rFonts w:ascii="Calibri" w:eastAsia="Times New Roman" w:hAnsi="Calibri" w:cs="Times New Roman"/>
                <w:color w:val="000000" w:themeColor="text1"/>
                <w:sz w:val="19"/>
                <w:szCs w:val="19"/>
                <w:lang w:eastAsia="en-AU"/>
              </w:rPr>
              <w:t>S</w:t>
            </w:r>
          </w:p>
        </w:tc>
        <w:tc>
          <w:tcPr>
            <w:tcW w:w="1039"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AGRF</w:t>
            </w:r>
          </w:p>
        </w:tc>
        <w:tc>
          <w:tcPr>
            <w:tcW w:w="1768"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AATCAGTCTCGT</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A5BHR</w:t>
            </w:r>
          </w:p>
        </w:tc>
        <w:tc>
          <w:tcPr>
            <w:tcW w:w="3919"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0B6C30" w:rsidP="00770481">
            <w:pPr>
              <w:spacing w:before="100" w:beforeAutospacing="1" w:after="100" w:afterAutospacing="1" w:line="240" w:lineRule="auto"/>
              <w:rPr>
                <w:rFonts w:ascii="Times New Roman" w:eastAsia="Times New Roman" w:hAnsi="Times New Roman" w:cs="Times New Roman"/>
                <w:color w:val="000000" w:themeColor="text1"/>
                <w:sz w:val="19"/>
                <w:szCs w:val="19"/>
                <w:lang w:eastAsia="en-AU"/>
              </w:rPr>
            </w:pPr>
            <w:r>
              <w:rPr>
                <w:rFonts w:ascii="Calibri" w:eastAsia="Times New Roman" w:hAnsi="Calibri" w:cs="Times New Roman"/>
                <w:color w:val="000000" w:themeColor="text1"/>
                <w:sz w:val="19"/>
                <w:szCs w:val="19"/>
                <w:lang w:eastAsia="en-AU"/>
              </w:rPr>
              <w:t>XXXY_1_16S</w:t>
            </w:r>
            <w:r w:rsidR="00770481" w:rsidRPr="00770481">
              <w:rPr>
                <w:rFonts w:ascii="Calibri" w:eastAsia="Times New Roman" w:hAnsi="Calibri" w:cs="Times New Roman"/>
                <w:color w:val="000000" w:themeColor="text1"/>
                <w:sz w:val="19"/>
                <w:szCs w:val="19"/>
                <w:lang w:eastAsia="en-AU"/>
              </w:rPr>
              <w:t>_AGRF_AATCAGTCTCGT_A5BHR</w:t>
            </w:r>
          </w:p>
        </w:tc>
      </w:tr>
      <w:tr w:rsidR="00770481" w:rsidRPr="00770481" w:rsidTr="00770481">
        <w:trPr>
          <w:trHeight w:val="300"/>
        </w:trPr>
        <w:tc>
          <w:tcPr>
            <w:tcW w:w="84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XXXZ_1</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16</w:t>
            </w:r>
            <w:r w:rsidR="000B6C30">
              <w:rPr>
                <w:rFonts w:ascii="Calibri" w:eastAsia="Times New Roman" w:hAnsi="Calibri" w:cs="Times New Roman"/>
                <w:color w:val="000000" w:themeColor="text1"/>
                <w:sz w:val="19"/>
                <w:szCs w:val="19"/>
                <w:lang w:eastAsia="en-AU"/>
              </w:rPr>
              <w:t>S</w:t>
            </w:r>
          </w:p>
        </w:tc>
        <w:tc>
          <w:tcPr>
            <w:tcW w:w="1039"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AGRF</w:t>
            </w:r>
          </w:p>
        </w:tc>
        <w:tc>
          <w:tcPr>
            <w:tcW w:w="1768"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AATCCGTACAGC</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770481" w:rsidP="00770481">
            <w:pPr>
              <w:spacing w:before="100" w:beforeAutospacing="1" w:after="100" w:afterAutospacing="1" w:line="240" w:lineRule="auto"/>
              <w:jc w:val="center"/>
              <w:rPr>
                <w:rFonts w:ascii="Times New Roman" w:eastAsia="Times New Roman" w:hAnsi="Times New Roman" w:cs="Times New Roman"/>
                <w:color w:val="000000" w:themeColor="text1"/>
                <w:sz w:val="19"/>
                <w:szCs w:val="19"/>
                <w:lang w:eastAsia="en-AU"/>
              </w:rPr>
            </w:pPr>
            <w:r w:rsidRPr="00770481">
              <w:rPr>
                <w:rFonts w:ascii="Calibri" w:eastAsia="Times New Roman" w:hAnsi="Calibri" w:cs="Times New Roman"/>
                <w:color w:val="000000" w:themeColor="text1"/>
                <w:sz w:val="19"/>
                <w:szCs w:val="19"/>
                <w:lang w:eastAsia="en-AU"/>
              </w:rPr>
              <w:t>A5BHR</w:t>
            </w:r>
          </w:p>
        </w:tc>
        <w:tc>
          <w:tcPr>
            <w:tcW w:w="3919" w:type="dxa"/>
            <w:tcBorders>
              <w:top w:val="nil"/>
              <w:left w:val="nil"/>
              <w:bottom w:val="single" w:sz="8" w:space="0" w:color="auto"/>
              <w:right w:val="single" w:sz="8" w:space="0" w:color="auto"/>
            </w:tcBorders>
            <w:noWrap/>
            <w:tcMar>
              <w:top w:w="0" w:type="dxa"/>
              <w:left w:w="108" w:type="dxa"/>
              <w:bottom w:w="0" w:type="dxa"/>
              <w:right w:w="108" w:type="dxa"/>
            </w:tcMar>
            <w:hideMark/>
          </w:tcPr>
          <w:p w:rsidR="00770481" w:rsidRPr="00770481" w:rsidRDefault="000B6C30" w:rsidP="00770481">
            <w:pPr>
              <w:spacing w:before="100" w:beforeAutospacing="1" w:after="100" w:afterAutospacing="1" w:line="240" w:lineRule="auto"/>
              <w:rPr>
                <w:rFonts w:ascii="Times New Roman" w:eastAsia="Times New Roman" w:hAnsi="Times New Roman" w:cs="Times New Roman"/>
                <w:color w:val="000000" w:themeColor="text1"/>
                <w:sz w:val="19"/>
                <w:szCs w:val="19"/>
                <w:lang w:eastAsia="en-AU"/>
              </w:rPr>
            </w:pPr>
            <w:r>
              <w:rPr>
                <w:rFonts w:ascii="Calibri" w:eastAsia="Times New Roman" w:hAnsi="Calibri" w:cs="Times New Roman"/>
                <w:color w:val="000000" w:themeColor="text1"/>
                <w:sz w:val="19"/>
                <w:szCs w:val="19"/>
                <w:lang w:eastAsia="en-AU"/>
              </w:rPr>
              <w:t>XXXZ_1_16S</w:t>
            </w:r>
            <w:r w:rsidR="00770481" w:rsidRPr="00770481">
              <w:rPr>
                <w:rFonts w:ascii="Calibri" w:eastAsia="Times New Roman" w:hAnsi="Calibri" w:cs="Times New Roman"/>
                <w:color w:val="000000" w:themeColor="text1"/>
                <w:sz w:val="19"/>
                <w:szCs w:val="19"/>
                <w:lang w:eastAsia="en-AU"/>
              </w:rPr>
              <w:t>_AGRF_AATCCGTACAGC_A5BHR</w:t>
            </w:r>
          </w:p>
        </w:tc>
      </w:tr>
    </w:tbl>
    <w:p w:rsidR="000B6C30" w:rsidRDefault="000B6C30" w:rsidP="00770481">
      <w:pPr>
        <w:rPr>
          <w:rFonts w:ascii="Times New Roman" w:eastAsia="Times New Roman" w:hAnsi="Times New Roman" w:cs="Times New Roman"/>
          <w:sz w:val="24"/>
          <w:szCs w:val="24"/>
          <w:lang w:eastAsia="en-AU"/>
        </w:rPr>
      </w:pPr>
    </w:p>
    <w:p w:rsidR="000B6C30" w:rsidRDefault="000B6C30" w:rsidP="000B6C30">
      <w:pPr>
        <w:pStyle w:val="ListParagraph"/>
        <w:spacing w:after="0" w:line="240" w:lineRule="auto"/>
        <w:ind w:left="1080"/>
        <w:rPr>
          <w:b/>
        </w:rPr>
      </w:pPr>
      <w:r>
        <w:rPr>
          <w:b/>
        </w:rPr>
        <w:t>Target code</w:t>
      </w:r>
    </w:p>
    <w:p w:rsidR="000B6C30" w:rsidRPr="000B6C30" w:rsidRDefault="000B6C30" w:rsidP="000B6C30">
      <w:pPr>
        <w:pStyle w:val="ListParagraph"/>
        <w:numPr>
          <w:ilvl w:val="0"/>
          <w:numId w:val="36"/>
        </w:numPr>
        <w:spacing w:after="0" w:line="240" w:lineRule="auto"/>
      </w:pPr>
      <w:r w:rsidRPr="000B6C30">
        <w:t>16S</w:t>
      </w:r>
    </w:p>
    <w:p w:rsidR="000B6C30" w:rsidRPr="000B6C30" w:rsidRDefault="000B6C30" w:rsidP="000B6C30">
      <w:pPr>
        <w:pStyle w:val="ListParagraph"/>
        <w:numPr>
          <w:ilvl w:val="0"/>
          <w:numId w:val="36"/>
        </w:numPr>
        <w:spacing w:after="0" w:line="240" w:lineRule="auto"/>
      </w:pPr>
      <w:r w:rsidRPr="000B6C30">
        <w:t>18S</w:t>
      </w:r>
    </w:p>
    <w:p w:rsidR="000B6C30" w:rsidRDefault="000B6C30" w:rsidP="000B6C30">
      <w:pPr>
        <w:pStyle w:val="ListParagraph"/>
        <w:numPr>
          <w:ilvl w:val="0"/>
          <w:numId w:val="36"/>
        </w:numPr>
        <w:spacing w:after="0" w:line="240" w:lineRule="auto"/>
      </w:pPr>
      <w:r w:rsidRPr="000B6C30">
        <w:t>ITS</w:t>
      </w:r>
    </w:p>
    <w:p w:rsidR="00AE1D25" w:rsidRPr="00397529" w:rsidRDefault="00397529" w:rsidP="000B6C30">
      <w:pPr>
        <w:pStyle w:val="ListParagraph"/>
        <w:numPr>
          <w:ilvl w:val="0"/>
          <w:numId w:val="36"/>
        </w:numPr>
        <w:spacing w:after="0" w:line="240" w:lineRule="auto"/>
      </w:pPr>
      <w:r w:rsidRPr="00397529">
        <w:t>A</w:t>
      </w:r>
      <w:r w:rsidR="00AE1D25" w:rsidRPr="00397529">
        <w:t>16S</w:t>
      </w:r>
    </w:p>
    <w:p w:rsidR="000B6C30" w:rsidRDefault="000B6C30" w:rsidP="000B6C30">
      <w:pPr>
        <w:pStyle w:val="ListParagraph"/>
        <w:spacing w:after="0" w:line="240" w:lineRule="auto"/>
        <w:ind w:left="1080"/>
        <w:rPr>
          <w:b/>
        </w:rPr>
      </w:pPr>
    </w:p>
    <w:p w:rsidR="000B6C30" w:rsidRPr="000B6C30" w:rsidRDefault="000B6C30" w:rsidP="000B6C30">
      <w:pPr>
        <w:pStyle w:val="ListParagraph"/>
        <w:spacing w:after="0" w:line="240" w:lineRule="auto"/>
        <w:ind w:left="1080"/>
        <w:rPr>
          <w:b/>
        </w:rPr>
      </w:pPr>
      <w:r w:rsidRPr="000B6C30">
        <w:rPr>
          <w:b/>
        </w:rPr>
        <w:t>Facility</w:t>
      </w:r>
      <w:r>
        <w:rPr>
          <w:b/>
        </w:rPr>
        <w:t xml:space="preserve"> code</w:t>
      </w:r>
    </w:p>
    <w:p w:rsidR="000B6C30" w:rsidRPr="00484A94" w:rsidRDefault="000B6C30" w:rsidP="000B6C30">
      <w:pPr>
        <w:pStyle w:val="ListParagraph"/>
        <w:numPr>
          <w:ilvl w:val="0"/>
          <w:numId w:val="36"/>
        </w:numPr>
        <w:spacing w:after="0" w:line="240" w:lineRule="auto"/>
      </w:pPr>
      <w:r w:rsidRPr="00484A94">
        <w:t xml:space="preserve">UNSW </w:t>
      </w:r>
    </w:p>
    <w:p w:rsidR="000B6C30" w:rsidRPr="00484A94" w:rsidRDefault="000B6C30" w:rsidP="000B6C30">
      <w:pPr>
        <w:pStyle w:val="ListParagraph"/>
        <w:numPr>
          <w:ilvl w:val="0"/>
          <w:numId w:val="36"/>
        </w:numPr>
        <w:spacing w:after="0" w:line="240" w:lineRule="auto"/>
      </w:pPr>
      <w:r w:rsidRPr="00484A94">
        <w:t xml:space="preserve">AGRF </w:t>
      </w:r>
    </w:p>
    <w:p w:rsidR="000B6C30" w:rsidRDefault="000B6C30" w:rsidP="00770481">
      <w:pPr>
        <w:rPr>
          <w:rFonts w:ascii="Times New Roman" w:eastAsia="Times New Roman" w:hAnsi="Times New Roman" w:cs="Times New Roman"/>
          <w:sz w:val="24"/>
          <w:szCs w:val="24"/>
          <w:lang w:eastAsia="en-AU"/>
        </w:rPr>
      </w:pPr>
    </w:p>
    <w:p w:rsidR="00966A02" w:rsidRDefault="00770481" w:rsidP="00770481">
      <w:pPr>
        <w:ind w:left="360" w:firstLine="720"/>
      </w:pPr>
      <w:r w:rsidRPr="00770481">
        <w:rPr>
          <w:u w:val="single"/>
        </w:rPr>
        <w:t>Final file name:</w:t>
      </w:r>
      <w:r w:rsidRPr="00770481">
        <w:t xml:space="preserve"> </w:t>
      </w:r>
      <w:proofErr w:type="spellStart"/>
      <w:r w:rsidRPr="00770481">
        <w:rPr>
          <w:b/>
        </w:rPr>
        <w:t>SampleName</w:t>
      </w:r>
      <w:proofErr w:type="spellEnd"/>
      <w:r w:rsidRPr="00770481">
        <w:rPr>
          <w:b/>
        </w:rPr>
        <w:t xml:space="preserve"> </w:t>
      </w:r>
      <w:r w:rsidR="003B2D8D" w:rsidRPr="00770481">
        <w:rPr>
          <w:b/>
        </w:rPr>
        <w:t>_</w:t>
      </w:r>
      <w:r w:rsidR="00966A02" w:rsidRPr="00770481">
        <w:rPr>
          <w:b/>
        </w:rPr>
        <w:t>S#_L001_R1_001.fastq.gz</w:t>
      </w:r>
    </w:p>
    <w:p w:rsidR="00966A02" w:rsidRDefault="00966A02" w:rsidP="003B2D8D">
      <w:pPr>
        <w:pStyle w:val="ListParagraph"/>
        <w:ind w:left="1080"/>
      </w:pPr>
      <w:proofErr w:type="spellStart"/>
      <w:r>
        <w:t>SampleName</w:t>
      </w:r>
      <w:proofErr w:type="spellEnd"/>
      <w:r>
        <w:t xml:space="preserve"> = </w:t>
      </w:r>
      <w:r w:rsidR="00770481">
        <w:t xml:space="preserve">in </w:t>
      </w:r>
      <w:proofErr w:type="spellStart"/>
      <w:r w:rsidR="00770481">
        <w:t>Sample_Name</w:t>
      </w:r>
      <w:proofErr w:type="spellEnd"/>
      <w:r w:rsidR="00770481">
        <w:t xml:space="preserve"> column (as in table above)</w:t>
      </w:r>
    </w:p>
    <w:p w:rsidR="00966A02" w:rsidRDefault="00966A02" w:rsidP="003B2D8D">
      <w:pPr>
        <w:pStyle w:val="ListParagraph"/>
        <w:ind w:left="1080"/>
      </w:pPr>
      <w:r>
        <w:t>S# = sample number in the run</w:t>
      </w:r>
    </w:p>
    <w:p w:rsidR="00966A02" w:rsidRDefault="00966A02" w:rsidP="003B2D8D">
      <w:pPr>
        <w:pStyle w:val="ListParagraph"/>
        <w:ind w:left="1080"/>
      </w:pPr>
      <w:r>
        <w:t>L001 = lane 1</w:t>
      </w:r>
    </w:p>
    <w:p w:rsidR="00770481" w:rsidRDefault="00966A02" w:rsidP="00770481">
      <w:pPr>
        <w:pStyle w:val="ListParagraph"/>
        <w:ind w:left="1080"/>
      </w:pPr>
      <w:r>
        <w:t>R1 = Read 1 or R2 = Read 2</w:t>
      </w:r>
    </w:p>
    <w:p w:rsidR="00770481" w:rsidRDefault="00770481" w:rsidP="00770481">
      <w:pPr>
        <w:pStyle w:val="ListParagraph"/>
        <w:ind w:left="1080"/>
      </w:pPr>
    </w:p>
    <w:p w:rsidR="00966A02" w:rsidRPr="003B2D8D" w:rsidRDefault="00966A02" w:rsidP="00770481">
      <w:pPr>
        <w:pStyle w:val="ListParagraph"/>
        <w:ind w:left="1080"/>
      </w:pPr>
      <w:proofErr w:type="gramStart"/>
      <w:r w:rsidRPr="003B2D8D">
        <w:t>e.g.</w:t>
      </w:r>
      <w:proofErr w:type="gramEnd"/>
      <w:r w:rsidRPr="003B2D8D">
        <w:t xml:space="preserve"> </w:t>
      </w:r>
    </w:p>
    <w:p w:rsidR="00484A94" w:rsidRDefault="00966A02" w:rsidP="00966A02">
      <w:pPr>
        <w:pStyle w:val="ListParagraph"/>
        <w:spacing w:before="100" w:beforeAutospacing="1" w:after="0" w:line="240" w:lineRule="auto"/>
        <w:ind w:left="1080"/>
      </w:pPr>
      <w:r w:rsidRPr="003B2D8D">
        <w:t>7709</w:t>
      </w:r>
      <w:r w:rsidR="003B2D8D" w:rsidRPr="003B2D8D">
        <w:t>_</w:t>
      </w:r>
      <w:r w:rsidR="00770481">
        <w:t>1_</w:t>
      </w:r>
      <w:r w:rsidR="00770481" w:rsidRPr="00770481">
        <w:t>16s_AGRF_GGAGACAAGGGA_A5BHR</w:t>
      </w:r>
      <w:r w:rsidR="00770481" w:rsidRPr="003B2D8D">
        <w:t xml:space="preserve"> </w:t>
      </w:r>
      <w:r w:rsidRPr="003B2D8D">
        <w:t>_</w:t>
      </w:r>
      <w:r w:rsidR="003B2D8D" w:rsidRPr="003B2D8D">
        <w:t xml:space="preserve"> </w:t>
      </w:r>
      <w:r w:rsidR="003B2D8D">
        <w:t>S#_L001_R1_001</w:t>
      </w:r>
      <w:r w:rsidR="00770481">
        <w:br/>
        <w:t>8201</w:t>
      </w:r>
      <w:r w:rsidRPr="003B2D8D">
        <w:t>_</w:t>
      </w:r>
      <w:r w:rsidR="003B2D8D" w:rsidRPr="003B2D8D">
        <w:t>1_</w:t>
      </w:r>
      <w:r w:rsidR="00770481">
        <w:t>18S_</w:t>
      </w:r>
      <w:r w:rsidR="00770481" w:rsidRPr="00770481">
        <w:t>UNSW_AATCAGTCTCGT_A5BHR</w:t>
      </w:r>
      <w:r w:rsidR="00770481">
        <w:t xml:space="preserve"> </w:t>
      </w:r>
      <w:r w:rsidR="003B2D8D">
        <w:t>S#_L001_R1_001</w:t>
      </w:r>
    </w:p>
    <w:p w:rsidR="000B6C30" w:rsidRDefault="000B6C30" w:rsidP="00966A02">
      <w:pPr>
        <w:pStyle w:val="ListParagraph"/>
        <w:spacing w:before="100" w:beforeAutospacing="1" w:after="0" w:line="240" w:lineRule="auto"/>
        <w:ind w:left="1080"/>
      </w:pPr>
    </w:p>
    <w:p w:rsidR="000B6C30" w:rsidRPr="00484A94" w:rsidRDefault="000B6C30" w:rsidP="000B6C30">
      <w:pPr>
        <w:pStyle w:val="ListParagraph"/>
        <w:spacing w:after="0" w:line="240" w:lineRule="auto"/>
        <w:ind w:left="1080"/>
      </w:pPr>
    </w:p>
    <w:p w:rsidR="000B6C30" w:rsidRDefault="000B6C30" w:rsidP="000B6C30">
      <w:pPr>
        <w:pStyle w:val="ListParagraph"/>
        <w:spacing w:before="100" w:beforeAutospacing="1" w:after="0" w:line="240" w:lineRule="auto"/>
        <w:ind w:left="1080"/>
      </w:pPr>
      <w:r w:rsidRPr="00484A94">
        <w:t>Consistency in naming – UNSW, AGRF</w:t>
      </w:r>
      <w:r w:rsidR="00C568F3">
        <w:t>16S, 18S, ITS</w:t>
      </w:r>
      <w:r w:rsidRPr="00484A94">
        <w:t xml:space="preserve"> </w:t>
      </w:r>
      <w:r w:rsidR="00C568F3">
        <w:t xml:space="preserve">and </w:t>
      </w:r>
      <w:r w:rsidRPr="00484A94">
        <w:t xml:space="preserve">index sequence should </w:t>
      </w:r>
      <w:r w:rsidR="00C568F3">
        <w:t>always be upper case.</w:t>
      </w:r>
    </w:p>
    <w:p w:rsidR="00F43B24" w:rsidRDefault="00F43B24" w:rsidP="000B6C30">
      <w:pPr>
        <w:pStyle w:val="ListParagraph"/>
        <w:spacing w:before="100" w:beforeAutospacing="1" w:after="0" w:line="240" w:lineRule="auto"/>
        <w:ind w:left="1080"/>
      </w:pPr>
    </w:p>
    <w:p w:rsidR="00F43B24" w:rsidRPr="00F43B24" w:rsidRDefault="00F43B24" w:rsidP="00F43B24">
      <w:pPr>
        <w:pStyle w:val="ListParagraph"/>
        <w:numPr>
          <w:ilvl w:val="0"/>
          <w:numId w:val="30"/>
        </w:numPr>
        <w:spacing w:before="100" w:beforeAutospacing="1" w:after="0" w:line="240" w:lineRule="auto"/>
        <w:rPr>
          <w:b/>
        </w:rPr>
      </w:pPr>
      <w:proofErr w:type="spellStart"/>
      <w:r w:rsidRPr="00F43B24">
        <w:rPr>
          <w:b/>
        </w:rPr>
        <w:t>Amplicon</w:t>
      </w:r>
      <w:proofErr w:type="spellEnd"/>
      <w:r w:rsidRPr="00F43B24">
        <w:rPr>
          <w:b/>
        </w:rPr>
        <w:t xml:space="preserve"> post run processing:</w:t>
      </w:r>
    </w:p>
    <w:p w:rsidR="00F43B24" w:rsidRDefault="00F43B24" w:rsidP="00F43B24">
      <w:pPr>
        <w:pStyle w:val="ListParagraph"/>
        <w:numPr>
          <w:ilvl w:val="0"/>
          <w:numId w:val="39"/>
        </w:numPr>
        <w:spacing w:before="100" w:beforeAutospacing="1" w:after="0" w:line="240" w:lineRule="auto"/>
      </w:pPr>
      <w:r>
        <w:t xml:space="preserve">Use default machine settings of </w:t>
      </w:r>
      <w:proofErr w:type="spellStart"/>
      <w:r>
        <w:t>Miseq</w:t>
      </w:r>
      <w:proofErr w:type="spellEnd"/>
      <w:r>
        <w:t xml:space="preserve"> software </w:t>
      </w:r>
      <w:r w:rsidRPr="00397529">
        <w:t xml:space="preserve">version </w:t>
      </w:r>
      <w:r w:rsidR="00397529">
        <w:t>information to be included with sequencing metadata</w:t>
      </w:r>
    </w:p>
    <w:p w:rsidR="00F43B24" w:rsidRDefault="00F43B24" w:rsidP="00F43B24">
      <w:pPr>
        <w:pStyle w:val="ListParagraph"/>
        <w:numPr>
          <w:ilvl w:val="0"/>
          <w:numId w:val="39"/>
        </w:numPr>
        <w:spacing w:before="100" w:beforeAutospacing="1" w:after="0" w:line="240" w:lineRule="auto"/>
      </w:pPr>
      <w:r>
        <w:t xml:space="preserve">Machine set up for </w:t>
      </w:r>
      <w:proofErr w:type="spellStart"/>
      <w:r>
        <w:t>fastq</w:t>
      </w:r>
      <w:proofErr w:type="spellEnd"/>
      <w:r>
        <w:t xml:space="preserve"> index file output in addition to read 1 and read 2 compressed </w:t>
      </w:r>
      <w:proofErr w:type="spellStart"/>
      <w:r>
        <w:t>fastq</w:t>
      </w:r>
      <w:proofErr w:type="spellEnd"/>
      <w:r>
        <w:t xml:space="preserve"> file outputs</w:t>
      </w:r>
    </w:p>
    <w:p w:rsidR="008030B4" w:rsidRDefault="008030B4" w:rsidP="00F43B24">
      <w:pPr>
        <w:pStyle w:val="ListParagraph"/>
        <w:numPr>
          <w:ilvl w:val="0"/>
          <w:numId w:val="39"/>
        </w:numPr>
        <w:spacing w:before="100" w:beforeAutospacing="1" w:after="0" w:line="240" w:lineRule="auto"/>
      </w:pPr>
      <w:r>
        <w:t>Forward, reverse and index read files with checksums to be sent for data storage</w:t>
      </w:r>
    </w:p>
    <w:p w:rsidR="00484A94" w:rsidRDefault="00484A94" w:rsidP="00966A02">
      <w:pPr>
        <w:pStyle w:val="ListParagraph"/>
        <w:spacing w:before="100" w:beforeAutospacing="1" w:after="0" w:line="240" w:lineRule="auto"/>
        <w:ind w:left="1080"/>
      </w:pPr>
    </w:p>
    <w:p w:rsidR="001A164D" w:rsidRDefault="001A164D" w:rsidP="00966A02">
      <w:pPr>
        <w:pStyle w:val="ListParagraph"/>
        <w:spacing w:before="100" w:beforeAutospacing="1" w:after="0" w:line="240" w:lineRule="auto"/>
        <w:ind w:left="1080"/>
      </w:pPr>
    </w:p>
    <w:p w:rsidR="001A164D" w:rsidRDefault="001A164D" w:rsidP="001A164D">
      <w:pPr>
        <w:pStyle w:val="ListParagraph"/>
        <w:ind w:left="360"/>
        <w:rPr>
          <w:b/>
          <w:u w:val="single"/>
        </w:rPr>
      </w:pPr>
      <w:r>
        <w:rPr>
          <w:b/>
          <w:u w:val="single"/>
        </w:rPr>
        <w:t xml:space="preserve">METAGENOMICS </w:t>
      </w:r>
      <w:r w:rsidR="00F43B24">
        <w:rPr>
          <w:b/>
          <w:u w:val="single"/>
        </w:rPr>
        <w:t>SEQUENCING WORKFLOW</w:t>
      </w:r>
      <w:r>
        <w:rPr>
          <w:b/>
          <w:u w:val="single"/>
        </w:rPr>
        <w:t>:</w:t>
      </w:r>
    </w:p>
    <w:p w:rsidR="001A164D" w:rsidRDefault="001A164D" w:rsidP="001A164D">
      <w:pPr>
        <w:pStyle w:val="ListParagraph"/>
        <w:ind w:left="360"/>
      </w:pPr>
      <w:r w:rsidRPr="001A164D">
        <w:t xml:space="preserve">To be undertaken at AGRF Melbourne and </w:t>
      </w:r>
      <w:proofErr w:type="spellStart"/>
      <w:r w:rsidRPr="001A164D">
        <w:t>Ramaciotti</w:t>
      </w:r>
      <w:proofErr w:type="spellEnd"/>
      <w:r w:rsidRPr="001A164D">
        <w:t xml:space="preserve"> Centre, UNSW</w:t>
      </w:r>
    </w:p>
    <w:p w:rsidR="00F43B24" w:rsidRDefault="00F43B24" w:rsidP="001A164D">
      <w:pPr>
        <w:pStyle w:val="ListParagraph"/>
        <w:ind w:left="360"/>
      </w:pPr>
    </w:p>
    <w:p w:rsidR="00F43B24" w:rsidRPr="002902FD" w:rsidRDefault="002902FD" w:rsidP="002902FD">
      <w:pPr>
        <w:pStyle w:val="ListParagraph"/>
        <w:numPr>
          <w:ilvl w:val="0"/>
          <w:numId w:val="30"/>
        </w:numPr>
        <w:rPr>
          <w:b/>
        </w:rPr>
      </w:pPr>
      <w:proofErr w:type="spellStart"/>
      <w:r>
        <w:rPr>
          <w:b/>
        </w:rPr>
        <w:t>Metagenomics</w:t>
      </w:r>
      <w:proofErr w:type="spellEnd"/>
      <w:r>
        <w:rPr>
          <w:b/>
        </w:rPr>
        <w:t xml:space="preserve"> library p</w:t>
      </w:r>
      <w:r w:rsidRPr="00C10716">
        <w:rPr>
          <w:b/>
        </w:rPr>
        <w:t xml:space="preserve">reparation and </w:t>
      </w:r>
      <w:r w:rsidR="008030B4">
        <w:rPr>
          <w:b/>
        </w:rPr>
        <w:t>sequencing</w:t>
      </w:r>
      <w:r w:rsidRPr="00C10716">
        <w:rPr>
          <w:b/>
        </w:rPr>
        <w:t>:</w:t>
      </w:r>
    </w:p>
    <w:p w:rsidR="002902FD" w:rsidRPr="002C0A94" w:rsidRDefault="002902FD" w:rsidP="002902FD">
      <w:pPr>
        <w:pStyle w:val="ListParagraph"/>
        <w:numPr>
          <w:ilvl w:val="0"/>
          <w:numId w:val="40"/>
        </w:numPr>
        <w:spacing w:before="100" w:beforeAutospacing="1" w:after="0" w:line="240" w:lineRule="auto"/>
        <w:rPr>
          <w:rFonts w:eastAsia="Times New Roman" w:cstheme="minorHAnsi"/>
          <w:color w:val="000000" w:themeColor="text1"/>
          <w:lang w:eastAsia="en-AU"/>
        </w:rPr>
      </w:pPr>
      <w:r>
        <w:t xml:space="preserve">Samples prepared using </w:t>
      </w:r>
      <w:proofErr w:type="spellStart"/>
      <w:r>
        <w:t>Illumina</w:t>
      </w:r>
      <w:proofErr w:type="spellEnd"/>
      <w:r>
        <w:t xml:space="preserve"> </w:t>
      </w:r>
      <w:proofErr w:type="spellStart"/>
      <w:r>
        <w:t>TruSeq</w:t>
      </w:r>
      <w:proofErr w:type="spellEnd"/>
      <w:r>
        <w:t xml:space="preserve"> PCR Free kit (350 or 550bp insert size) </w:t>
      </w:r>
      <w:r>
        <w:rPr>
          <w:color w:val="000000"/>
        </w:rPr>
        <w:t xml:space="preserve">as per </w:t>
      </w:r>
      <w:proofErr w:type="spellStart"/>
      <w:r>
        <w:rPr>
          <w:color w:val="000000"/>
        </w:rPr>
        <w:t>Illumina</w:t>
      </w:r>
      <w:proofErr w:type="spellEnd"/>
      <w:r>
        <w:rPr>
          <w:color w:val="000000"/>
        </w:rPr>
        <w:t xml:space="preserve"> instructions</w:t>
      </w:r>
    </w:p>
    <w:p w:rsidR="002902FD" w:rsidRDefault="008030B4" w:rsidP="008030B4">
      <w:pPr>
        <w:pStyle w:val="ListParagraph"/>
        <w:numPr>
          <w:ilvl w:val="0"/>
          <w:numId w:val="40"/>
        </w:numPr>
        <w:spacing w:before="100" w:beforeAutospacing="1" w:after="0" w:line="240" w:lineRule="auto"/>
      </w:pPr>
      <w:r>
        <w:t>Libraries to be s</w:t>
      </w:r>
      <w:r w:rsidR="002902FD">
        <w:t xml:space="preserve">equenced on </w:t>
      </w:r>
      <w:proofErr w:type="spellStart"/>
      <w:r w:rsidR="002902FD">
        <w:t>Illumina</w:t>
      </w:r>
      <w:proofErr w:type="spellEnd"/>
      <w:r w:rsidR="002902FD">
        <w:t xml:space="preserve"> </w:t>
      </w:r>
      <w:proofErr w:type="spellStart"/>
      <w:r w:rsidR="002902FD">
        <w:t>HiSeq</w:t>
      </w:r>
      <w:proofErr w:type="spellEnd"/>
      <w:r w:rsidR="002902FD">
        <w:t xml:space="preserve"> 2500 </w:t>
      </w:r>
      <w:r>
        <w:t>in rapid mode generating 0.5 lanes of 150bp PE data per sample (final data volumes to be confirmed)</w:t>
      </w:r>
    </w:p>
    <w:p w:rsidR="008030B4" w:rsidRDefault="008030B4" w:rsidP="008030B4">
      <w:pPr>
        <w:pStyle w:val="ListParagraph"/>
        <w:spacing w:before="100" w:beforeAutospacing="1" w:after="0" w:line="240" w:lineRule="auto"/>
        <w:ind w:left="1080"/>
      </w:pPr>
    </w:p>
    <w:p w:rsidR="00484A94" w:rsidRPr="00484A94" w:rsidRDefault="00484A94" w:rsidP="00484A94">
      <w:pPr>
        <w:pStyle w:val="ListParagraph"/>
        <w:numPr>
          <w:ilvl w:val="0"/>
          <w:numId w:val="16"/>
        </w:numPr>
        <w:spacing w:after="0" w:line="240" w:lineRule="auto"/>
        <w:rPr>
          <w:u w:val="single"/>
        </w:rPr>
      </w:pPr>
      <w:r w:rsidRPr="00484A94">
        <w:rPr>
          <w:u w:val="single"/>
        </w:rPr>
        <w:t xml:space="preserve">Uniform </w:t>
      </w:r>
      <w:proofErr w:type="spellStart"/>
      <w:r>
        <w:rPr>
          <w:u w:val="single"/>
        </w:rPr>
        <w:t>H</w:t>
      </w:r>
      <w:r w:rsidRPr="00484A94">
        <w:rPr>
          <w:u w:val="single"/>
        </w:rPr>
        <w:t>iSeq</w:t>
      </w:r>
      <w:proofErr w:type="spellEnd"/>
      <w:r w:rsidRPr="00484A94">
        <w:rPr>
          <w:u w:val="single"/>
        </w:rPr>
        <w:t xml:space="preserve"> file naming format:</w:t>
      </w:r>
    </w:p>
    <w:p w:rsidR="00484A94" w:rsidRDefault="00484A94" w:rsidP="00484A94">
      <w:pPr>
        <w:pStyle w:val="ListParagraph"/>
        <w:spacing w:after="0" w:line="240" w:lineRule="auto"/>
        <w:ind w:left="1080"/>
      </w:pPr>
    </w:p>
    <w:p w:rsidR="00484A94" w:rsidRPr="00484A94" w:rsidRDefault="00484A94" w:rsidP="00484A94">
      <w:pPr>
        <w:pStyle w:val="ListParagraph"/>
        <w:spacing w:after="0" w:line="240" w:lineRule="auto"/>
        <w:ind w:left="1080"/>
        <w:rPr>
          <w:b/>
        </w:rPr>
      </w:pPr>
      <w:proofErr w:type="spellStart"/>
      <w:r w:rsidRPr="00484A94">
        <w:rPr>
          <w:b/>
        </w:rPr>
        <w:t>UniqueID_extraction_</w:t>
      </w:r>
      <w:r w:rsidR="009940B9">
        <w:rPr>
          <w:b/>
        </w:rPr>
        <w:t>BASE_</w:t>
      </w:r>
      <w:r w:rsidRPr="00484A94">
        <w:rPr>
          <w:b/>
        </w:rPr>
        <w:t>sequencing</w:t>
      </w:r>
      <w:proofErr w:type="spellEnd"/>
      <w:r w:rsidRPr="00484A94">
        <w:rPr>
          <w:b/>
        </w:rPr>
        <w:t xml:space="preserve"> centre code_FlowID_Index_Lane_F1/R</w:t>
      </w:r>
      <w:bookmarkStart w:id="0" w:name="_GoBack"/>
      <w:bookmarkEnd w:id="0"/>
      <w:r w:rsidRPr="00484A94">
        <w:rPr>
          <w:b/>
        </w:rPr>
        <w:t>1Read</w:t>
      </w:r>
    </w:p>
    <w:p w:rsidR="00484A94" w:rsidRPr="00484A94" w:rsidRDefault="00484A94" w:rsidP="00484A94">
      <w:pPr>
        <w:pStyle w:val="ListParagraph"/>
        <w:spacing w:after="0" w:line="240" w:lineRule="auto"/>
        <w:ind w:left="1080"/>
      </w:pPr>
    </w:p>
    <w:p w:rsidR="00484A94" w:rsidRPr="00484A94" w:rsidRDefault="00484A94" w:rsidP="00484A94">
      <w:pPr>
        <w:pStyle w:val="ListParagraph"/>
        <w:spacing w:after="0" w:line="240" w:lineRule="auto"/>
        <w:ind w:left="1080"/>
      </w:pPr>
      <w:proofErr w:type="gramStart"/>
      <w:r w:rsidRPr="00484A94">
        <w:t>e.g</w:t>
      </w:r>
      <w:proofErr w:type="gramEnd"/>
      <w:r w:rsidRPr="00484A94">
        <w:t>. Correct file naming</w:t>
      </w:r>
    </w:p>
    <w:p w:rsidR="00484A94" w:rsidRPr="00484A94" w:rsidRDefault="00484A94" w:rsidP="00484A94">
      <w:pPr>
        <w:pStyle w:val="ListParagraph"/>
        <w:spacing w:after="0" w:line="240" w:lineRule="auto"/>
        <w:ind w:left="1080"/>
      </w:pPr>
      <w:r w:rsidRPr="00484A94">
        <w:t>7709_1_</w:t>
      </w:r>
      <w:r w:rsidR="009940B9">
        <w:t>BASE_</w:t>
      </w:r>
      <w:r w:rsidRPr="00484A94">
        <w:t>UNSW_DOVOEACXX_NoIndex_L001_R1</w:t>
      </w:r>
    </w:p>
    <w:p w:rsidR="00484A94" w:rsidRPr="00484A94" w:rsidRDefault="00484A94" w:rsidP="00484A94">
      <w:pPr>
        <w:pStyle w:val="ListParagraph"/>
        <w:spacing w:after="0" w:line="240" w:lineRule="auto"/>
        <w:ind w:left="1080"/>
      </w:pPr>
    </w:p>
    <w:p w:rsidR="00C568F3" w:rsidRPr="000B6C30" w:rsidRDefault="00C568F3" w:rsidP="00C568F3">
      <w:pPr>
        <w:pStyle w:val="ListParagraph"/>
        <w:spacing w:after="0" w:line="240" w:lineRule="auto"/>
        <w:ind w:left="1080"/>
        <w:rPr>
          <w:b/>
        </w:rPr>
      </w:pPr>
      <w:r w:rsidRPr="000B6C30">
        <w:rPr>
          <w:b/>
        </w:rPr>
        <w:t>Facility</w:t>
      </w:r>
      <w:r>
        <w:rPr>
          <w:b/>
        </w:rPr>
        <w:t xml:space="preserve"> code</w:t>
      </w:r>
    </w:p>
    <w:p w:rsidR="00C568F3" w:rsidRPr="00484A94" w:rsidRDefault="00C568F3" w:rsidP="00C568F3">
      <w:pPr>
        <w:pStyle w:val="ListParagraph"/>
        <w:numPr>
          <w:ilvl w:val="0"/>
          <w:numId w:val="36"/>
        </w:numPr>
        <w:spacing w:after="0" w:line="240" w:lineRule="auto"/>
      </w:pPr>
      <w:r w:rsidRPr="00484A94">
        <w:t xml:space="preserve">UNSW </w:t>
      </w:r>
    </w:p>
    <w:p w:rsidR="00C568F3" w:rsidRPr="00484A94" w:rsidRDefault="00C568F3" w:rsidP="00C568F3">
      <w:pPr>
        <w:pStyle w:val="ListParagraph"/>
        <w:numPr>
          <w:ilvl w:val="0"/>
          <w:numId w:val="36"/>
        </w:numPr>
        <w:spacing w:after="0" w:line="240" w:lineRule="auto"/>
      </w:pPr>
      <w:r w:rsidRPr="00484A94">
        <w:t xml:space="preserve">AGRF </w:t>
      </w:r>
    </w:p>
    <w:p w:rsidR="00484A94" w:rsidRPr="00484A94" w:rsidRDefault="00484A94" w:rsidP="00484A94">
      <w:pPr>
        <w:pStyle w:val="ListParagraph"/>
        <w:spacing w:after="0" w:line="240" w:lineRule="auto"/>
        <w:ind w:left="1080"/>
      </w:pPr>
    </w:p>
    <w:p w:rsidR="00484A94" w:rsidRPr="00484A94" w:rsidRDefault="00484A94" w:rsidP="00484A94">
      <w:pPr>
        <w:pStyle w:val="ListParagraph"/>
        <w:spacing w:after="0" w:line="240" w:lineRule="auto"/>
        <w:ind w:left="1080"/>
      </w:pPr>
      <w:r w:rsidRPr="00484A94">
        <w:t>Con</w:t>
      </w:r>
      <w:r w:rsidR="00C568F3">
        <w:t xml:space="preserve">sistency in naming – UNSW, AGRF, flow cell ID and </w:t>
      </w:r>
      <w:r w:rsidRPr="00484A94">
        <w:t xml:space="preserve">index sequence should </w:t>
      </w:r>
      <w:r w:rsidR="00C568F3">
        <w:t xml:space="preserve">always </w:t>
      </w:r>
      <w:r w:rsidRPr="00484A94">
        <w:t xml:space="preserve">be upper case; and if no index used, please label </w:t>
      </w:r>
      <w:proofErr w:type="spellStart"/>
      <w:r w:rsidRPr="00484A94">
        <w:t>NoIndex</w:t>
      </w:r>
      <w:proofErr w:type="spellEnd"/>
      <w:r w:rsidRPr="00484A94">
        <w:t>, not NOINDEX.</w:t>
      </w:r>
    </w:p>
    <w:p w:rsidR="00966A02" w:rsidRPr="003B2D8D" w:rsidRDefault="00966A02" w:rsidP="00966A02">
      <w:pPr>
        <w:pStyle w:val="ListParagraph"/>
        <w:spacing w:before="100" w:beforeAutospacing="1" w:after="0" w:line="240" w:lineRule="auto"/>
        <w:ind w:left="1080"/>
      </w:pPr>
    </w:p>
    <w:p w:rsidR="00966A02" w:rsidRPr="00311CAD" w:rsidRDefault="00966A02" w:rsidP="00966A02">
      <w:pPr>
        <w:pStyle w:val="ListParagraph"/>
        <w:spacing w:after="0" w:line="240" w:lineRule="auto"/>
        <w:ind w:left="1080"/>
      </w:pPr>
    </w:p>
    <w:p w:rsidR="00AB43AD" w:rsidRPr="00397529" w:rsidRDefault="008030B4" w:rsidP="00B62D94">
      <w:pPr>
        <w:pStyle w:val="ListParagraph"/>
        <w:numPr>
          <w:ilvl w:val="0"/>
          <w:numId w:val="30"/>
        </w:numPr>
        <w:spacing w:after="0" w:line="240" w:lineRule="auto"/>
        <w:rPr>
          <w:b/>
        </w:rPr>
      </w:pPr>
      <w:proofErr w:type="spellStart"/>
      <w:r w:rsidRPr="00397529">
        <w:rPr>
          <w:b/>
        </w:rPr>
        <w:t>Metagenomics</w:t>
      </w:r>
      <w:proofErr w:type="spellEnd"/>
      <w:r w:rsidRPr="00397529">
        <w:rPr>
          <w:b/>
        </w:rPr>
        <w:t xml:space="preserve"> p</w:t>
      </w:r>
      <w:r w:rsidR="00AB43AD" w:rsidRPr="00397529">
        <w:rPr>
          <w:b/>
        </w:rPr>
        <w:t>ost-run processing:</w:t>
      </w:r>
    </w:p>
    <w:p w:rsidR="008030B4" w:rsidRDefault="008B6148" w:rsidP="008030B4">
      <w:pPr>
        <w:pStyle w:val="ListParagraph"/>
        <w:numPr>
          <w:ilvl w:val="0"/>
          <w:numId w:val="19"/>
        </w:numPr>
        <w:spacing w:after="0" w:line="240" w:lineRule="auto"/>
        <w:rPr>
          <w:highlight w:val="yellow"/>
        </w:rPr>
      </w:pPr>
      <w:proofErr w:type="spellStart"/>
      <w:r w:rsidRPr="00E62B70">
        <w:rPr>
          <w:highlight w:val="yellow"/>
        </w:rPr>
        <w:t>Demulitplexing</w:t>
      </w:r>
      <w:proofErr w:type="spellEnd"/>
      <w:r w:rsidRPr="00E62B70">
        <w:rPr>
          <w:highlight w:val="yellow"/>
        </w:rPr>
        <w:t xml:space="preserve"> with CASAVA software</w:t>
      </w:r>
    </w:p>
    <w:p w:rsidR="008B6148" w:rsidRDefault="008030B4" w:rsidP="008B6148">
      <w:pPr>
        <w:pStyle w:val="ListParagraph"/>
        <w:numPr>
          <w:ilvl w:val="0"/>
          <w:numId w:val="19"/>
        </w:numPr>
        <w:spacing w:after="0" w:line="240" w:lineRule="auto"/>
        <w:rPr>
          <w:rFonts w:cstheme="minorHAnsi"/>
          <w:color w:val="000000" w:themeColor="text1"/>
        </w:rPr>
      </w:pPr>
      <w:r w:rsidRPr="00397529">
        <w:rPr>
          <w:rFonts w:cstheme="minorHAnsi"/>
          <w:color w:val="000000" w:themeColor="text1"/>
        </w:rPr>
        <w:t>C</w:t>
      </w:r>
      <w:r w:rsidR="008B6148" w:rsidRPr="00397529">
        <w:rPr>
          <w:rFonts w:cstheme="minorHAnsi"/>
          <w:color w:val="000000" w:themeColor="text1"/>
        </w:rPr>
        <w:t xml:space="preserve">ompressed </w:t>
      </w:r>
      <w:proofErr w:type="spellStart"/>
      <w:r w:rsidR="008B6148" w:rsidRPr="00397529">
        <w:rPr>
          <w:rFonts w:cstheme="minorHAnsi"/>
          <w:color w:val="000000" w:themeColor="text1"/>
        </w:rPr>
        <w:t>fastq</w:t>
      </w:r>
      <w:proofErr w:type="spellEnd"/>
      <w:r w:rsidR="008B6148" w:rsidRPr="00397529">
        <w:rPr>
          <w:rFonts w:cstheme="minorHAnsi"/>
          <w:color w:val="000000" w:themeColor="text1"/>
        </w:rPr>
        <w:t xml:space="preserve"> files</w:t>
      </w:r>
      <w:r w:rsidRPr="00397529">
        <w:rPr>
          <w:rFonts w:cstheme="minorHAnsi"/>
          <w:color w:val="000000" w:themeColor="text1"/>
        </w:rPr>
        <w:t xml:space="preserve"> with checksums to be sent for data storage</w:t>
      </w:r>
      <w:r w:rsidR="008B6148" w:rsidRPr="00397529">
        <w:rPr>
          <w:rFonts w:cstheme="minorHAnsi"/>
          <w:color w:val="000000" w:themeColor="text1"/>
        </w:rPr>
        <w:t>.</w:t>
      </w:r>
    </w:p>
    <w:p w:rsidR="00627B40" w:rsidRPr="00397529" w:rsidRDefault="00627B40" w:rsidP="00627B40">
      <w:pPr>
        <w:pStyle w:val="ListParagraph"/>
        <w:spacing w:after="0" w:line="240" w:lineRule="auto"/>
        <w:ind w:left="1080"/>
        <w:rPr>
          <w:rFonts w:cstheme="minorHAnsi"/>
          <w:color w:val="000000" w:themeColor="text1"/>
        </w:rPr>
      </w:pPr>
    </w:p>
    <w:p w:rsidR="00F707D7" w:rsidRPr="00F707D7" w:rsidRDefault="00F707D7" w:rsidP="00F707D7">
      <w:pPr>
        <w:pStyle w:val="ListParagraph"/>
        <w:spacing w:after="0" w:line="240" w:lineRule="auto"/>
        <w:ind w:left="360"/>
        <w:rPr>
          <w:rFonts w:cstheme="minorHAnsi"/>
          <w:b/>
          <w:color w:val="000000" w:themeColor="text1"/>
          <w:sz w:val="24"/>
          <w:szCs w:val="24"/>
        </w:rPr>
      </w:pPr>
    </w:p>
    <w:p w:rsidR="00770481" w:rsidRPr="00554787" w:rsidRDefault="002902FD" w:rsidP="00554787">
      <w:pPr>
        <w:rPr>
          <w:b/>
          <w:u w:val="single"/>
        </w:rPr>
      </w:pPr>
      <w:r>
        <w:rPr>
          <w:b/>
          <w:u w:val="single"/>
        </w:rPr>
        <w:t>DATA MANAGEMENT AND STORAGE WORKFLOW</w:t>
      </w:r>
      <w:r w:rsidR="009547C6" w:rsidRPr="009547C6">
        <w:rPr>
          <w:b/>
          <w:u w:val="single"/>
        </w:rPr>
        <w:t>:</w:t>
      </w:r>
    </w:p>
    <w:p w:rsidR="0093586A" w:rsidRDefault="008030B4" w:rsidP="00770481">
      <w:pPr>
        <w:pStyle w:val="ListParagraph"/>
        <w:numPr>
          <w:ilvl w:val="0"/>
          <w:numId w:val="30"/>
        </w:numPr>
        <w:spacing w:after="0" w:line="240" w:lineRule="auto"/>
        <w:rPr>
          <w:rFonts w:cstheme="minorHAnsi"/>
          <w:color w:val="000000" w:themeColor="text1"/>
        </w:rPr>
      </w:pPr>
      <w:r>
        <w:rPr>
          <w:rFonts w:cstheme="minorHAnsi"/>
          <w:b/>
          <w:color w:val="000000" w:themeColor="text1"/>
        </w:rPr>
        <w:t>Sequencing m</w:t>
      </w:r>
      <w:r w:rsidR="00770481" w:rsidRPr="00770481">
        <w:rPr>
          <w:rFonts w:cstheme="minorHAnsi"/>
          <w:b/>
          <w:color w:val="000000" w:themeColor="text1"/>
        </w:rPr>
        <w:t>etadata:</w:t>
      </w:r>
      <w:r w:rsidR="00770481" w:rsidRPr="00770481">
        <w:rPr>
          <w:rFonts w:cstheme="minorHAnsi"/>
          <w:color w:val="000000" w:themeColor="text1"/>
        </w:rPr>
        <w:t xml:space="preserve"> </w:t>
      </w:r>
    </w:p>
    <w:p w:rsidR="00557DD4" w:rsidRPr="00557DD4" w:rsidRDefault="00557DD4" w:rsidP="00557DD4">
      <w:pPr>
        <w:pStyle w:val="ListParagraph"/>
        <w:spacing w:after="0" w:line="240" w:lineRule="auto"/>
        <w:rPr>
          <w:rFonts w:cstheme="minorHAnsi"/>
          <w:color w:val="000000" w:themeColor="text1"/>
        </w:rPr>
      </w:pPr>
      <w:r w:rsidRPr="00770481">
        <w:rPr>
          <w:rFonts w:cstheme="minorHAnsi"/>
          <w:color w:val="000000" w:themeColor="text1"/>
        </w:rPr>
        <w:t xml:space="preserve">Sequencing facilities to complete </w:t>
      </w:r>
      <w:r>
        <w:rPr>
          <w:rFonts w:cstheme="minorHAnsi"/>
          <w:color w:val="000000" w:themeColor="text1"/>
        </w:rPr>
        <w:t>spreadsheet with all requested metadata</w:t>
      </w:r>
    </w:p>
    <w:p w:rsidR="008030B4" w:rsidRDefault="00557DD4" w:rsidP="008030B4">
      <w:pPr>
        <w:pStyle w:val="ListParagraph"/>
        <w:numPr>
          <w:ilvl w:val="0"/>
          <w:numId w:val="41"/>
        </w:numPr>
        <w:spacing w:after="0" w:line="240" w:lineRule="auto"/>
        <w:rPr>
          <w:rFonts w:cstheme="minorHAnsi"/>
          <w:color w:val="000000" w:themeColor="text1"/>
        </w:rPr>
      </w:pPr>
      <w:proofErr w:type="spellStart"/>
      <w:r>
        <w:rPr>
          <w:rFonts w:cstheme="minorHAnsi"/>
          <w:color w:val="000000" w:themeColor="text1"/>
        </w:rPr>
        <w:t>Amplicon</w:t>
      </w:r>
      <w:proofErr w:type="spellEnd"/>
      <w:r>
        <w:rPr>
          <w:rFonts w:cstheme="minorHAnsi"/>
          <w:color w:val="000000" w:themeColor="text1"/>
        </w:rPr>
        <w:t>: “</w:t>
      </w:r>
      <w:proofErr w:type="spellStart"/>
      <w:r w:rsidRPr="00557DD4">
        <w:rPr>
          <w:rFonts w:cstheme="minorHAnsi"/>
          <w:color w:val="000000" w:themeColor="text1"/>
        </w:rPr>
        <w:t>BASE_Amplicon_Sequencing_Metadata_Sheet</w:t>
      </w:r>
      <w:proofErr w:type="spellEnd"/>
      <w:r>
        <w:rPr>
          <w:rFonts w:cstheme="minorHAnsi"/>
          <w:color w:val="000000" w:themeColor="text1"/>
        </w:rPr>
        <w:t>” excel spreadsheet to be completed for each set of data and emailed to CCG at time of file transfer</w:t>
      </w:r>
    </w:p>
    <w:p w:rsidR="00557DD4" w:rsidRDefault="00557DD4" w:rsidP="008030B4">
      <w:pPr>
        <w:pStyle w:val="ListParagraph"/>
        <w:numPr>
          <w:ilvl w:val="0"/>
          <w:numId w:val="41"/>
        </w:numPr>
        <w:spacing w:after="0" w:line="240" w:lineRule="auto"/>
        <w:rPr>
          <w:rFonts w:cstheme="minorHAnsi"/>
          <w:color w:val="000000" w:themeColor="text1"/>
        </w:rPr>
      </w:pPr>
      <w:proofErr w:type="spellStart"/>
      <w:r>
        <w:rPr>
          <w:rFonts w:cstheme="minorHAnsi"/>
          <w:color w:val="000000" w:themeColor="text1"/>
        </w:rPr>
        <w:t>Metagenomics</w:t>
      </w:r>
      <w:proofErr w:type="spellEnd"/>
      <w:r>
        <w:rPr>
          <w:rFonts w:cstheme="minorHAnsi"/>
          <w:color w:val="000000" w:themeColor="text1"/>
        </w:rPr>
        <w:t xml:space="preserve">: </w:t>
      </w:r>
      <w:hyperlink r:id="rId17" w:anchor="gid=0" w:history="1">
        <w:r w:rsidRPr="00B02616">
          <w:rPr>
            <w:rStyle w:val="Hyperlink"/>
            <w:rFonts w:cstheme="minorHAnsi"/>
          </w:rPr>
          <w:t>https://docs.google.com/spreadsheet/ccc?key=0AvChXk8QAupBdENpekdlWGQxcnM1dHhMOGVRVVBGdXc&amp;usp=sharing#gid=0</w:t>
        </w:r>
      </w:hyperlink>
    </w:p>
    <w:p w:rsidR="00557DD4" w:rsidRDefault="00557DD4" w:rsidP="00557DD4">
      <w:pPr>
        <w:pStyle w:val="ListParagraph"/>
        <w:spacing w:after="0" w:line="240" w:lineRule="auto"/>
        <w:ind w:left="1080"/>
        <w:rPr>
          <w:rFonts w:cstheme="minorHAnsi"/>
          <w:color w:val="000000" w:themeColor="text1"/>
        </w:rPr>
      </w:pPr>
    </w:p>
    <w:p w:rsidR="00627B40" w:rsidRDefault="00627B40" w:rsidP="00557DD4">
      <w:pPr>
        <w:pStyle w:val="ListParagraph"/>
        <w:spacing w:after="0" w:line="240" w:lineRule="auto"/>
        <w:ind w:left="1080"/>
        <w:rPr>
          <w:rFonts w:cstheme="minorHAnsi"/>
          <w:color w:val="000000" w:themeColor="text1"/>
        </w:rPr>
      </w:pPr>
    </w:p>
    <w:p w:rsidR="00627B40" w:rsidRDefault="00627B40" w:rsidP="00557DD4">
      <w:pPr>
        <w:pStyle w:val="ListParagraph"/>
        <w:spacing w:after="0" w:line="240" w:lineRule="auto"/>
        <w:ind w:left="1080"/>
        <w:rPr>
          <w:rFonts w:cstheme="minorHAnsi"/>
          <w:color w:val="000000" w:themeColor="text1"/>
        </w:rPr>
      </w:pPr>
    </w:p>
    <w:p w:rsidR="0093586A" w:rsidRDefault="0093586A" w:rsidP="0093586A">
      <w:pPr>
        <w:pStyle w:val="ListParagraph"/>
        <w:spacing w:after="0" w:line="240" w:lineRule="auto"/>
      </w:pPr>
    </w:p>
    <w:p w:rsidR="0093586A" w:rsidRPr="0093586A" w:rsidRDefault="0093586A" w:rsidP="0093586A">
      <w:pPr>
        <w:pStyle w:val="ListParagraph"/>
        <w:numPr>
          <w:ilvl w:val="0"/>
          <w:numId w:val="30"/>
        </w:numPr>
        <w:spacing w:after="0"/>
      </w:pPr>
      <w:r w:rsidRPr="0093586A">
        <w:rPr>
          <w:b/>
        </w:rPr>
        <w:lastRenderedPageBreak/>
        <w:t xml:space="preserve">Data transfer: </w:t>
      </w:r>
    </w:p>
    <w:p w:rsidR="0093586A" w:rsidRDefault="0093586A" w:rsidP="0093586A">
      <w:pPr>
        <w:pStyle w:val="ListParagraph"/>
        <w:numPr>
          <w:ilvl w:val="0"/>
          <w:numId w:val="19"/>
        </w:numPr>
        <w:spacing w:after="0"/>
      </w:pPr>
      <w:r w:rsidRPr="00EB1EAD">
        <w:t xml:space="preserve">Data </w:t>
      </w:r>
      <w:r>
        <w:t xml:space="preserve">and </w:t>
      </w:r>
      <w:r w:rsidRPr="0093586A">
        <w:rPr>
          <w:rFonts w:cstheme="minorHAnsi"/>
          <w:color w:val="000000" w:themeColor="text1"/>
        </w:rPr>
        <w:t xml:space="preserve">QC information </w:t>
      </w:r>
      <w:r w:rsidR="00CA4DC8">
        <w:rPr>
          <w:rFonts w:cstheme="minorHAnsi"/>
          <w:color w:val="000000" w:themeColor="text1"/>
        </w:rPr>
        <w:t xml:space="preserve">for successful sample runs (reaching the required number of reads only) </w:t>
      </w:r>
      <w:r w:rsidR="00557DD4">
        <w:t xml:space="preserve">to </w:t>
      </w:r>
      <w:r>
        <w:t xml:space="preserve">uploaded </w:t>
      </w:r>
      <w:r w:rsidR="00557DD4">
        <w:t xml:space="preserve">by </w:t>
      </w:r>
      <w:r>
        <w:t xml:space="preserve">sequencing facilities to CCG </w:t>
      </w:r>
      <w:r w:rsidRPr="00EB1EAD">
        <w:t>for storage</w:t>
      </w:r>
      <w:r>
        <w:t xml:space="preserve"> and controlled access (through </w:t>
      </w:r>
      <w:proofErr w:type="spellStart"/>
      <w:r>
        <w:t>iVEC</w:t>
      </w:r>
      <w:proofErr w:type="spellEnd"/>
      <w:r>
        <w:t>)</w:t>
      </w:r>
      <w:r w:rsidRPr="00EB1EAD">
        <w:t>.</w:t>
      </w:r>
      <w:r>
        <w:t xml:space="preserve"> </w:t>
      </w:r>
    </w:p>
    <w:p w:rsidR="00557DD4" w:rsidRDefault="00C74B66" w:rsidP="0093586A">
      <w:pPr>
        <w:pStyle w:val="ListParagraph"/>
        <w:numPr>
          <w:ilvl w:val="0"/>
          <w:numId w:val="19"/>
        </w:numPr>
        <w:spacing w:after="0"/>
      </w:pPr>
      <w:r>
        <w:t>A</w:t>
      </w:r>
      <w:r w:rsidR="00557DD4">
        <w:t xml:space="preserve"> new directory </w:t>
      </w:r>
      <w:r>
        <w:t xml:space="preserve">is to be made for each new data set uploaded. New directories to be labelled with a date stamp e.g. </w:t>
      </w:r>
      <w:r w:rsidR="00557DD4">
        <w:t>20131216_AGRF_BPA_BASE_D251JACXX.</w:t>
      </w:r>
    </w:p>
    <w:p w:rsidR="00F96772" w:rsidRDefault="00F96772" w:rsidP="0093586A">
      <w:pPr>
        <w:pStyle w:val="ListParagraph"/>
        <w:numPr>
          <w:ilvl w:val="0"/>
          <w:numId w:val="19"/>
        </w:numPr>
        <w:spacing w:after="0"/>
      </w:pPr>
      <w:r>
        <w:t>Directory to include:</w:t>
      </w:r>
    </w:p>
    <w:p w:rsidR="00EE69A8" w:rsidRDefault="00F96772" w:rsidP="00F96772">
      <w:pPr>
        <w:pStyle w:val="ListParagraph"/>
        <w:numPr>
          <w:ilvl w:val="0"/>
          <w:numId w:val="43"/>
        </w:numPr>
        <w:spacing w:after="0"/>
      </w:pPr>
      <w:r>
        <w:t>All sequencing data files</w:t>
      </w:r>
    </w:p>
    <w:p w:rsidR="00EE69A8" w:rsidRDefault="00F96772" w:rsidP="00EE69A8">
      <w:pPr>
        <w:pStyle w:val="ListParagraph"/>
        <w:numPr>
          <w:ilvl w:val="0"/>
          <w:numId w:val="43"/>
        </w:numPr>
        <w:spacing w:after="0"/>
      </w:pPr>
      <w:r>
        <w:t xml:space="preserve">Sequencing metadata for all files being transferred in </w:t>
      </w:r>
      <w:r w:rsidR="00EE69A8">
        <w:t>Excel spreadsheet</w:t>
      </w:r>
      <w:r w:rsidR="00F02C75">
        <w:t xml:space="preserve">s – for </w:t>
      </w:r>
      <w:proofErr w:type="spellStart"/>
      <w:r w:rsidR="00F02C75">
        <w:t>amplicon</w:t>
      </w:r>
      <w:proofErr w:type="spellEnd"/>
      <w:r w:rsidR="00EE69A8">
        <w:t xml:space="preserve">  </w:t>
      </w:r>
      <w:r w:rsidR="00F02C75">
        <w:t xml:space="preserve">data </w:t>
      </w:r>
      <w:r w:rsidR="00EE69A8">
        <w:t>“</w:t>
      </w:r>
      <w:r w:rsidR="00EE69A8" w:rsidRPr="00EE69A8">
        <w:t>BASE_</w:t>
      </w:r>
      <w:r w:rsidR="00F1743D">
        <w:t>amplicon_</w:t>
      </w:r>
      <w:r w:rsidR="00EE69A8" w:rsidRPr="00EE69A8">
        <w:t>sequencing_metadata_template_V1</w:t>
      </w:r>
      <w:r w:rsidR="00EE69A8">
        <w:t xml:space="preserve">” </w:t>
      </w:r>
      <w:r w:rsidR="00F1743D">
        <w:t xml:space="preserve">or </w:t>
      </w:r>
      <w:proofErr w:type="spellStart"/>
      <w:r w:rsidR="00F1743D">
        <w:t>metagenomics</w:t>
      </w:r>
      <w:proofErr w:type="spellEnd"/>
      <w:r w:rsidR="00F1743D">
        <w:t xml:space="preserve"> data “</w:t>
      </w:r>
      <w:r w:rsidR="00F1743D" w:rsidRPr="00EE69A8">
        <w:t>BASE_</w:t>
      </w:r>
      <w:r w:rsidR="00F1743D">
        <w:t>metagenomics_</w:t>
      </w:r>
      <w:r w:rsidR="00F1743D" w:rsidRPr="00EE69A8">
        <w:t>sequencing_metadata_template_V1</w:t>
      </w:r>
      <w:r w:rsidR="00F1743D">
        <w:t>”</w:t>
      </w:r>
    </w:p>
    <w:p w:rsidR="00EE69A8" w:rsidRDefault="00F96772" w:rsidP="00EE69A8">
      <w:pPr>
        <w:pStyle w:val="ListParagraph"/>
        <w:numPr>
          <w:ilvl w:val="0"/>
          <w:numId w:val="43"/>
        </w:numPr>
        <w:spacing w:after="0"/>
      </w:pPr>
      <w:r>
        <w:t xml:space="preserve">File names and </w:t>
      </w:r>
      <w:proofErr w:type="spellStart"/>
      <w:r w:rsidR="00EE69A8">
        <w:t>and</w:t>
      </w:r>
      <w:proofErr w:type="spellEnd"/>
      <w:r w:rsidR="00EE69A8">
        <w:t xml:space="preserve"> corresponding MD5 checksums information</w:t>
      </w:r>
      <w:r>
        <w:t xml:space="preserve"> in a separate text file for all files being transferred</w:t>
      </w:r>
      <w:r w:rsidR="00EE69A8">
        <w:t>.</w:t>
      </w:r>
    </w:p>
    <w:p w:rsidR="0093586A" w:rsidRDefault="0093586A" w:rsidP="0093586A">
      <w:pPr>
        <w:pStyle w:val="ListParagraph"/>
        <w:numPr>
          <w:ilvl w:val="0"/>
          <w:numId w:val="19"/>
        </w:numPr>
        <w:spacing w:after="0"/>
      </w:pPr>
      <w:r>
        <w:t xml:space="preserve">Email to be sent to CCG (both </w:t>
      </w:r>
      <w:proofErr w:type="spellStart"/>
      <w:r>
        <w:t>Thys</w:t>
      </w:r>
      <w:proofErr w:type="spellEnd"/>
      <w:r>
        <w:t xml:space="preserve"> and Matt) when data is </w:t>
      </w:r>
      <w:r w:rsidR="00F96772">
        <w:t xml:space="preserve">made available </w:t>
      </w:r>
      <w:r w:rsidR="00C74B66">
        <w:t xml:space="preserve">with </w:t>
      </w:r>
      <w:r w:rsidR="00F96772">
        <w:t xml:space="preserve">the </w:t>
      </w:r>
      <w:r w:rsidR="00CA4DC8">
        <w:t xml:space="preserve">following </w:t>
      </w:r>
      <w:r w:rsidR="00AE1D25">
        <w:t>information</w:t>
      </w:r>
      <w:r>
        <w:t>:</w:t>
      </w:r>
    </w:p>
    <w:p w:rsidR="0093586A" w:rsidRDefault="0093586A" w:rsidP="0093586A">
      <w:pPr>
        <w:pStyle w:val="ListParagraph"/>
        <w:numPr>
          <w:ilvl w:val="0"/>
          <w:numId w:val="32"/>
        </w:numPr>
        <w:spacing w:after="0"/>
      </w:pPr>
      <w:r>
        <w:t xml:space="preserve">Project the data relates to (i.e. </w:t>
      </w:r>
      <w:r w:rsidR="00554787">
        <w:t>BASE</w:t>
      </w:r>
      <w:r>
        <w:t xml:space="preserve"> project)</w:t>
      </w:r>
    </w:p>
    <w:p w:rsidR="00770481" w:rsidRDefault="00F96772" w:rsidP="0093586A">
      <w:pPr>
        <w:pStyle w:val="ListParagraph"/>
        <w:numPr>
          <w:ilvl w:val="0"/>
          <w:numId w:val="32"/>
        </w:numPr>
        <w:spacing w:after="0"/>
      </w:pPr>
      <w:r>
        <w:t>Name of relevant date stamped file where data is residing</w:t>
      </w:r>
    </w:p>
    <w:p w:rsidR="0093586A" w:rsidRDefault="0093586A" w:rsidP="0093586A">
      <w:pPr>
        <w:pStyle w:val="ListParagraph"/>
        <w:spacing w:after="0"/>
        <w:ind w:left="1287"/>
      </w:pPr>
    </w:p>
    <w:tbl>
      <w:tblPr>
        <w:tblStyle w:val="TableGrid"/>
        <w:tblW w:w="0" w:type="auto"/>
        <w:tblLook w:val="04A0"/>
      </w:tblPr>
      <w:tblGrid>
        <w:gridCol w:w="1668"/>
        <w:gridCol w:w="3118"/>
        <w:gridCol w:w="4394"/>
      </w:tblGrid>
      <w:tr w:rsidR="009547C6" w:rsidTr="001F4D82">
        <w:tc>
          <w:tcPr>
            <w:tcW w:w="1668" w:type="dxa"/>
            <w:shd w:val="clear" w:color="auto" w:fill="8DB3E2" w:themeFill="text2" w:themeFillTint="66"/>
          </w:tcPr>
          <w:p w:rsidR="009547C6" w:rsidRPr="00796998" w:rsidRDefault="009547C6" w:rsidP="0098415A">
            <w:pPr>
              <w:rPr>
                <w:rFonts w:cstheme="minorHAnsi"/>
                <w:b/>
                <w:color w:val="000000" w:themeColor="text1"/>
              </w:rPr>
            </w:pPr>
            <w:r>
              <w:rPr>
                <w:rFonts w:cstheme="minorHAnsi"/>
                <w:b/>
                <w:color w:val="000000" w:themeColor="text1"/>
              </w:rPr>
              <w:t>Facility</w:t>
            </w:r>
          </w:p>
        </w:tc>
        <w:tc>
          <w:tcPr>
            <w:tcW w:w="3118" w:type="dxa"/>
            <w:shd w:val="clear" w:color="auto" w:fill="8DB3E2" w:themeFill="text2" w:themeFillTint="66"/>
          </w:tcPr>
          <w:p w:rsidR="009547C6" w:rsidRPr="00796998" w:rsidRDefault="009547C6" w:rsidP="0098415A">
            <w:pPr>
              <w:rPr>
                <w:rFonts w:cstheme="minorHAnsi"/>
                <w:b/>
                <w:color w:val="000000" w:themeColor="text1"/>
              </w:rPr>
            </w:pPr>
            <w:r>
              <w:rPr>
                <w:rFonts w:cstheme="minorHAnsi"/>
                <w:b/>
                <w:color w:val="000000" w:themeColor="text1"/>
              </w:rPr>
              <w:t>Address</w:t>
            </w:r>
          </w:p>
        </w:tc>
        <w:tc>
          <w:tcPr>
            <w:tcW w:w="4394" w:type="dxa"/>
            <w:shd w:val="clear" w:color="auto" w:fill="8DB3E2" w:themeFill="text2" w:themeFillTint="66"/>
          </w:tcPr>
          <w:p w:rsidR="009547C6" w:rsidRPr="00796998" w:rsidRDefault="009547C6" w:rsidP="0098415A">
            <w:pPr>
              <w:rPr>
                <w:rFonts w:cstheme="minorHAnsi"/>
                <w:b/>
                <w:color w:val="000000" w:themeColor="text1"/>
              </w:rPr>
            </w:pPr>
            <w:r>
              <w:rPr>
                <w:rFonts w:cstheme="minorHAnsi"/>
                <w:b/>
                <w:color w:val="000000" w:themeColor="text1"/>
              </w:rPr>
              <w:t>Contact person</w:t>
            </w:r>
          </w:p>
        </w:tc>
      </w:tr>
      <w:tr w:rsidR="009547C6" w:rsidTr="001F4D82">
        <w:tc>
          <w:tcPr>
            <w:tcW w:w="1668" w:type="dxa"/>
          </w:tcPr>
          <w:p w:rsidR="009547C6" w:rsidRPr="00796998" w:rsidRDefault="009547C6" w:rsidP="0098415A">
            <w:pPr>
              <w:rPr>
                <w:rFonts w:cstheme="minorHAnsi"/>
                <w:b/>
                <w:color w:val="000000" w:themeColor="text1"/>
              </w:rPr>
            </w:pPr>
            <w:r>
              <w:rPr>
                <w:rFonts w:eastAsia="Times New Roman" w:cstheme="minorHAnsi"/>
                <w:b/>
                <w:bCs/>
                <w:color w:val="000000" w:themeColor="text1"/>
              </w:rPr>
              <w:t>Centre for Comparative Genomics</w:t>
            </w:r>
            <w:r w:rsidRPr="00910445">
              <w:rPr>
                <w:rFonts w:eastAsia="Times New Roman" w:cstheme="minorHAnsi"/>
                <w:color w:val="000000" w:themeColor="text1"/>
              </w:rPr>
              <w:br/>
            </w:r>
          </w:p>
        </w:tc>
        <w:tc>
          <w:tcPr>
            <w:tcW w:w="3118" w:type="dxa"/>
          </w:tcPr>
          <w:p w:rsidR="001F4D82" w:rsidRDefault="00D635B3" w:rsidP="0098415A">
            <w:pPr>
              <w:rPr>
                <w:rFonts w:cstheme="minorHAnsi"/>
                <w:color w:val="000000" w:themeColor="text1"/>
              </w:rPr>
            </w:pPr>
            <w:proofErr w:type="spellStart"/>
            <w:r>
              <w:rPr>
                <w:rFonts w:cstheme="minorHAnsi"/>
                <w:color w:val="000000" w:themeColor="text1"/>
              </w:rPr>
              <w:t>Thys</w:t>
            </w:r>
            <w:proofErr w:type="spellEnd"/>
            <w:r>
              <w:rPr>
                <w:rFonts w:cstheme="minorHAnsi"/>
                <w:color w:val="000000" w:themeColor="text1"/>
              </w:rPr>
              <w:t xml:space="preserve"> </w:t>
            </w:r>
            <w:proofErr w:type="spellStart"/>
            <w:r>
              <w:rPr>
                <w:rFonts w:cstheme="minorHAnsi"/>
                <w:color w:val="000000" w:themeColor="text1"/>
              </w:rPr>
              <w:t>Meintjes</w:t>
            </w:r>
            <w:proofErr w:type="spellEnd"/>
            <w:r>
              <w:rPr>
                <w:rFonts w:cstheme="minorHAnsi"/>
                <w:color w:val="000000" w:themeColor="text1"/>
              </w:rPr>
              <w:t xml:space="preserve"> </w:t>
            </w:r>
          </w:p>
          <w:p w:rsidR="009547C6" w:rsidRPr="00CD2D84" w:rsidRDefault="009547C6" w:rsidP="0098415A">
            <w:pPr>
              <w:rPr>
                <w:rFonts w:cstheme="minorHAnsi"/>
                <w:color w:val="000000" w:themeColor="text1"/>
              </w:rPr>
            </w:pPr>
            <w:r w:rsidRPr="00CD2D84">
              <w:rPr>
                <w:rFonts w:cstheme="minorHAnsi"/>
                <w:color w:val="000000" w:themeColor="text1"/>
              </w:rPr>
              <w:t>Centre for Comparative Genomics</w:t>
            </w:r>
          </w:p>
          <w:p w:rsidR="009547C6" w:rsidRPr="00CD2D84" w:rsidRDefault="009547C6" w:rsidP="0098415A">
            <w:pPr>
              <w:rPr>
                <w:rFonts w:cstheme="minorHAnsi"/>
                <w:color w:val="000000" w:themeColor="text1"/>
              </w:rPr>
            </w:pPr>
            <w:r w:rsidRPr="00CD2D84">
              <w:rPr>
                <w:rFonts w:cstheme="minorHAnsi"/>
                <w:color w:val="000000" w:themeColor="text1"/>
              </w:rPr>
              <w:t>Room 3.002, BITL Building</w:t>
            </w:r>
          </w:p>
          <w:p w:rsidR="009547C6" w:rsidRPr="00CD2D84" w:rsidRDefault="009547C6" w:rsidP="0098415A">
            <w:pPr>
              <w:rPr>
                <w:rFonts w:cstheme="minorHAnsi"/>
                <w:color w:val="000000" w:themeColor="text1"/>
              </w:rPr>
            </w:pPr>
            <w:r w:rsidRPr="00CD2D84">
              <w:rPr>
                <w:rFonts w:cstheme="minorHAnsi"/>
                <w:color w:val="000000" w:themeColor="text1"/>
              </w:rPr>
              <w:t>Murdoch University</w:t>
            </w:r>
          </w:p>
          <w:p w:rsidR="009547C6" w:rsidRPr="006B24CB" w:rsidRDefault="009547C6" w:rsidP="0098415A">
            <w:pPr>
              <w:rPr>
                <w:rFonts w:cstheme="minorHAnsi"/>
                <w:color w:val="000000" w:themeColor="text1"/>
              </w:rPr>
            </w:pPr>
            <w:r>
              <w:rPr>
                <w:rFonts w:cstheme="minorHAnsi"/>
                <w:color w:val="000000" w:themeColor="text1"/>
              </w:rPr>
              <w:t>P</w:t>
            </w:r>
            <w:r w:rsidRPr="00CD2D84">
              <w:rPr>
                <w:rFonts w:cstheme="minorHAnsi"/>
                <w:color w:val="000000" w:themeColor="text1"/>
              </w:rPr>
              <w:t>erth, WA 6150</w:t>
            </w:r>
          </w:p>
        </w:tc>
        <w:tc>
          <w:tcPr>
            <w:tcW w:w="4394" w:type="dxa"/>
          </w:tcPr>
          <w:p w:rsidR="0093586A" w:rsidRPr="001E7BEF" w:rsidRDefault="0093586A" w:rsidP="0093586A">
            <w:pPr>
              <w:rPr>
                <w:rFonts w:cstheme="minorHAnsi"/>
                <w:color w:val="000000" w:themeColor="text1"/>
              </w:rPr>
            </w:pPr>
            <w:proofErr w:type="spellStart"/>
            <w:r w:rsidRPr="001E7BEF">
              <w:rPr>
                <w:rFonts w:cstheme="minorHAnsi"/>
                <w:color w:val="000000" w:themeColor="text1"/>
              </w:rPr>
              <w:t>Thys</w:t>
            </w:r>
            <w:proofErr w:type="spellEnd"/>
            <w:r w:rsidRPr="001E7BEF">
              <w:rPr>
                <w:rFonts w:cstheme="minorHAnsi"/>
                <w:color w:val="000000" w:themeColor="text1"/>
              </w:rPr>
              <w:t xml:space="preserve"> </w:t>
            </w:r>
            <w:proofErr w:type="spellStart"/>
            <w:r w:rsidRPr="001E7BEF">
              <w:rPr>
                <w:rFonts w:cstheme="minorHAnsi"/>
                <w:color w:val="000000" w:themeColor="text1"/>
              </w:rPr>
              <w:t>Meintjes</w:t>
            </w:r>
            <w:proofErr w:type="spellEnd"/>
          </w:p>
          <w:p w:rsidR="0093586A" w:rsidRPr="001E7BEF" w:rsidRDefault="0093586A" w:rsidP="0093586A">
            <w:pPr>
              <w:rPr>
                <w:rFonts w:cstheme="minorHAnsi"/>
                <w:color w:val="000000" w:themeColor="text1"/>
              </w:rPr>
            </w:pPr>
            <w:r w:rsidRPr="001E7BEF">
              <w:rPr>
                <w:rFonts w:cstheme="minorHAnsi"/>
                <w:color w:val="000000" w:themeColor="text1"/>
              </w:rPr>
              <w:t>Phone: (08) 9360 2422</w:t>
            </w:r>
          </w:p>
          <w:p w:rsidR="0093586A" w:rsidRDefault="0093586A" w:rsidP="0093586A">
            <w:r w:rsidRPr="001E7BEF">
              <w:rPr>
                <w:rFonts w:cstheme="minorHAnsi"/>
                <w:color w:val="000000" w:themeColor="text1"/>
              </w:rPr>
              <w:t xml:space="preserve">Email: </w:t>
            </w:r>
            <w:hyperlink r:id="rId18" w:history="1">
              <w:r w:rsidRPr="001E7BEF">
                <w:rPr>
                  <w:rStyle w:val="Hyperlink"/>
                </w:rPr>
                <w:t>tmeintjes@ccg.murdoch.edu.au</w:t>
              </w:r>
            </w:hyperlink>
          </w:p>
          <w:p w:rsidR="0093586A" w:rsidRDefault="0093586A" w:rsidP="0093586A"/>
          <w:p w:rsidR="0093586A" w:rsidRPr="00F209AD" w:rsidRDefault="0093586A" w:rsidP="0093586A">
            <w:pPr>
              <w:rPr>
                <w:rFonts w:cstheme="minorHAnsi"/>
                <w:color w:val="000000" w:themeColor="text1"/>
              </w:rPr>
            </w:pPr>
            <w:r w:rsidRPr="00F209AD">
              <w:rPr>
                <w:rFonts w:cstheme="minorHAnsi"/>
                <w:color w:val="000000" w:themeColor="text1"/>
              </w:rPr>
              <w:t xml:space="preserve">Matt </w:t>
            </w:r>
            <w:proofErr w:type="spellStart"/>
            <w:r w:rsidRPr="00F209AD">
              <w:rPr>
                <w:rFonts w:cstheme="minorHAnsi"/>
                <w:color w:val="000000" w:themeColor="text1"/>
              </w:rPr>
              <w:t>Bellgard</w:t>
            </w:r>
            <w:proofErr w:type="spellEnd"/>
          </w:p>
          <w:p w:rsidR="001F4D82" w:rsidRDefault="0093586A" w:rsidP="0093586A">
            <w:pPr>
              <w:rPr>
                <w:rFonts w:cstheme="minorHAnsi"/>
                <w:color w:val="000000" w:themeColor="text1"/>
              </w:rPr>
            </w:pPr>
            <w:r>
              <w:t xml:space="preserve">Email: </w:t>
            </w:r>
            <w:hyperlink r:id="rId19" w:history="1">
              <w:r w:rsidRPr="0021201C">
                <w:rPr>
                  <w:rStyle w:val="Hyperlink"/>
                </w:rPr>
                <w:t>mbellgard@ccg.murdoch.edu.au</w:t>
              </w:r>
            </w:hyperlink>
          </w:p>
          <w:p w:rsidR="009547C6" w:rsidRPr="00CD2D84" w:rsidRDefault="009547C6" w:rsidP="0098415A">
            <w:pPr>
              <w:rPr>
                <w:rFonts w:ascii="Times New Roman" w:eastAsia="Times New Roman" w:hAnsi="Times New Roman"/>
                <w:sz w:val="24"/>
                <w:szCs w:val="24"/>
              </w:rPr>
            </w:pPr>
          </w:p>
          <w:p w:rsidR="009547C6" w:rsidRPr="00796998" w:rsidRDefault="009547C6" w:rsidP="0098415A">
            <w:pPr>
              <w:rPr>
                <w:rFonts w:cstheme="minorHAnsi"/>
                <w:b/>
                <w:color w:val="000000" w:themeColor="text1"/>
              </w:rPr>
            </w:pPr>
          </w:p>
        </w:tc>
      </w:tr>
    </w:tbl>
    <w:p w:rsidR="009547C6" w:rsidRDefault="009547C6" w:rsidP="009547C6"/>
    <w:p w:rsidR="00E715DF" w:rsidRDefault="00AE1D25" w:rsidP="00E715DF">
      <w:pPr>
        <w:pStyle w:val="ListParagraph"/>
        <w:numPr>
          <w:ilvl w:val="0"/>
          <w:numId w:val="30"/>
        </w:numPr>
      </w:pPr>
      <w:r>
        <w:t xml:space="preserve">CCG to </w:t>
      </w:r>
      <w:r w:rsidRPr="00EB1EAD">
        <w:t xml:space="preserve">notify </w:t>
      </w:r>
      <w:r>
        <w:t xml:space="preserve">appropriate data user of data </w:t>
      </w:r>
      <w:r w:rsidRPr="00EB1EAD">
        <w:t>availability</w:t>
      </w:r>
      <w:r>
        <w:t xml:space="preserve"> and details for FTP </w:t>
      </w:r>
      <w:proofErr w:type="gramStart"/>
      <w:r>
        <w:t xml:space="preserve">access </w:t>
      </w:r>
      <w:r w:rsidR="00E715DF">
        <w:t>.</w:t>
      </w:r>
      <w:proofErr w:type="gramEnd"/>
    </w:p>
    <w:p w:rsidR="00E715DF" w:rsidRDefault="00E715DF" w:rsidP="00E715DF">
      <w:pPr>
        <w:pStyle w:val="ListParagraph"/>
      </w:pPr>
    </w:p>
    <w:p w:rsidR="0093586A" w:rsidRPr="00E715DF" w:rsidRDefault="00E715DF" w:rsidP="00E715DF">
      <w:pPr>
        <w:pStyle w:val="ListParagraph"/>
        <w:numPr>
          <w:ilvl w:val="0"/>
          <w:numId w:val="30"/>
        </w:numPr>
      </w:pPr>
      <w:proofErr w:type="spellStart"/>
      <w:r>
        <w:t>Amplicon</w:t>
      </w:r>
      <w:proofErr w:type="spellEnd"/>
      <w:r>
        <w:t xml:space="preserve"> d</w:t>
      </w:r>
      <w:r w:rsidR="00B9366A" w:rsidRPr="00E715DF">
        <w:t xml:space="preserve">ata will be processed through </w:t>
      </w:r>
      <w:r>
        <w:t xml:space="preserve">the </w:t>
      </w:r>
      <w:r w:rsidRPr="00E715DF">
        <w:t xml:space="preserve">QIIME </w:t>
      </w:r>
      <w:r>
        <w:t xml:space="preserve">software </w:t>
      </w:r>
      <w:r w:rsidR="00B9366A" w:rsidRPr="00E715DF">
        <w:t>pipeline</w:t>
      </w:r>
      <w:r>
        <w:t>.</w:t>
      </w:r>
    </w:p>
    <w:p w:rsidR="0093586A" w:rsidRPr="0093586A" w:rsidRDefault="0093586A" w:rsidP="0093586A">
      <w:pPr>
        <w:pStyle w:val="ListParagraph"/>
        <w:rPr>
          <w:highlight w:val="yellow"/>
        </w:rPr>
      </w:pPr>
    </w:p>
    <w:p w:rsidR="00161CA6" w:rsidRDefault="00B9366A" w:rsidP="00AE1D25">
      <w:pPr>
        <w:pStyle w:val="ListParagraph"/>
        <w:numPr>
          <w:ilvl w:val="0"/>
          <w:numId w:val="30"/>
        </w:numPr>
      </w:pPr>
      <w:r>
        <w:t>Raw and processed d</w:t>
      </w:r>
      <w:r w:rsidR="009547C6">
        <w:t xml:space="preserve">ata will be made available through </w:t>
      </w:r>
      <w:r w:rsidR="00AE1D25">
        <w:t xml:space="preserve">the </w:t>
      </w:r>
      <w:r w:rsidR="009547C6">
        <w:t xml:space="preserve">Bioplatforms Australia </w:t>
      </w:r>
      <w:r w:rsidR="00AE1D25">
        <w:t xml:space="preserve">Downloads page: </w:t>
      </w:r>
      <w:hyperlink r:id="rId20" w:history="1">
        <w:r w:rsidR="00AE1D25" w:rsidRPr="00B02616">
          <w:rPr>
            <w:rStyle w:val="Hyperlink"/>
          </w:rPr>
          <w:t>https://downloads.bioplatforms.com/</w:t>
        </w:r>
      </w:hyperlink>
    </w:p>
    <w:p w:rsidR="00AE1D25" w:rsidRDefault="00AE1D25" w:rsidP="00AE1D25">
      <w:pPr>
        <w:pStyle w:val="ListParagraph"/>
      </w:pPr>
    </w:p>
    <w:p w:rsidR="00AE1D25" w:rsidRDefault="00AE1D25" w:rsidP="00AE1D25">
      <w:pPr>
        <w:pStyle w:val="ListParagraph"/>
      </w:pPr>
    </w:p>
    <w:p w:rsidR="00161CA6" w:rsidRDefault="00161CA6">
      <w:r>
        <w:br w:type="page"/>
      </w:r>
    </w:p>
    <w:p w:rsidR="00161CA6" w:rsidRDefault="00161CA6" w:rsidP="00161CA6">
      <w:pPr>
        <w:pStyle w:val="ListParagraph"/>
        <w:ind w:left="360"/>
        <w:sectPr w:rsidR="00161CA6" w:rsidSect="001E77AE">
          <w:footerReference w:type="default" r:id="rId21"/>
          <w:pgSz w:w="11906" w:h="16838"/>
          <w:pgMar w:top="1440" w:right="1418" w:bottom="1418" w:left="1440" w:header="709" w:footer="709" w:gutter="0"/>
          <w:cols w:space="708"/>
          <w:docGrid w:linePitch="360"/>
        </w:sectPr>
      </w:pPr>
    </w:p>
    <w:p w:rsidR="00161CA6" w:rsidRDefault="00222A44" w:rsidP="00CE3FC5">
      <w:pPr>
        <w:pStyle w:val="ListParagraph"/>
        <w:ind w:left="360"/>
      </w:pPr>
      <w:r w:rsidRPr="003B1225">
        <w:object w:dxaOrig="7216"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3.35pt;height:541.65pt" o:ole="">
            <v:imagedata r:id="rId22" o:title=""/>
          </v:shape>
          <o:OLEObject Type="Embed" ProgID="PowerPoint.Slide.12" ShapeID="_x0000_i1025" DrawAspect="Content" ObjectID="_1451812780" r:id="rId23"/>
        </w:object>
      </w:r>
    </w:p>
    <w:p w:rsidR="00161CA6" w:rsidRDefault="003B1225" w:rsidP="00161CA6">
      <w:pPr>
        <w:pStyle w:val="ListParagraph"/>
        <w:ind w:left="360"/>
      </w:pPr>
      <w:r w:rsidRPr="003B1225">
        <w:object w:dxaOrig="7216" w:dyaOrig="5390">
          <v:shape id="_x0000_i1026" type="#_x0000_t75" style="width:709.1pt;height:529.95pt" o:ole="">
            <v:imagedata r:id="rId24" o:title=""/>
          </v:shape>
          <o:OLEObject Type="Embed" ProgID="PowerPoint.Slide.12" ShapeID="_x0000_i1026" DrawAspect="Content" ObjectID="_1451812781" r:id="rId25"/>
        </w:object>
      </w:r>
    </w:p>
    <w:sectPr w:rsidR="00161CA6" w:rsidSect="00161CA6">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C75" w:rsidRDefault="00F02C75" w:rsidP="0098415A">
      <w:pPr>
        <w:spacing w:after="0" w:line="240" w:lineRule="auto"/>
      </w:pPr>
      <w:r>
        <w:separator/>
      </w:r>
    </w:p>
  </w:endnote>
  <w:endnote w:type="continuationSeparator" w:id="1">
    <w:p w:rsidR="00F02C75" w:rsidRDefault="00F02C75" w:rsidP="009841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ctora LT Bold">
    <w:altName w:val="Vectora LT Bold"/>
    <w:panose1 w:val="00000000000000000000"/>
    <w:charset w:val="00"/>
    <w:family w:val="swiss"/>
    <w:notTrueType/>
    <w:pitch w:val="default"/>
    <w:sig w:usb0="00000003" w:usb1="00000000" w:usb2="00000000" w:usb3="00000000" w:csb0="00000001" w:csb1="00000000"/>
  </w:font>
  <w:font w:name="Vectora LT Roman">
    <w:altName w:val="Vectora LT Roman"/>
    <w:panose1 w:val="00000000000000000000"/>
    <w:charset w:val="00"/>
    <w:family w:val="roman"/>
    <w:notTrueType/>
    <w:pitch w:val="default"/>
    <w:sig w:usb0="00000003" w:usb1="00000000" w:usb2="00000000" w:usb3="00000000" w:csb0="00000001" w:csb1="00000000"/>
  </w:font>
  <w:font w:name="Vectora LT Light">
    <w:altName w:val="Vectora LT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28463"/>
      <w:docPartObj>
        <w:docPartGallery w:val="Page Numbers (Bottom of Page)"/>
        <w:docPartUnique/>
      </w:docPartObj>
    </w:sdtPr>
    <w:sdtContent>
      <w:sdt>
        <w:sdtPr>
          <w:id w:val="98381352"/>
          <w:docPartObj>
            <w:docPartGallery w:val="Page Numbers (Top of Page)"/>
            <w:docPartUnique/>
          </w:docPartObj>
        </w:sdtPr>
        <w:sdtContent>
          <w:p w:rsidR="00F02C75" w:rsidRDefault="00F02C75">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F1743D">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1743D">
              <w:rPr>
                <w:b/>
                <w:noProof/>
              </w:rPr>
              <w:t>11</w:t>
            </w:r>
            <w:r>
              <w:rPr>
                <w:b/>
                <w:sz w:val="24"/>
                <w:szCs w:val="24"/>
              </w:rPr>
              <w:fldChar w:fldCharType="end"/>
            </w:r>
            <w:r>
              <w:rPr>
                <w:b/>
                <w:sz w:val="24"/>
                <w:szCs w:val="24"/>
              </w:rPr>
              <w:tab/>
            </w:r>
            <w:r>
              <w:rPr>
                <w:b/>
                <w:sz w:val="24"/>
                <w:szCs w:val="24"/>
              </w:rPr>
              <w:tab/>
              <w:t>21/01/2014</w:t>
            </w:r>
          </w:p>
        </w:sdtContent>
      </w:sdt>
    </w:sdtContent>
  </w:sdt>
  <w:p w:rsidR="00F02C75" w:rsidRDefault="00F02C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C75" w:rsidRDefault="00F02C75" w:rsidP="0098415A">
      <w:pPr>
        <w:spacing w:after="0" w:line="240" w:lineRule="auto"/>
      </w:pPr>
      <w:r>
        <w:separator/>
      </w:r>
    </w:p>
  </w:footnote>
  <w:footnote w:type="continuationSeparator" w:id="1">
    <w:p w:rsidR="00F02C75" w:rsidRDefault="00F02C75" w:rsidP="009841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6E3F"/>
    <w:multiLevelType w:val="hybridMultilevel"/>
    <w:tmpl w:val="23AE5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2A43FB"/>
    <w:multiLevelType w:val="hybridMultilevel"/>
    <w:tmpl w:val="74EE34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A0C1C82"/>
    <w:multiLevelType w:val="hybridMultilevel"/>
    <w:tmpl w:val="A02E98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1478003D"/>
    <w:multiLevelType w:val="hybridMultilevel"/>
    <w:tmpl w:val="6896CB1A"/>
    <w:lvl w:ilvl="0" w:tplc="F2184DDC">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16D06DA8"/>
    <w:multiLevelType w:val="hybridMultilevel"/>
    <w:tmpl w:val="D0EEEF1C"/>
    <w:lvl w:ilvl="0" w:tplc="AF7E001E">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354137"/>
    <w:multiLevelType w:val="hybridMultilevel"/>
    <w:tmpl w:val="E2FA1216"/>
    <w:lvl w:ilvl="0" w:tplc="C2D63754">
      <w:start w:val="15"/>
      <w:numFmt w:val="bullet"/>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C581924"/>
    <w:multiLevelType w:val="hybridMultilevel"/>
    <w:tmpl w:val="48008E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20365ED6"/>
    <w:multiLevelType w:val="hybridMultilevel"/>
    <w:tmpl w:val="F2CC0A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237A360D"/>
    <w:multiLevelType w:val="hybridMultilevel"/>
    <w:tmpl w:val="BB7C171E"/>
    <w:lvl w:ilvl="0" w:tplc="1F4ADA8A">
      <w:start w:val="23"/>
      <w:numFmt w:val="bullet"/>
      <w:lvlText w:val="-"/>
      <w:lvlJc w:val="left"/>
      <w:pPr>
        <w:ind w:left="1647"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E42852"/>
    <w:multiLevelType w:val="hybridMultilevel"/>
    <w:tmpl w:val="A7E216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2462000A"/>
    <w:multiLevelType w:val="hybridMultilevel"/>
    <w:tmpl w:val="2956519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nsid w:val="25706BE7"/>
    <w:multiLevelType w:val="hybridMultilevel"/>
    <w:tmpl w:val="956820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2871290F"/>
    <w:multiLevelType w:val="hybridMultilevel"/>
    <w:tmpl w:val="A93E3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DF1267D"/>
    <w:multiLevelType w:val="hybridMultilevel"/>
    <w:tmpl w:val="32263D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7A90DAD"/>
    <w:multiLevelType w:val="hybridMultilevel"/>
    <w:tmpl w:val="EE6890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3A8671D3"/>
    <w:multiLevelType w:val="hybridMultilevel"/>
    <w:tmpl w:val="E278A19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6">
    <w:nsid w:val="3BCC4E4D"/>
    <w:multiLevelType w:val="hybridMultilevel"/>
    <w:tmpl w:val="C630B4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F4C0721"/>
    <w:multiLevelType w:val="hybridMultilevel"/>
    <w:tmpl w:val="277AD8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432C4101"/>
    <w:multiLevelType w:val="hybridMultilevel"/>
    <w:tmpl w:val="712E8B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449B3711"/>
    <w:multiLevelType w:val="hybridMultilevel"/>
    <w:tmpl w:val="5A40D1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5B57929"/>
    <w:multiLevelType w:val="hybridMultilevel"/>
    <w:tmpl w:val="C1D82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7B25CE"/>
    <w:multiLevelType w:val="hybridMultilevel"/>
    <w:tmpl w:val="9844CEA4"/>
    <w:lvl w:ilvl="0" w:tplc="A4D051E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4306B7E"/>
    <w:multiLevelType w:val="hybridMultilevel"/>
    <w:tmpl w:val="79FE86FE"/>
    <w:lvl w:ilvl="0" w:tplc="1E76F2D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565B35B2"/>
    <w:multiLevelType w:val="hybridMultilevel"/>
    <w:tmpl w:val="943EA15C"/>
    <w:lvl w:ilvl="0" w:tplc="0C090011">
      <w:start w:val="1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9183A7E"/>
    <w:multiLevelType w:val="multilevel"/>
    <w:tmpl w:val="774E8C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5DE14BA1"/>
    <w:multiLevelType w:val="hybridMultilevel"/>
    <w:tmpl w:val="D3F2838E"/>
    <w:lvl w:ilvl="0" w:tplc="F062876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6199049D"/>
    <w:multiLevelType w:val="hybridMultilevel"/>
    <w:tmpl w:val="22347E88"/>
    <w:lvl w:ilvl="0" w:tplc="0DFCFB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61F83028"/>
    <w:multiLevelType w:val="hybridMultilevel"/>
    <w:tmpl w:val="A4F2464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nsid w:val="62047922"/>
    <w:multiLevelType w:val="hybridMultilevel"/>
    <w:tmpl w:val="143C81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5245A8A"/>
    <w:multiLevelType w:val="hybridMultilevel"/>
    <w:tmpl w:val="6F580506"/>
    <w:lvl w:ilvl="0" w:tplc="1F4ADA8A">
      <w:start w:val="23"/>
      <w:numFmt w:val="bullet"/>
      <w:lvlText w:val="-"/>
      <w:lvlJc w:val="left"/>
      <w:pPr>
        <w:ind w:left="2727" w:hanging="360"/>
      </w:pPr>
      <w:rPr>
        <w:rFonts w:ascii="Calibri" w:eastAsiaTheme="minorHAnsi" w:hAnsi="Calibri" w:cstheme="minorBidi"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0">
    <w:nsid w:val="6A005524"/>
    <w:multiLevelType w:val="hybridMultilevel"/>
    <w:tmpl w:val="8EFE13D8"/>
    <w:lvl w:ilvl="0" w:tplc="1F4ADA8A">
      <w:start w:val="23"/>
      <w:numFmt w:val="bullet"/>
      <w:lvlText w:val="-"/>
      <w:lvlJc w:val="left"/>
      <w:pPr>
        <w:ind w:left="1647" w:hanging="360"/>
      </w:pPr>
      <w:rPr>
        <w:rFonts w:ascii="Calibri" w:eastAsiaTheme="minorHAnsi" w:hAnsi="Calibri" w:cstheme="minorBidi" w:hint="default"/>
      </w:rPr>
    </w:lvl>
    <w:lvl w:ilvl="1" w:tplc="0C090003" w:tentative="1">
      <w:start w:val="1"/>
      <w:numFmt w:val="bullet"/>
      <w:lvlText w:val="o"/>
      <w:lvlJc w:val="left"/>
      <w:pPr>
        <w:ind w:left="2367" w:hanging="360"/>
      </w:pPr>
      <w:rPr>
        <w:rFonts w:ascii="Courier New" w:hAnsi="Courier New" w:cs="Courier New" w:hint="default"/>
      </w:rPr>
    </w:lvl>
    <w:lvl w:ilvl="2" w:tplc="0C090005" w:tentative="1">
      <w:start w:val="1"/>
      <w:numFmt w:val="bullet"/>
      <w:lvlText w:val=""/>
      <w:lvlJc w:val="left"/>
      <w:pPr>
        <w:ind w:left="3087" w:hanging="360"/>
      </w:pPr>
      <w:rPr>
        <w:rFonts w:ascii="Wingdings" w:hAnsi="Wingdings" w:hint="default"/>
      </w:rPr>
    </w:lvl>
    <w:lvl w:ilvl="3" w:tplc="0C090001" w:tentative="1">
      <w:start w:val="1"/>
      <w:numFmt w:val="bullet"/>
      <w:lvlText w:val=""/>
      <w:lvlJc w:val="left"/>
      <w:pPr>
        <w:ind w:left="3807" w:hanging="360"/>
      </w:pPr>
      <w:rPr>
        <w:rFonts w:ascii="Symbol" w:hAnsi="Symbol" w:hint="default"/>
      </w:rPr>
    </w:lvl>
    <w:lvl w:ilvl="4" w:tplc="0C090003" w:tentative="1">
      <w:start w:val="1"/>
      <w:numFmt w:val="bullet"/>
      <w:lvlText w:val="o"/>
      <w:lvlJc w:val="left"/>
      <w:pPr>
        <w:ind w:left="4527" w:hanging="360"/>
      </w:pPr>
      <w:rPr>
        <w:rFonts w:ascii="Courier New" w:hAnsi="Courier New" w:cs="Courier New" w:hint="default"/>
      </w:rPr>
    </w:lvl>
    <w:lvl w:ilvl="5" w:tplc="0C090005" w:tentative="1">
      <w:start w:val="1"/>
      <w:numFmt w:val="bullet"/>
      <w:lvlText w:val=""/>
      <w:lvlJc w:val="left"/>
      <w:pPr>
        <w:ind w:left="5247" w:hanging="360"/>
      </w:pPr>
      <w:rPr>
        <w:rFonts w:ascii="Wingdings" w:hAnsi="Wingdings" w:hint="default"/>
      </w:rPr>
    </w:lvl>
    <w:lvl w:ilvl="6" w:tplc="0C090001" w:tentative="1">
      <w:start w:val="1"/>
      <w:numFmt w:val="bullet"/>
      <w:lvlText w:val=""/>
      <w:lvlJc w:val="left"/>
      <w:pPr>
        <w:ind w:left="5967" w:hanging="360"/>
      </w:pPr>
      <w:rPr>
        <w:rFonts w:ascii="Symbol" w:hAnsi="Symbol" w:hint="default"/>
      </w:rPr>
    </w:lvl>
    <w:lvl w:ilvl="7" w:tplc="0C090003" w:tentative="1">
      <w:start w:val="1"/>
      <w:numFmt w:val="bullet"/>
      <w:lvlText w:val="o"/>
      <w:lvlJc w:val="left"/>
      <w:pPr>
        <w:ind w:left="6687" w:hanging="360"/>
      </w:pPr>
      <w:rPr>
        <w:rFonts w:ascii="Courier New" w:hAnsi="Courier New" w:cs="Courier New" w:hint="default"/>
      </w:rPr>
    </w:lvl>
    <w:lvl w:ilvl="8" w:tplc="0C090005" w:tentative="1">
      <w:start w:val="1"/>
      <w:numFmt w:val="bullet"/>
      <w:lvlText w:val=""/>
      <w:lvlJc w:val="left"/>
      <w:pPr>
        <w:ind w:left="7407" w:hanging="360"/>
      </w:pPr>
      <w:rPr>
        <w:rFonts w:ascii="Wingdings" w:hAnsi="Wingdings" w:hint="default"/>
      </w:rPr>
    </w:lvl>
  </w:abstractNum>
  <w:abstractNum w:abstractNumId="31">
    <w:nsid w:val="71354A19"/>
    <w:multiLevelType w:val="hybridMultilevel"/>
    <w:tmpl w:val="78B40FE4"/>
    <w:lvl w:ilvl="0" w:tplc="A06236B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21D0299"/>
    <w:multiLevelType w:val="hybridMultilevel"/>
    <w:tmpl w:val="FBEE6A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33">
    <w:nsid w:val="74263268"/>
    <w:multiLevelType w:val="hybridMultilevel"/>
    <w:tmpl w:val="CD0A76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nsid w:val="753E29DC"/>
    <w:multiLevelType w:val="hybridMultilevel"/>
    <w:tmpl w:val="B21EBBC2"/>
    <w:lvl w:ilvl="0" w:tplc="862E3D7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7EC6159"/>
    <w:multiLevelType w:val="hybridMultilevel"/>
    <w:tmpl w:val="B058C7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nsid w:val="792F3FD8"/>
    <w:multiLevelType w:val="hybridMultilevel"/>
    <w:tmpl w:val="EE421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B9B4C74"/>
    <w:multiLevelType w:val="hybridMultilevel"/>
    <w:tmpl w:val="943EA15C"/>
    <w:lvl w:ilvl="0" w:tplc="0C090011">
      <w:start w:val="1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BBB1176"/>
    <w:multiLevelType w:val="hybridMultilevel"/>
    <w:tmpl w:val="6A40B284"/>
    <w:lvl w:ilvl="0" w:tplc="3E62A9C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7C870B80"/>
    <w:multiLevelType w:val="hybridMultilevel"/>
    <w:tmpl w:val="9C027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FD2691B"/>
    <w:multiLevelType w:val="hybridMultilevel"/>
    <w:tmpl w:val="1C22A8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39"/>
  </w:num>
  <w:num w:numId="4">
    <w:abstractNumId w:val="36"/>
  </w:num>
  <w:num w:numId="5">
    <w:abstractNumId w:val="38"/>
  </w:num>
  <w:num w:numId="6">
    <w:abstractNumId w:val="4"/>
  </w:num>
  <w:num w:numId="7">
    <w:abstractNumId w:val="14"/>
  </w:num>
  <w:num w:numId="8">
    <w:abstractNumId w:val="33"/>
  </w:num>
  <w:num w:numId="9">
    <w:abstractNumId w:val="15"/>
  </w:num>
  <w:num w:numId="10">
    <w:abstractNumId w:val="28"/>
  </w:num>
  <w:num w:numId="11">
    <w:abstractNumId w:val="13"/>
  </w:num>
  <w:num w:numId="12">
    <w:abstractNumId w:val="16"/>
  </w:num>
  <w:num w:numId="13">
    <w:abstractNumId w:val="19"/>
  </w:num>
  <w:num w:numId="14">
    <w:abstractNumId w:val="9"/>
  </w:num>
  <w:num w:numId="15">
    <w:abstractNumId w:val="1"/>
  </w:num>
  <w:num w:numId="16">
    <w:abstractNumId w:val="17"/>
  </w:num>
  <w:num w:numId="17">
    <w:abstractNumId w:val="6"/>
  </w:num>
  <w:num w:numId="18">
    <w:abstractNumId w:val="2"/>
  </w:num>
  <w:num w:numId="19">
    <w:abstractNumId w:val="18"/>
  </w:num>
  <w:num w:numId="20">
    <w:abstractNumId w:val="20"/>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4"/>
  </w:num>
  <w:num w:numId="24">
    <w:abstractNumId w:val="24"/>
  </w:num>
  <w:num w:numId="25">
    <w:abstractNumId w:val="31"/>
  </w:num>
  <w:num w:numId="26">
    <w:abstractNumId w:val="21"/>
  </w:num>
  <w:num w:numId="27">
    <w:abstractNumId w:val="40"/>
  </w:num>
  <w:num w:numId="28">
    <w:abstractNumId w:val="35"/>
  </w:num>
  <w:num w:numId="29">
    <w:abstractNumId w:val="27"/>
  </w:num>
  <w:num w:numId="30">
    <w:abstractNumId w:val="37"/>
  </w:num>
  <w:num w:numId="31">
    <w:abstractNumId w:val="10"/>
  </w:num>
  <w:num w:numId="32">
    <w:abstractNumId w:val="30"/>
  </w:num>
  <w:num w:numId="33">
    <w:abstractNumId w:val="29"/>
  </w:num>
  <w:num w:numId="34">
    <w:abstractNumId w:val="8"/>
  </w:num>
  <w:num w:numId="35">
    <w:abstractNumId w:val="32"/>
  </w:num>
  <w:num w:numId="36">
    <w:abstractNumId w:val="5"/>
  </w:num>
  <w:num w:numId="37">
    <w:abstractNumId w:val="25"/>
  </w:num>
  <w:num w:numId="38">
    <w:abstractNumId w:val="22"/>
  </w:num>
  <w:num w:numId="39">
    <w:abstractNumId w:val="7"/>
  </w:num>
  <w:num w:numId="40">
    <w:abstractNumId w:val="11"/>
  </w:num>
  <w:num w:numId="41">
    <w:abstractNumId w:val="26"/>
  </w:num>
  <w:num w:numId="42">
    <w:abstractNumId w:val="23"/>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A3FAA"/>
    <w:rsid w:val="00021226"/>
    <w:rsid w:val="00030B7C"/>
    <w:rsid w:val="00060658"/>
    <w:rsid w:val="000B6C30"/>
    <w:rsid w:val="001231EA"/>
    <w:rsid w:val="00130121"/>
    <w:rsid w:val="00144EFD"/>
    <w:rsid w:val="00146F4B"/>
    <w:rsid w:val="001533D7"/>
    <w:rsid w:val="00161CA6"/>
    <w:rsid w:val="001A164D"/>
    <w:rsid w:val="001A2210"/>
    <w:rsid w:val="001B7E20"/>
    <w:rsid w:val="001E77AE"/>
    <w:rsid w:val="001F4D82"/>
    <w:rsid w:val="001F4F66"/>
    <w:rsid w:val="002046AC"/>
    <w:rsid w:val="002213F8"/>
    <w:rsid w:val="00222A44"/>
    <w:rsid w:val="00232F12"/>
    <w:rsid w:val="0023688A"/>
    <w:rsid w:val="00247DCA"/>
    <w:rsid w:val="002654A5"/>
    <w:rsid w:val="00270824"/>
    <w:rsid w:val="00271E62"/>
    <w:rsid w:val="002902FD"/>
    <w:rsid w:val="002F6964"/>
    <w:rsid w:val="00311CAD"/>
    <w:rsid w:val="00336146"/>
    <w:rsid w:val="00344EDC"/>
    <w:rsid w:val="003466A4"/>
    <w:rsid w:val="00373FF3"/>
    <w:rsid w:val="00397529"/>
    <w:rsid w:val="003A05FC"/>
    <w:rsid w:val="003B1225"/>
    <w:rsid w:val="003B28F4"/>
    <w:rsid w:val="003B2D8D"/>
    <w:rsid w:val="003C79DE"/>
    <w:rsid w:val="003E3DFF"/>
    <w:rsid w:val="00444B87"/>
    <w:rsid w:val="00452070"/>
    <w:rsid w:val="00475604"/>
    <w:rsid w:val="00480845"/>
    <w:rsid w:val="00484A94"/>
    <w:rsid w:val="00491027"/>
    <w:rsid w:val="00501C68"/>
    <w:rsid w:val="00531616"/>
    <w:rsid w:val="005503C8"/>
    <w:rsid w:val="00554787"/>
    <w:rsid w:val="00555E6B"/>
    <w:rsid w:val="00557DD4"/>
    <w:rsid w:val="00561D3D"/>
    <w:rsid w:val="005B1C30"/>
    <w:rsid w:val="005F0661"/>
    <w:rsid w:val="005F6E8D"/>
    <w:rsid w:val="00627B40"/>
    <w:rsid w:val="006325CE"/>
    <w:rsid w:val="006574DB"/>
    <w:rsid w:val="006611A9"/>
    <w:rsid w:val="006D4AC0"/>
    <w:rsid w:val="006F28E4"/>
    <w:rsid w:val="00716CF2"/>
    <w:rsid w:val="00744F56"/>
    <w:rsid w:val="00770481"/>
    <w:rsid w:val="00784A5B"/>
    <w:rsid w:val="007A187C"/>
    <w:rsid w:val="007C63E3"/>
    <w:rsid w:val="007D0EF3"/>
    <w:rsid w:val="007F38A6"/>
    <w:rsid w:val="007F52D1"/>
    <w:rsid w:val="007F5A5A"/>
    <w:rsid w:val="007F7AD6"/>
    <w:rsid w:val="008030B4"/>
    <w:rsid w:val="00813EA2"/>
    <w:rsid w:val="0086172B"/>
    <w:rsid w:val="008B6148"/>
    <w:rsid w:val="008C36DD"/>
    <w:rsid w:val="008C60CD"/>
    <w:rsid w:val="008D0B3A"/>
    <w:rsid w:val="008F3FB6"/>
    <w:rsid w:val="008F7ABD"/>
    <w:rsid w:val="009205CC"/>
    <w:rsid w:val="00923F2F"/>
    <w:rsid w:val="0093586A"/>
    <w:rsid w:val="009547C6"/>
    <w:rsid w:val="00966A02"/>
    <w:rsid w:val="00971FBF"/>
    <w:rsid w:val="0098415A"/>
    <w:rsid w:val="009940B9"/>
    <w:rsid w:val="009E4FEE"/>
    <w:rsid w:val="00A25873"/>
    <w:rsid w:val="00A31A92"/>
    <w:rsid w:val="00A4460C"/>
    <w:rsid w:val="00A45CAD"/>
    <w:rsid w:val="00A45CCB"/>
    <w:rsid w:val="00A5368C"/>
    <w:rsid w:val="00A76270"/>
    <w:rsid w:val="00AA784E"/>
    <w:rsid w:val="00AB43AD"/>
    <w:rsid w:val="00AE1D25"/>
    <w:rsid w:val="00B035A6"/>
    <w:rsid w:val="00B05510"/>
    <w:rsid w:val="00B05F1C"/>
    <w:rsid w:val="00B27791"/>
    <w:rsid w:val="00B458E5"/>
    <w:rsid w:val="00B618A7"/>
    <w:rsid w:val="00B62D94"/>
    <w:rsid w:val="00B65CFC"/>
    <w:rsid w:val="00B7227F"/>
    <w:rsid w:val="00B84666"/>
    <w:rsid w:val="00B9366A"/>
    <w:rsid w:val="00B961A9"/>
    <w:rsid w:val="00BA6DC3"/>
    <w:rsid w:val="00BF5DCC"/>
    <w:rsid w:val="00C10716"/>
    <w:rsid w:val="00C42127"/>
    <w:rsid w:val="00C454D1"/>
    <w:rsid w:val="00C50FDA"/>
    <w:rsid w:val="00C568F3"/>
    <w:rsid w:val="00C628DC"/>
    <w:rsid w:val="00C67EA2"/>
    <w:rsid w:val="00C74B66"/>
    <w:rsid w:val="00CA4DC8"/>
    <w:rsid w:val="00CB21B1"/>
    <w:rsid w:val="00CC32B6"/>
    <w:rsid w:val="00CE3FC5"/>
    <w:rsid w:val="00CE661F"/>
    <w:rsid w:val="00D36D03"/>
    <w:rsid w:val="00D563C6"/>
    <w:rsid w:val="00D57D24"/>
    <w:rsid w:val="00D635B3"/>
    <w:rsid w:val="00D6724D"/>
    <w:rsid w:val="00D83B0C"/>
    <w:rsid w:val="00DB39C1"/>
    <w:rsid w:val="00DB70BE"/>
    <w:rsid w:val="00E273ED"/>
    <w:rsid w:val="00E62B70"/>
    <w:rsid w:val="00E715DF"/>
    <w:rsid w:val="00E77317"/>
    <w:rsid w:val="00EA2B97"/>
    <w:rsid w:val="00EB6117"/>
    <w:rsid w:val="00EC60A1"/>
    <w:rsid w:val="00ED4BAF"/>
    <w:rsid w:val="00EE1B3B"/>
    <w:rsid w:val="00EE5E40"/>
    <w:rsid w:val="00EE69A8"/>
    <w:rsid w:val="00F02C75"/>
    <w:rsid w:val="00F15107"/>
    <w:rsid w:val="00F1743D"/>
    <w:rsid w:val="00F247DC"/>
    <w:rsid w:val="00F43B24"/>
    <w:rsid w:val="00F628CA"/>
    <w:rsid w:val="00F66CE8"/>
    <w:rsid w:val="00F707D7"/>
    <w:rsid w:val="00F7764A"/>
    <w:rsid w:val="00F822BA"/>
    <w:rsid w:val="00F82C4E"/>
    <w:rsid w:val="00F96772"/>
    <w:rsid w:val="00FA3FAA"/>
    <w:rsid w:val="00FC294B"/>
    <w:rsid w:val="00FD16AF"/>
    <w:rsid w:val="00FF439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F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FAA"/>
    <w:pPr>
      <w:ind w:left="720"/>
      <w:contextualSpacing/>
    </w:pPr>
  </w:style>
  <w:style w:type="character" w:styleId="Hyperlink">
    <w:name w:val="Hyperlink"/>
    <w:basedOn w:val="DefaultParagraphFont"/>
    <w:uiPriority w:val="99"/>
    <w:unhideWhenUsed/>
    <w:rsid w:val="00FA3FAA"/>
    <w:rPr>
      <w:color w:val="0000FF" w:themeColor="hyperlink"/>
      <w:u w:val="single"/>
    </w:rPr>
  </w:style>
  <w:style w:type="paragraph" w:styleId="NormalWeb">
    <w:name w:val="Normal (Web)"/>
    <w:basedOn w:val="Normal"/>
    <w:uiPriority w:val="99"/>
    <w:semiHidden/>
    <w:unhideWhenUsed/>
    <w:rsid w:val="002654A5"/>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2654A5"/>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460C"/>
    <w:rPr>
      <w:color w:val="800080" w:themeColor="followedHyperlink"/>
      <w:u w:val="single"/>
    </w:rPr>
  </w:style>
  <w:style w:type="paragraph" w:customStyle="1" w:styleId="Default">
    <w:name w:val="Default"/>
    <w:rsid w:val="00A4460C"/>
    <w:pPr>
      <w:autoSpaceDE w:val="0"/>
      <w:autoSpaceDN w:val="0"/>
      <w:adjustRightInd w:val="0"/>
      <w:spacing w:after="0" w:line="240" w:lineRule="auto"/>
    </w:pPr>
    <w:rPr>
      <w:rFonts w:ascii="Vectora LT Bold" w:hAnsi="Vectora LT Bold" w:cs="Vectora LT Bold"/>
      <w:color w:val="000000"/>
      <w:sz w:val="24"/>
      <w:szCs w:val="24"/>
    </w:rPr>
  </w:style>
  <w:style w:type="paragraph" w:customStyle="1" w:styleId="Pa2">
    <w:name w:val="Pa2"/>
    <w:basedOn w:val="Default"/>
    <w:next w:val="Default"/>
    <w:uiPriority w:val="99"/>
    <w:rsid w:val="00A4460C"/>
    <w:pPr>
      <w:spacing w:line="241" w:lineRule="atLeast"/>
    </w:pPr>
    <w:rPr>
      <w:rFonts w:cstheme="minorBidi"/>
      <w:color w:val="auto"/>
    </w:rPr>
  </w:style>
  <w:style w:type="character" w:customStyle="1" w:styleId="A5">
    <w:name w:val="A5"/>
    <w:uiPriority w:val="99"/>
    <w:rsid w:val="00A4460C"/>
    <w:rPr>
      <w:rFonts w:cs="Vectora LT Bold"/>
      <w:color w:val="000000"/>
      <w:sz w:val="56"/>
      <w:szCs w:val="56"/>
    </w:rPr>
  </w:style>
  <w:style w:type="character" w:customStyle="1" w:styleId="A6">
    <w:name w:val="A6"/>
    <w:uiPriority w:val="99"/>
    <w:rsid w:val="00A4460C"/>
    <w:rPr>
      <w:rFonts w:ascii="Vectora LT Roman" w:hAnsi="Vectora LT Roman" w:cs="Vectora LT Roman"/>
      <w:color w:val="000000"/>
      <w:sz w:val="52"/>
      <w:szCs w:val="52"/>
    </w:rPr>
  </w:style>
  <w:style w:type="paragraph" w:customStyle="1" w:styleId="Pa0">
    <w:name w:val="Pa0"/>
    <w:basedOn w:val="Default"/>
    <w:next w:val="Default"/>
    <w:uiPriority w:val="99"/>
    <w:rsid w:val="00501C68"/>
    <w:pPr>
      <w:spacing w:line="241" w:lineRule="atLeast"/>
    </w:pPr>
    <w:rPr>
      <w:rFonts w:ascii="Vectora LT Light" w:hAnsi="Vectora LT Light" w:cstheme="minorBidi"/>
      <w:color w:val="auto"/>
    </w:rPr>
  </w:style>
  <w:style w:type="character" w:customStyle="1" w:styleId="A2">
    <w:name w:val="A2"/>
    <w:uiPriority w:val="99"/>
    <w:rsid w:val="00501C68"/>
    <w:rPr>
      <w:rFonts w:cs="Vectora LT Light"/>
      <w:color w:val="000000"/>
      <w:sz w:val="20"/>
      <w:szCs w:val="20"/>
    </w:rPr>
  </w:style>
  <w:style w:type="character" w:customStyle="1" w:styleId="A1">
    <w:name w:val="A1"/>
    <w:uiPriority w:val="99"/>
    <w:rsid w:val="00501C68"/>
    <w:rPr>
      <w:rFonts w:cs="Vectora LT Light"/>
      <w:color w:val="000000"/>
      <w:sz w:val="22"/>
      <w:szCs w:val="22"/>
    </w:rPr>
  </w:style>
  <w:style w:type="paragraph" w:styleId="BalloonText">
    <w:name w:val="Balloon Text"/>
    <w:basedOn w:val="Normal"/>
    <w:link w:val="BalloonTextChar"/>
    <w:uiPriority w:val="99"/>
    <w:semiHidden/>
    <w:unhideWhenUsed/>
    <w:rsid w:val="00501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C68"/>
    <w:rPr>
      <w:rFonts w:ascii="Tahoma" w:hAnsi="Tahoma" w:cs="Tahoma"/>
      <w:sz w:val="16"/>
      <w:szCs w:val="16"/>
    </w:rPr>
  </w:style>
  <w:style w:type="character" w:styleId="Strong">
    <w:name w:val="Strong"/>
    <w:basedOn w:val="DefaultParagraphFont"/>
    <w:uiPriority w:val="22"/>
    <w:qFormat/>
    <w:rsid w:val="00501C68"/>
    <w:rPr>
      <w:b/>
      <w:bCs/>
    </w:rPr>
  </w:style>
  <w:style w:type="paragraph" w:styleId="Header">
    <w:name w:val="header"/>
    <w:basedOn w:val="Normal"/>
    <w:link w:val="HeaderChar"/>
    <w:uiPriority w:val="99"/>
    <w:semiHidden/>
    <w:unhideWhenUsed/>
    <w:rsid w:val="009841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415A"/>
  </w:style>
  <w:style w:type="paragraph" w:styleId="Footer">
    <w:name w:val="footer"/>
    <w:basedOn w:val="Normal"/>
    <w:link w:val="FooterChar"/>
    <w:uiPriority w:val="99"/>
    <w:unhideWhenUsed/>
    <w:rsid w:val="009841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15A"/>
  </w:style>
  <w:style w:type="character" w:styleId="CommentReference">
    <w:name w:val="annotation reference"/>
    <w:basedOn w:val="DefaultParagraphFont"/>
    <w:uiPriority w:val="99"/>
    <w:semiHidden/>
    <w:unhideWhenUsed/>
    <w:rsid w:val="008B6148"/>
    <w:rPr>
      <w:sz w:val="16"/>
      <w:szCs w:val="16"/>
    </w:rPr>
  </w:style>
  <w:style w:type="paragraph" w:styleId="CommentText">
    <w:name w:val="annotation text"/>
    <w:basedOn w:val="Normal"/>
    <w:link w:val="CommentTextChar"/>
    <w:uiPriority w:val="99"/>
    <w:semiHidden/>
    <w:unhideWhenUsed/>
    <w:rsid w:val="008B6148"/>
    <w:pPr>
      <w:spacing w:line="240" w:lineRule="auto"/>
    </w:pPr>
    <w:rPr>
      <w:sz w:val="20"/>
      <w:szCs w:val="20"/>
    </w:rPr>
  </w:style>
  <w:style w:type="character" w:customStyle="1" w:styleId="CommentTextChar">
    <w:name w:val="Comment Text Char"/>
    <w:basedOn w:val="DefaultParagraphFont"/>
    <w:link w:val="CommentText"/>
    <w:uiPriority w:val="99"/>
    <w:semiHidden/>
    <w:rsid w:val="008B6148"/>
    <w:rPr>
      <w:sz w:val="20"/>
      <w:szCs w:val="20"/>
    </w:rPr>
  </w:style>
  <w:style w:type="paragraph" w:styleId="CommentSubject">
    <w:name w:val="annotation subject"/>
    <w:basedOn w:val="CommentText"/>
    <w:next w:val="CommentText"/>
    <w:link w:val="CommentSubjectChar"/>
    <w:uiPriority w:val="99"/>
    <w:semiHidden/>
    <w:unhideWhenUsed/>
    <w:rsid w:val="00EC60A1"/>
    <w:rPr>
      <w:b/>
      <w:bCs/>
    </w:rPr>
  </w:style>
  <w:style w:type="character" w:customStyle="1" w:styleId="CommentSubjectChar">
    <w:name w:val="Comment Subject Char"/>
    <w:basedOn w:val="CommentTextChar"/>
    <w:link w:val="CommentSubject"/>
    <w:uiPriority w:val="99"/>
    <w:semiHidden/>
    <w:rsid w:val="00EC60A1"/>
    <w:rPr>
      <w:b/>
      <w:bCs/>
    </w:rPr>
  </w:style>
</w:styles>
</file>

<file path=word/webSettings.xml><?xml version="1.0" encoding="utf-8"?>
<w:webSettings xmlns:r="http://schemas.openxmlformats.org/officeDocument/2006/relationships" xmlns:w="http://schemas.openxmlformats.org/wordprocessingml/2006/main">
  <w:divs>
    <w:div w:id="92895925">
      <w:bodyDiv w:val="1"/>
      <w:marLeft w:val="0"/>
      <w:marRight w:val="0"/>
      <w:marTop w:val="0"/>
      <w:marBottom w:val="0"/>
      <w:divBdr>
        <w:top w:val="none" w:sz="0" w:space="0" w:color="auto"/>
        <w:left w:val="none" w:sz="0" w:space="0" w:color="auto"/>
        <w:bottom w:val="none" w:sz="0" w:space="0" w:color="auto"/>
        <w:right w:val="none" w:sz="0" w:space="0" w:color="auto"/>
      </w:divBdr>
    </w:div>
    <w:div w:id="289168937">
      <w:bodyDiv w:val="1"/>
      <w:marLeft w:val="0"/>
      <w:marRight w:val="0"/>
      <w:marTop w:val="0"/>
      <w:marBottom w:val="0"/>
      <w:divBdr>
        <w:top w:val="none" w:sz="0" w:space="0" w:color="auto"/>
        <w:left w:val="none" w:sz="0" w:space="0" w:color="auto"/>
        <w:bottom w:val="none" w:sz="0" w:space="0" w:color="auto"/>
        <w:right w:val="none" w:sz="0" w:space="0" w:color="auto"/>
      </w:divBdr>
    </w:div>
    <w:div w:id="833767680">
      <w:bodyDiv w:val="1"/>
      <w:marLeft w:val="0"/>
      <w:marRight w:val="0"/>
      <w:marTop w:val="0"/>
      <w:marBottom w:val="0"/>
      <w:divBdr>
        <w:top w:val="none" w:sz="0" w:space="0" w:color="auto"/>
        <w:left w:val="none" w:sz="0" w:space="0" w:color="auto"/>
        <w:bottom w:val="none" w:sz="0" w:space="0" w:color="auto"/>
        <w:right w:val="none" w:sz="0" w:space="0" w:color="auto"/>
      </w:divBdr>
    </w:div>
    <w:div w:id="871110204">
      <w:bodyDiv w:val="1"/>
      <w:marLeft w:val="0"/>
      <w:marRight w:val="0"/>
      <w:marTop w:val="0"/>
      <w:marBottom w:val="0"/>
      <w:divBdr>
        <w:top w:val="none" w:sz="0" w:space="0" w:color="auto"/>
        <w:left w:val="none" w:sz="0" w:space="0" w:color="auto"/>
        <w:bottom w:val="none" w:sz="0" w:space="0" w:color="auto"/>
        <w:right w:val="none" w:sz="0" w:space="0" w:color="auto"/>
      </w:divBdr>
    </w:div>
    <w:div w:id="1201943287">
      <w:bodyDiv w:val="1"/>
      <w:marLeft w:val="0"/>
      <w:marRight w:val="0"/>
      <w:marTop w:val="0"/>
      <w:marBottom w:val="0"/>
      <w:divBdr>
        <w:top w:val="none" w:sz="0" w:space="0" w:color="auto"/>
        <w:left w:val="none" w:sz="0" w:space="0" w:color="auto"/>
        <w:bottom w:val="none" w:sz="0" w:space="0" w:color="auto"/>
        <w:right w:val="none" w:sz="0" w:space="0" w:color="auto"/>
      </w:divBdr>
    </w:div>
    <w:div w:id="1551067221">
      <w:bodyDiv w:val="1"/>
      <w:marLeft w:val="0"/>
      <w:marRight w:val="0"/>
      <w:marTop w:val="0"/>
      <w:marBottom w:val="0"/>
      <w:divBdr>
        <w:top w:val="none" w:sz="0" w:space="0" w:color="auto"/>
        <w:left w:val="none" w:sz="0" w:space="0" w:color="auto"/>
        <w:bottom w:val="none" w:sz="0" w:space="0" w:color="auto"/>
        <w:right w:val="none" w:sz="0" w:space="0" w:color="auto"/>
      </w:divBdr>
    </w:div>
    <w:div w:id="19871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fitzgerald@bioplatforms.com" TargetMode="External"/><Relationship Id="rId13" Type="http://schemas.openxmlformats.org/officeDocument/2006/relationships/image" Target="media/image3.png"/><Relationship Id="rId18" Type="http://schemas.openxmlformats.org/officeDocument/2006/relationships/hyperlink" Target="mailto:tmeintjes@ccg.murdoch.edu.a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google.com/spreadsheet/ccc?key=0AvChXk8QAupBdENpekdlWGQxcnM1dHhMOGVRVVBGdXc&amp;usp=sharing" TargetMode="External"/><Relationship Id="rId25" Type="http://schemas.openxmlformats.org/officeDocument/2006/relationships/package" Target="embeddings/Microsoft_Office_PowerPoint_Slide2.sldx"/><Relationship Id="rId2" Type="http://schemas.openxmlformats.org/officeDocument/2006/relationships/numbering" Target="numbering.xml"/><Relationship Id="rId16" Type="http://schemas.openxmlformats.org/officeDocument/2006/relationships/hyperlink" Target="https://docs.google.com/spreadsheet/ccc?key=0AvChXk8QAupBdGVxYmNXZjM4TG9yS2FmRXhQWkUtNFE&amp;usp=drive_web" TargetMode="External"/><Relationship Id="rId20" Type="http://schemas.openxmlformats.org/officeDocument/2006/relationships/hyperlink" Target="https://downloads.bioplatfor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ms.agrf.org.au/ClientSubmission/NewUser.aspx" TargetMode="External"/><Relationship Id="rId24"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mailto:linda.karssies@csiro.au" TargetMode="External"/><Relationship Id="rId23" Type="http://schemas.openxmlformats.org/officeDocument/2006/relationships/package" Target="embeddings/Microsoft_Office_PowerPoint_Slide1.sldx"/><Relationship Id="rId10" Type="http://schemas.openxmlformats.org/officeDocument/2006/relationships/hyperlink" Target="mailto:John.Stephen@agrf.org.au" TargetMode="External"/><Relationship Id="rId19" Type="http://schemas.openxmlformats.org/officeDocument/2006/relationships/hyperlink" Target="mailto:mbellgard@ccg.murdoch.edu.a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sbp-fertilisers.com.au/nutrition-services/soil-and-plant-analysis-laboratory"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5B010-B6AD-4F0B-8111-34D95175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BPA</dc:creator>
  <cp:lastModifiedBy>BPA</cp:lastModifiedBy>
  <cp:revision>3</cp:revision>
  <cp:lastPrinted>2013-11-07T00:49:00Z</cp:lastPrinted>
  <dcterms:created xsi:type="dcterms:W3CDTF">2014-01-21T00:54:00Z</dcterms:created>
  <dcterms:modified xsi:type="dcterms:W3CDTF">2014-01-21T01:33:00Z</dcterms:modified>
</cp:coreProperties>
</file>