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Project 1 Writeup</w:t>
      </w:r>
    </w:p>
    <w:p>
      <w:pPr>
        <w:spacing w:after="40"/>
      </w:pPr>
      <w:r>
        <w:rPr>
          <w:sz w:val="22"/>
          <w:szCs w:val="22"/>
        </w:rPr>
        <w:t xml:space="preserve">Forecasting hourly temperature at RDU, 17–30 September 2026</w:t>
      </w:r>
    </w:p>
    <w:p>
      <w:pPr>
        <w:pBdr>
          <w:bottom w:val="single" w:color="BFBFBF" w:sz="6" w:space="6"/>
        </w:pBdr>
        <w:spacing w:after="240"/>
      </w:pPr>
      <w:r>
        <w:rPr>
          <w:color w:val="595959"/>
          <w:sz w:val="20"/>
          <w:szCs w:val="20"/>
        </w:rPr>
        <w:t xml:space="preserve">Team 3 — George Deng, Cheney Li, Haydn Stucker · AIPI 520</w:t>
      </w:r>
    </w:p>
    <w:p>
      <w:pPr>
        <w:pBdr>
          <w:top w:val="single" w:color="E0C060" w:sz="4" w:space="6"/>
          <w:left w:val="single" w:color="E0C060" w:sz="4" w:space="6"/>
          <w:bottom w:val="single" w:color="E0C060" w:sz="4" w:space="6"/>
          <w:right w:val="single" w:color="E0C060" w:sz="4" w:space="6"/>
        </w:pBdr>
        <w:shd w:fill="FFF4CE" w:color="auto" w:val="clear"/>
        <w:spacing w:after="240"/>
      </w:pPr>
      <w:r>
        <w:rPr>
          <w:sz w:val="19"/>
          <w:szCs w:val="19"/>
        </w:rPr>
        <w:t xml:space="preserve">Scaffold only — delete this box before submitting. The brief says “AI allowed for coding. Writing and slides must be your own,” so the prose is deliberately not drafted here. Headings follow the brief’s ask (approach to the problem, how you applied what we learned in class); the tables hold figures read straight from the committed artifacts, with the file each came from named so you can re-check any number. Grey italics mark what you write. Budget is 2–4 pages, so the tables plus roughly 1,100–1,400 words of your own text.</w:t>
      </w:r>
    </w:p>
    <w:p>
      <w:pPr>
        <w:pStyle w:val="Heading1"/>
        <w:spacing w:after="120" w:before="280"/>
      </w:pPr>
      <w:r>
        <w:t xml:space="preserve">1. The problem and our approach</w:t>
      </w:r>
    </w:p>
    <w:p>
      <w:pPr>
        <w:spacing w:after="200" w:before="60"/>
      </w:pPr>
      <w:r>
        <w:rPr>
          <w:i/>
          <w:iCs/>
          <w:color w:val="808080"/>
          <w:sz w:val="20"/>
          <w:szCs w:val="20"/>
        </w:rPr>
        <w:t xml:space="preserve">[Your text: what makes a 14-day hourly forecast hard, and the one idea the project turns on — that a model built only from past temperatures cannot know which fortnight it is being asked about.]</w:t>
      </w:r>
    </w:p>
    <w:p>
      <w:pPr>
        <w:pStyle w:val="Heading1"/>
        <w:spacing w:after="120" w:before="280"/>
      </w:pPr>
      <w:r>
        <w:t xml:space="preserve">2. Data and pipeline</w:t>
      </w:r>
    </w:p>
    <w:p>
      <w:pPr>
        <w:spacing w:after="120"/>
      </w:pPr>
      <w:r>
        <w:rPr>
          <w:sz w:val="20"/>
          <w:szCs w:val="20"/>
        </w:rPr>
        <w:t xml:space="preserve">Facts available to cite:</w:t>
      </w:r>
    </w:p>
    <w:p>
      <w:pPr>
        <w:pStyle w:val="ListParagraph"/>
        <w:numPr>
          <w:ilvl w:val="0"/>
          <w:numId w:val="2"/>
        </w:numPr>
        <w:spacing w:after="60"/>
      </w:pPr>
      <w:r>
        <w:rPr>
          <w:sz w:val="20"/>
          <w:szCs w:val="20"/>
        </w:rPr>
        <w:t xml:space="preserve">Observations: hourly RDU temperature, 2021-09-17 to 2026-09-17 (43,824 hours), from public sources plus NC State ECONet.</w:t>
      </w:r>
    </w:p>
    <w:p>
      <w:pPr>
        <w:pStyle w:val="ListParagraph"/>
        <w:numPr>
          <w:ilvl w:val="0"/>
          <w:numId w:val="2"/>
        </w:numPr>
        <w:spacing w:after="60"/>
      </w:pPr>
      <w:r>
        <w:rPr>
          <w:sz w:val="20"/>
          <w:szCs w:val="20"/>
        </w:rPr>
        <w:t xml:space="preserve">Covariates: 30 archived NOAA GFS runs (0.25°), six fields per run, read by byte range through each file’s .idx sidecar — about 28 KB kept per run against roughly 0.76 GB transferred.</w:t>
      </w:r>
    </w:p>
    <w:p>
      <w:pPr>
        <w:pStyle w:val="ListParagraph"/>
        <w:numPr>
          <w:ilvl w:val="0"/>
          <w:numId w:val="2"/>
        </w:numPr>
        <w:spacing w:after="60"/>
      </w:pPr>
      <w:r>
        <w:rPr>
          <w:sz w:val="20"/>
          <w:szCs w:val="20"/>
        </w:rPr>
        <w:t xml:space="preserve">Every GFS run records its initialisation time, so a run started before the cutoff is legitimate to use; the joins enforce this rather than documenting it.</w:t>
      </w:r>
    </w:p>
    <w:p>
      <w:pPr>
        <w:pStyle w:val="ListParagraph"/>
        <w:numPr>
          <w:ilvl w:val="0"/>
          <w:numId w:val="2"/>
        </w:numPr>
        <w:spacing w:after="60"/>
      </w:pPr>
      <w:r>
        <w:rPr>
          <w:sz w:val="20"/>
          <w:szCs w:val="20"/>
        </w:rPr>
        <w:t xml:space="preserve">The product is hourly to 120 hours and three-hourly beyond, so 154 of the 336 forecast hours are interpolated between published leads and carry a flag.</w:t>
      </w:r>
    </w:p>
    <w:p>
      <w:pPr>
        <w:spacing w:after="200" w:before="60"/>
      </w:pPr>
      <w:r>
        <w:rPr>
          <w:i/>
          <w:iCs/>
          <w:color w:val="808080"/>
          <w:sz w:val="20"/>
          <w:szCs w:val="20"/>
        </w:rPr>
        <w:t xml:space="preserve">[Your text: why GFS is the input that answers the problem in section 1.]</w:t>
      </w:r>
    </w:p>
    <w:p>
      <w:pPr>
        <w:pStyle w:val="Heading1"/>
        <w:spacing w:after="120" w:before="280"/>
      </w:pPr>
      <w:r>
        <w:t xml:space="preserve">3. Features</w:t>
      </w:r>
    </w:p>
    <w:p>
      <w:pPr>
        <w:spacing w:after="200" w:before="60"/>
      </w:pPr>
      <w:r>
        <w:rPr>
          <w:i/>
          <w:iCs/>
          <w:color w:val="808080"/>
          <w:sz w:val="20"/>
          <w:szCs w:val="20"/>
        </w:rPr>
        <w:t xml:space="preserve">[Your text: the feature choices and why. Points you can draw on: circular encoding of hour, day-of-year and wind direction as sine/cosine pairs; forecast lead time carried on every row; the interpolation flag.]</w:t>
      </w:r>
    </w:p>
    <w:p>
      <w:pPr>
        <w:pStyle w:val="Heading1"/>
        <w:spacing w:after="120" w:before="280"/>
      </w:pPr>
      <w:r>
        <w:t xml:space="preserve">4. Models</w:t>
      </w:r>
    </w:p>
    <w:p>
      <w:pPr>
        <w:spacing w:after="120"/>
      </w:pPr>
      <w:r>
        <w:rPr>
          <w:sz w:val="20"/>
          <w:szCs w:val="20"/>
        </w:rPr>
        <w:t xml:space="preserve">Four families were built. The brief requires a linear model and one other; this has both and two more.</w:t>
      </w:r>
    </w:p>
    <w:p>
      <w:pPr>
        <w:pStyle w:val="ListParagraph"/>
        <w:numPr>
          <w:ilvl w:val="0"/>
          <w:numId w:val="2"/>
        </w:numPr>
        <w:spacing w:after="60"/>
      </w:pPr>
      <w:r>
        <w:rPr>
          <w:sz w:val="20"/>
          <w:szCs w:val="20"/>
        </w:rPr>
        <w:t xml:space="preserve">Linear regression on calendar time (linear): trend plus daily and annual Fourier terms and their interaction, with a decaying recent-residual correction.</w:t>
      </w:r>
    </w:p>
    <w:p>
      <w:pPr>
        <w:pStyle w:val="ListParagraph"/>
        <w:numPr>
          <w:ilvl w:val="0"/>
          <w:numId w:val="2"/>
        </w:numPr>
        <w:spacing w:after="60"/>
      </w:pPr>
      <w:r>
        <w:rPr>
          <w:sz w:val="20"/>
          <w:szCs w:val="20"/>
        </w:rPr>
        <w:t xml:space="preserve">Linear regression on GFS (linear_gfs): observation on GFS temperature, lead time, their interaction, and calendar terms.</w:t>
      </w:r>
    </w:p>
    <w:p>
      <w:pPr>
        <w:pStyle w:val="ListParagraph"/>
        <w:numPr>
          <w:ilvl w:val="0"/>
          <w:numId w:val="2"/>
        </w:numPr>
        <w:spacing w:after="60"/>
      </w:pPr>
      <w:r>
        <w:rPr>
          <w:sz w:val="20"/>
          <w:szCs w:val="20"/>
        </w:rPr>
        <w:t xml:space="preserve">Prophet with GFS as a regressor (prophet_gfs): trend and seasonality switched off, making it a pure statistical correction of GFS.</w:t>
      </w:r>
    </w:p>
    <w:p>
      <w:pPr>
        <w:pStyle w:val="ListParagraph"/>
        <w:numPr>
          <w:ilvl w:val="0"/>
          <w:numId w:val="2"/>
        </w:numPr>
        <w:spacing w:after="60"/>
      </w:pPr>
      <w:r>
        <w:rPr>
          <w:sz w:val="20"/>
          <w:szCs w:val="20"/>
        </w:rPr>
        <w:t xml:space="preserve">Gradient-boosted trees (xgboost): learns the residual observed − GFS and adds it back, rather than relearning temperature.</w:t>
      </w:r>
    </w:p>
    <w:p>
      <w:pPr>
        <w:pStyle w:val="ListParagraph"/>
        <w:numPr>
          <w:ilvl w:val="0"/>
          <w:numId w:val="2"/>
        </w:numPr>
        <w:spacing w:after="60"/>
      </w:pPr>
      <w:r>
        <w:rPr>
          <w:sz w:val="20"/>
          <w:szCs w:val="20"/>
        </w:rPr>
        <w:t xml:space="preserve">Baselines: day-of-year × hour-of-day climatology, and seasonal persistence.</w:t>
      </w:r>
    </w:p>
    <w:p>
      <w:pPr>
        <w:spacing w:after="200" w:before="60"/>
      </w:pPr>
      <w:r>
        <w:rPr>
          <w:i/>
          <w:iCs/>
          <w:color w:val="808080"/>
          <w:sz w:val="20"/>
          <w:szCs w:val="20"/>
        </w:rPr>
        <w:t xml:space="preserve">[Your text: the model output statistics idea — every GFS model corrects the forecast rather than replacing it — and why that suits a few thousand training rows.]</w:t>
      </w:r>
    </w:p>
    <w:p>
      <w:pPr>
        <w:pStyle w:val="Heading1"/>
        <w:spacing w:after="120" w:before="280"/>
      </w:pPr>
      <w:r>
        <w:t xml:space="preserve">5. Evaluation approach</w:t>
      </w:r>
    </w:p>
    <w:p>
      <w:pPr>
        <w:pStyle w:val="ListParagraph"/>
        <w:numPr>
          <w:ilvl w:val="0"/>
          <w:numId w:val="2"/>
        </w:numPr>
        <w:spacing w:after="60"/>
      </w:pPr>
      <w:r>
        <w:rPr>
          <w:sz w:val="20"/>
          <w:szCs w:val="20"/>
        </w:rPr>
        <w:t xml:space="preserve">No model sees an hour at or after its cutoff; folds are held strictly before the real forecast period.</w:t>
      </w:r>
    </w:p>
    <w:p>
      <w:pPr>
        <w:pStyle w:val="ListParagraph"/>
        <w:numPr>
          <w:ilvl w:val="0"/>
          <w:numId w:val="2"/>
        </w:numPr>
        <w:spacing w:after="60"/>
      </w:pPr>
      <w:r>
        <w:rPr>
          <w:sz w:val="20"/>
          <w:szCs w:val="20"/>
        </w:rPr>
        <w:t xml:space="preserve">Two fold sets: seasonal folds repeat the task on 17 September of earlier years; rolling folds step a cutoff every 14 days to make small differences measurable.</w:t>
      </w:r>
    </w:p>
    <w:p>
      <w:pPr>
        <w:pStyle w:val="ListParagraph"/>
        <w:numPr>
          <w:ilvl w:val="0"/>
          <w:numId w:val="2"/>
        </w:numPr>
        <w:spacing w:after="60"/>
      </w:pPr>
      <w:r>
        <w:rPr>
          <w:sz w:val="20"/>
          <w:szCs w:val="20"/>
        </w:rPr>
        <w:t xml:space="preserve">Covariate models can only be scored where a GFS run reaches and only trained where a year of covariate history reaches them, which leaves 19 rolling and 2 seasonal folds. Every model in the tables below is scored on those same folds, so the comparison is paired.</w:t>
      </w:r>
    </w:p>
    <w:p>
      <w:pPr>
        <w:pStyle w:val="ListParagraph"/>
        <w:numPr>
          <w:ilvl w:val="0"/>
          <w:numId w:val="2"/>
        </w:numPr>
        <w:spacing w:after="60"/>
      </w:pPr>
      <w:r>
        <w:rPr>
          <w:sz w:val="20"/>
          <w:szCs w:val="20"/>
        </w:rPr>
        <w:t xml:space="preserve">Differences are tested with a paired bootstrap over folds (20,000 resamples), not by comparing headline averages.</w:t>
      </w:r>
    </w:p>
    <w:p>
      <w:pPr>
        <w:pStyle w:val="ListParagraph"/>
        <w:numPr>
          <w:ilvl w:val="0"/>
          <w:numId w:val="2"/>
        </w:numPr>
        <w:spacing w:after="60"/>
      </w:pPr>
      <w:r>
        <w:rPr>
          <w:sz w:val="20"/>
          <w:szCs w:val="20"/>
        </w:rPr>
        <w:t xml:space="preserve">RMSE is pooled across folds by weighting squared error, since the mean of per-fold roots understates the true value.</w:t>
      </w:r>
    </w:p>
    <w:p>
      <w:pPr>
        <w:spacing w:after="200" w:before="60"/>
      </w:pPr>
      <w:r>
        <w:rPr>
          <w:i/>
          <w:iCs/>
          <w:color w:val="808080"/>
          <w:sz w:val="20"/>
          <w:szCs w:val="20"/>
        </w:rPr>
        <w:t xml:space="preserve">[Your text: why paired folds and a bootstrap rather than a single train/test split or random k-fold — this is the main place to show what you applied from class.]</w:t>
      </w:r>
    </w:p>
    <w:p/>
    <w:p>
      <w:pPr>
        <w:pStyle w:val="Heading1"/>
        <w:spacing w:after="120" w:before="280"/>
      </w:pPr>
      <w:r>
        <w:t xml:space="preserve">6. Results</w:t>
      </w:r>
    </w:p>
    <w:p>
      <w:pPr>
        <w:spacing w:after="120"/>
      </w:pPr>
      <w:r>
        <w:rPr>
          <w:sz w:val="20"/>
          <w:szCs w:val="20"/>
        </w:rPr>
        <w:t xml:space="preserve">Table 1. Rolling folds (19 folds, 6,376 scored hours). Paired comparison against the uncorrected GFS forecast. Source: covariate_backtest_summary.csv, xgboost_backtest_summary.csv, linear_backtest_summary.csv and the matching *_comparison.csv.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80"/>
        <w:gridCol w:w="1020"/>
        <w:gridCol w:w="1020"/>
        <w:gridCol w:w="1480"/>
        <w:gridCol w:w="2360"/>
      </w:tblGrid>
      <w:tr>
        <w:trPr>
          <w:tblHeader/>
        </w:trPr>
        <w:tc>
          <w:tcPr>
            <w:tcW w:type="dxa" w:w="2500"/>
            <w:shd w:fill="F2F2F2" w:color="auto" w:val="clear"/>
            <w:tcMar>
              <w:top w:type="dxa" w:w="60"/>
              <w:left w:type="dxa" w:w="110"/>
              <w:bottom w:type="dxa" w:w="60"/>
              <w:right w:type="dxa" w:w="110"/>
            </w:tcMar>
          </w:tcPr>
          <w:p>
            <w:pPr>
              <w:jc w:val="left"/>
            </w:pPr>
            <w:r>
              <w:rPr>
                <w:b/>
                <w:bCs/>
                <w:sz w:val="19"/>
                <w:szCs w:val="19"/>
              </w:rPr>
              <w:t xml:space="preserve">Model</w:t>
            </w:r>
          </w:p>
        </w:tc>
        <w:tc>
          <w:tcPr>
            <w:tcW w:type="dxa" w:w="980"/>
            <w:shd w:fill="F2F2F2" w:color="auto" w:val="clear"/>
            <w:tcMar>
              <w:top w:type="dxa" w:w="60"/>
              <w:left w:type="dxa" w:w="110"/>
              <w:bottom w:type="dxa" w:w="60"/>
              <w:right w:type="dxa" w:w="110"/>
            </w:tcMar>
          </w:tcPr>
          <w:p>
            <w:pPr>
              <w:jc w:val="right"/>
            </w:pPr>
            <w:r>
              <w:rPr>
                <w:b/>
                <w:bCs/>
                <w:sz w:val="19"/>
                <w:szCs w:val="19"/>
              </w:rPr>
              <w:t xml:space="preserve">MAE °C</w:t>
            </w:r>
          </w:p>
        </w:tc>
        <w:tc>
          <w:tcPr>
            <w:tcW w:type="dxa" w:w="1020"/>
            <w:shd w:fill="F2F2F2" w:color="auto" w:val="clear"/>
            <w:tcMar>
              <w:top w:type="dxa" w:w="60"/>
              <w:left w:type="dxa" w:w="110"/>
              <w:bottom w:type="dxa" w:w="60"/>
              <w:right w:type="dxa" w:w="110"/>
            </w:tcMar>
          </w:tcPr>
          <w:p>
            <w:pPr>
              <w:jc w:val="right"/>
            </w:pPr>
            <w:r>
              <w:rPr>
                <w:b/>
                <w:bCs/>
                <w:sz w:val="19"/>
                <w:szCs w:val="19"/>
              </w:rPr>
              <w:t xml:space="preserve">RMSE °C</w:t>
            </w:r>
          </w:p>
        </w:tc>
        <w:tc>
          <w:tcPr>
            <w:tcW w:type="dxa" w:w="1020"/>
            <w:shd w:fill="F2F2F2" w:color="auto" w:val="clear"/>
            <w:tcMar>
              <w:top w:type="dxa" w:w="60"/>
              <w:left w:type="dxa" w:w="110"/>
              <w:bottom w:type="dxa" w:w="60"/>
              <w:right w:type="dxa" w:w="110"/>
            </w:tcMar>
          </w:tcPr>
          <w:p>
            <w:pPr>
              <w:jc w:val="right"/>
            </w:pPr>
            <w:r>
              <w:rPr>
                <w:b/>
                <w:bCs/>
                <w:sz w:val="19"/>
                <w:szCs w:val="19"/>
              </w:rPr>
              <w:t xml:space="preserve">Bias °C</w:t>
            </w:r>
          </w:p>
        </w:tc>
        <w:tc>
          <w:tcPr>
            <w:tcW w:type="dxa" w:w="1480"/>
            <w:shd w:fill="F2F2F2" w:color="auto" w:val="clear"/>
            <w:tcMar>
              <w:top w:type="dxa" w:w="60"/>
              <w:left w:type="dxa" w:w="110"/>
              <w:bottom w:type="dxa" w:w="60"/>
              <w:right w:type="dxa" w:w="110"/>
            </w:tcMar>
          </w:tcPr>
          <w:p>
            <w:pPr>
              <w:jc w:val="right"/>
            </w:pPr>
            <w:r>
              <w:rPr>
                <w:b/>
                <w:bCs/>
                <w:sz w:val="19"/>
                <w:szCs w:val="19"/>
              </w:rPr>
              <w:t xml:space="preserve">vs raw GFS</w:t>
            </w:r>
          </w:p>
        </w:tc>
        <w:tc>
          <w:tcPr>
            <w:tcW w:type="dxa" w:w="2360"/>
            <w:shd w:fill="F2F2F2" w:color="auto" w:val="clear"/>
            <w:tcMar>
              <w:top w:type="dxa" w:w="60"/>
              <w:left w:type="dxa" w:w="110"/>
              <w:bottom w:type="dxa" w:w="60"/>
              <w:right w:type="dxa" w:w="110"/>
            </w:tcMar>
          </w:tcPr>
          <w:p>
            <w:pPr>
              <w:jc w:val="right"/>
            </w:pPr>
            <w:r>
              <w:rPr>
                <w:b/>
                <w:bCs/>
                <w:sz w:val="19"/>
                <w:szCs w:val="19"/>
              </w:rPr>
              <w:t xml:space="preserve">95% CI (wins)</w:t>
            </w:r>
          </w:p>
        </w:tc>
      </w:tr>
      <w:tr>
        <w:tc>
          <w:tcPr>
            <w:tcW w:type="dxa" w:w="2500"/>
            <w:tcMar>
              <w:top w:type="dxa" w:w="60"/>
              <w:left w:type="dxa" w:w="110"/>
              <w:bottom w:type="dxa" w:w="60"/>
              <w:right w:type="dxa" w:w="110"/>
            </w:tcMar>
          </w:tcPr>
          <w:p>
            <w:pPr>
              <w:jc w:val="left"/>
            </w:pPr>
            <w:r>
              <w:rPr>
                <w:b/>
                <w:bCs/>
                <w:sz w:val="19"/>
                <w:szCs w:val="19"/>
              </w:rPr>
              <w:t xml:space="preserve">linear_gfs</w:t>
            </w:r>
          </w:p>
        </w:tc>
        <w:tc>
          <w:tcPr>
            <w:tcW w:type="dxa" w:w="980"/>
            <w:tcMar>
              <w:top w:type="dxa" w:w="60"/>
              <w:left w:type="dxa" w:w="110"/>
              <w:bottom w:type="dxa" w:w="60"/>
              <w:right w:type="dxa" w:w="110"/>
            </w:tcMar>
          </w:tcPr>
          <w:p>
            <w:pPr>
              <w:jc w:val="right"/>
            </w:pPr>
            <w:r>
              <w:rPr>
                <w:b/>
                <w:bCs/>
                <w:sz w:val="19"/>
                <w:szCs w:val="19"/>
              </w:rPr>
              <w:t xml:space="preserve">2.71</w:t>
            </w:r>
          </w:p>
        </w:tc>
        <w:tc>
          <w:tcPr>
            <w:tcW w:type="dxa" w:w="1020"/>
            <w:tcMar>
              <w:top w:type="dxa" w:w="60"/>
              <w:left w:type="dxa" w:w="110"/>
              <w:bottom w:type="dxa" w:w="60"/>
              <w:right w:type="dxa" w:w="110"/>
            </w:tcMar>
          </w:tcPr>
          <w:p>
            <w:pPr>
              <w:jc w:val="right"/>
            </w:pPr>
            <w:r>
              <w:rPr>
                <w:b/>
                <w:bCs/>
                <w:sz w:val="19"/>
                <w:szCs w:val="19"/>
              </w:rPr>
              <w:t xml:space="preserve">3.52</w:t>
            </w:r>
          </w:p>
        </w:tc>
        <w:tc>
          <w:tcPr>
            <w:tcW w:type="dxa" w:w="1020"/>
            <w:tcMar>
              <w:top w:type="dxa" w:w="60"/>
              <w:left w:type="dxa" w:w="110"/>
              <w:bottom w:type="dxa" w:w="60"/>
              <w:right w:type="dxa" w:w="110"/>
            </w:tcMar>
          </w:tcPr>
          <w:p>
            <w:pPr>
              <w:jc w:val="right"/>
            </w:pPr>
            <w:r>
              <w:rPr>
                <w:b/>
                <w:bCs/>
                <w:sz w:val="19"/>
                <w:szCs w:val="19"/>
              </w:rPr>
              <w:t xml:space="preserve">+0.45</w:t>
            </w:r>
          </w:p>
        </w:tc>
        <w:tc>
          <w:tcPr>
            <w:tcW w:type="dxa" w:w="1480"/>
            <w:tcMar>
              <w:top w:type="dxa" w:w="60"/>
              <w:left w:type="dxa" w:w="110"/>
              <w:bottom w:type="dxa" w:w="60"/>
              <w:right w:type="dxa" w:w="110"/>
            </w:tcMar>
          </w:tcPr>
          <w:p>
            <w:pPr>
              <w:jc w:val="right"/>
            </w:pPr>
            <w:r>
              <w:rPr>
                <w:b/>
                <w:bCs/>
                <w:sz w:val="19"/>
                <w:szCs w:val="19"/>
              </w:rPr>
              <w:t xml:space="preserve">−0.52</w:t>
            </w:r>
          </w:p>
        </w:tc>
        <w:tc>
          <w:tcPr>
            <w:tcW w:type="dxa" w:w="2360"/>
            <w:tcMar>
              <w:top w:type="dxa" w:w="60"/>
              <w:left w:type="dxa" w:w="110"/>
              <w:bottom w:type="dxa" w:w="60"/>
              <w:right w:type="dxa" w:w="110"/>
            </w:tcMar>
          </w:tcPr>
          <w:p>
            <w:pPr>
              <w:jc w:val="right"/>
            </w:pPr>
            <w:r>
              <w:rPr>
                <w:b/>
                <w:bCs/>
                <w:sz w:val="19"/>
                <w:szCs w:val="19"/>
              </w:rPr>
              <w:t xml:space="preserve">[−0.86, −0.21]  13/19</w:t>
            </w:r>
          </w:p>
        </w:tc>
      </w:tr>
      <w:tr>
        <w:tc>
          <w:tcPr>
            <w:tcW w:type="dxa" w:w="2500"/>
            <w:tcMar>
              <w:top w:type="dxa" w:w="60"/>
              <w:left w:type="dxa" w:w="110"/>
              <w:bottom w:type="dxa" w:w="60"/>
              <w:right w:type="dxa" w:w="110"/>
            </w:tcMar>
          </w:tcPr>
          <w:p>
            <w:pPr>
              <w:jc w:val="left"/>
            </w:pPr>
            <w:r>
              <w:rPr>
                <w:b w:val="false"/>
                <w:bCs w:val="false"/>
                <w:sz w:val="19"/>
                <w:szCs w:val="19"/>
              </w:rPr>
              <w:t xml:space="preserve">xgboost</w:t>
            </w:r>
          </w:p>
        </w:tc>
        <w:tc>
          <w:tcPr>
            <w:tcW w:type="dxa" w:w="980"/>
            <w:tcMar>
              <w:top w:type="dxa" w:w="60"/>
              <w:left w:type="dxa" w:w="110"/>
              <w:bottom w:type="dxa" w:w="60"/>
              <w:right w:type="dxa" w:w="110"/>
            </w:tcMar>
          </w:tcPr>
          <w:p>
            <w:pPr>
              <w:jc w:val="right"/>
            </w:pPr>
            <w:r>
              <w:rPr>
                <w:b w:val="false"/>
                <w:bCs w:val="false"/>
                <w:sz w:val="19"/>
                <w:szCs w:val="19"/>
              </w:rPr>
              <w:t xml:space="preserve">2.82</w:t>
            </w:r>
          </w:p>
        </w:tc>
        <w:tc>
          <w:tcPr>
            <w:tcW w:type="dxa" w:w="1020"/>
            <w:tcMar>
              <w:top w:type="dxa" w:w="60"/>
              <w:left w:type="dxa" w:w="110"/>
              <w:bottom w:type="dxa" w:w="60"/>
              <w:right w:type="dxa" w:w="110"/>
            </w:tcMar>
          </w:tcPr>
          <w:p>
            <w:pPr>
              <w:jc w:val="right"/>
            </w:pPr>
            <w:r>
              <w:rPr>
                <w:b w:val="false"/>
                <w:bCs w:val="false"/>
                <w:sz w:val="19"/>
                <w:szCs w:val="19"/>
              </w:rPr>
              <w:t xml:space="preserve">3.83</w:t>
            </w:r>
          </w:p>
        </w:tc>
        <w:tc>
          <w:tcPr>
            <w:tcW w:type="dxa" w:w="1020"/>
            <w:tcMar>
              <w:top w:type="dxa" w:w="60"/>
              <w:left w:type="dxa" w:w="110"/>
              <w:bottom w:type="dxa" w:w="60"/>
              <w:right w:type="dxa" w:w="110"/>
            </w:tcMar>
          </w:tcPr>
          <w:p>
            <w:pPr>
              <w:jc w:val="right"/>
            </w:pPr>
            <w:r>
              <w:rPr>
                <w:b w:val="false"/>
                <w:bCs w:val="false"/>
                <w:sz w:val="19"/>
                <w:szCs w:val="19"/>
              </w:rPr>
              <w:t xml:space="preserve">+0.40</w:t>
            </w:r>
          </w:p>
        </w:tc>
        <w:tc>
          <w:tcPr>
            <w:tcW w:type="dxa" w:w="1480"/>
            <w:tcMar>
              <w:top w:type="dxa" w:w="60"/>
              <w:left w:type="dxa" w:w="110"/>
              <w:bottom w:type="dxa" w:w="60"/>
              <w:right w:type="dxa" w:w="110"/>
            </w:tcMar>
          </w:tcPr>
          <w:p>
            <w:pPr>
              <w:jc w:val="right"/>
            </w:pPr>
            <w:r>
              <w:rPr>
                <w:b w:val="false"/>
                <w:bCs w:val="false"/>
                <w:sz w:val="19"/>
                <w:szCs w:val="19"/>
              </w:rPr>
              <w:t xml:space="preserve">−0.41</w:t>
            </w:r>
          </w:p>
        </w:tc>
        <w:tc>
          <w:tcPr>
            <w:tcW w:type="dxa" w:w="2360"/>
            <w:tcMar>
              <w:top w:type="dxa" w:w="60"/>
              <w:left w:type="dxa" w:w="110"/>
              <w:bottom w:type="dxa" w:w="60"/>
              <w:right w:type="dxa" w:w="110"/>
            </w:tcMar>
          </w:tcPr>
          <w:p>
            <w:pPr>
              <w:jc w:val="right"/>
            </w:pPr>
            <w:r>
              <w:rPr>
                <w:b w:val="false"/>
                <w:bCs w:val="false"/>
                <w:sz w:val="19"/>
                <w:szCs w:val="19"/>
              </w:rPr>
              <w:t xml:space="preserve">[−0.83, −0.02]  12/19</w:t>
            </w:r>
          </w:p>
        </w:tc>
      </w:tr>
      <w:tr>
        <w:tc>
          <w:tcPr>
            <w:tcW w:type="dxa" w:w="2500"/>
            <w:tcMar>
              <w:top w:type="dxa" w:w="60"/>
              <w:left w:type="dxa" w:w="110"/>
              <w:bottom w:type="dxa" w:w="60"/>
              <w:right w:type="dxa" w:w="110"/>
            </w:tcMar>
          </w:tcPr>
          <w:p>
            <w:pPr>
              <w:jc w:val="left"/>
            </w:pPr>
            <w:r>
              <w:rPr>
                <w:b w:val="false"/>
                <w:bCs w:val="false"/>
                <w:sz w:val="19"/>
                <w:szCs w:val="19"/>
              </w:rPr>
              <w:t xml:space="preserve">prophet_gfs</w:t>
            </w:r>
          </w:p>
        </w:tc>
        <w:tc>
          <w:tcPr>
            <w:tcW w:type="dxa" w:w="980"/>
            <w:tcMar>
              <w:top w:type="dxa" w:w="60"/>
              <w:left w:type="dxa" w:w="110"/>
              <w:bottom w:type="dxa" w:w="60"/>
              <w:right w:type="dxa" w:w="110"/>
            </w:tcMar>
          </w:tcPr>
          <w:p>
            <w:pPr>
              <w:jc w:val="right"/>
            </w:pPr>
            <w:r>
              <w:rPr>
                <w:b w:val="false"/>
                <w:bCs w:val="false"/>
                <w:sz w:val="19"/>
                <w:szCs w:val="19"/>
              </w:rPr>
              <w:t xml:space="preserve">3.00</w:t>
            </w:r>
          </w:p>
        </w:tc>
        <w:tc>
          <w:tcPr>
            <w:tcW w:type="dxa" w:w="1020"/>
            <w:tcMar>
              <w:top w:type="dxa" w:w="60"/>
              <w:left w:type="dxa" w:w="110"/>
              <w:bottom w:type="dxa" w:w="60"/>
              <w:right w:type="dxa" w:w="110"/>
            </w:tcMar>
          </w:tcPr>
          <w:p>
            <w:pPr>
              <w:jc w:val="right"/>
            </w:pPr>
            <w:r>
              <w:rPr>
                <w:b w:val="false"/>
                <w:bCs w:val="false"/>
                <w:sz w:val="19"/>
                <w:szCs w:val="19"/>
              </w:rPr>
              <w:t xml:space="preserve">4.04</w:t>
            </w:r>
          </w:p>
        </w:tc>
        <w:tc>
          <w:tcPr>
            <w:tcW w:type="dxa" w:w="1020"/>
            <w:tcMar>
              <w:top w:type="dxa" w:w="60"/>
              <w:left w:type="dxa" w:w="110"/>
              <w:bottom w:type="dxa" w:w="60"/>
              <w:right w:type="dxa" w:w="110"/>
            </w:tcMar>
          </w:tcPr>
          <w:p>
            <w:pPr>
              <w:jc w:val="right"/>
            </w:pPr>
            <w:r>
              <w:rPr>
                <w:b w:val="false"/>
                <w:bCs w:val="false"/>
                <w:sz w:val="19"/>
                <w:szCs w:val="19"/>
              </w:rPr>
              <w:t xml:space="preserve">+0.09</w:t>
            </w:r>
          </w:p>
        </w:tc>
        <w:tc>
          <w:tcPr>
            <w:tcW w:type="dxa" w:w="1480"/>
            <w:tcMar>
              <w:top w:type="dxa" w:w="60"/>
              <w:left w:type="dxa" w:w="110"/>
              <w:bottom w:type="dxa" w:w="60"/>
              <w:right w:type="dxa" w:w="110"/>
            </w:tcMar>
          </w:tcPr>
          <w:p>
            <w:pPr>
              <w:jc w:val="right"/>
            </w:pPr>
            <w:r>
              <w:rPr>
                <w:b w:val="false"/>
                <w:bCs w:val="false"/>
                <w:sz w:val="19"/>
                <w:szCs w:val="19"/>
              </w:rPr>
              <w:t xml:space="preserve">−0.23</w:t>
            </w:r>
          </w:p>
        </w:tc>
        <w:tc>
          <w:tcPr>
            <w:tcW w:type="dxa" w:w="2360"/>
            <w:tcMar>
              <w:top w:type="dxa" w:w="60"/>
              <w:left w:type="dxa" w:w="110"/>
              <w:bottom w:type="dxa" w:w="60"/>
              <w:right w:type="dxa" w:w="110"/>
            </w:tcMar>
          </w:tcPr>
          <w:p>
            <w:pPr>
              <w:jc w:val="right"/>
            </w:pPr>
            <w:r>
              <w:rPr>
                <w:b w:val="false"/>
                <w:bCs w:val="false"/>
                <w:sz w:val="19"/>
                <w:szCs w:val="19"/>
              </w:rPr>
              <w:t xml:space="preserve">[−0.50, +0.02]  12/19</w:t>
            </w:r>
          </w:p>
        </w:tc>
      </w:tr>
      <w:tr>
        <w:tc>
          <w:tcPr>
            <w:tcW w:type="dxa" w:w="2500"/>
            <w:tcMar>
              <w:top w:type="dxa" w:w="60"/>
              <w:left w:type="dxa" w:w="110"/>
              <w:bottom w:type="dxa" w:w="60"/>
              <w:right w:type="dxa" w:w="110"/>
            </w:tcMar>
          </w:tcPr>
          <w:p>
            <w:pPr>
              <w:jc w:val="left"/>
            </w:pPr>
            <w:r>
              <w:rPr>
                <w:b w:val="false"/>
                <w:bCs w:val="false"/>
                <w:sz w:val="19"/>
                <w:szCs w:val="19"/>
              </w:rPr>
              <w:t xml:space="preserve">raw GFS</w:t>
            </w:r>
          </w:p>
        </w:tc>
        <w:tc>
          <w:tcPr>
            <w:tcW w:type="dxa" w:w="980"/>
            <w:tcMar>
              <w:top w:type="dxa" w:w="60"/>
              <w:left w:type="dxa" w:w="110"/>
              <w:bottom w:type="dxa" w:w="60"/>
              <w:right w:type="dxa" w:w="110"/>
            </w:tcMar>
          </w:tcPr>
          <w:p>
            <w:pPr>
              <w:jc w:val="right"/>
            </w:pPr>
            <w:r>
              <w:rPr>
                <w:b w:val="false"/>
                <w:bCs w:val="false"/>
                <w:sz w:val="19"/>
                <w:szCs w:val="19"/>
              </w:rPr>
              <w:t xml:space="preserve">3.23</w:t>
            </w:r>
          </w:p>
        </w:tc>
        <w:tc>
          <w:tcPr>
            <w:tcW w:type="dxa" w:w="1020"/>
            <w:tcMar>
              <w:top w:type="dxa" w:w="60"/>
              <w:left w:type="dxa" w:w="110"/>
              <w:bottom w:type="dxa" w:w="60"/>
              <w:right w:type="dxa" w:w="110"/>
            </w:tcMar>
          </w:tcPr>
          <w:p>
            <w:pPr>
              <w:jc w:val="right"/>
            </w:pPr>
            <w:r>
              <w:rPr>
                <w:b w:val="false"/>
                <w:bCs w:val="false"/>
                <w:sz w:val="19"/>
                <w:szCs w:val="19"/>
              </w:rPr>
              <w:t xml:space="preserve">4.35</w:t>
            </w:r>
          </w:p>
        </w:tc>
        <w:tc>
          <w:tcPr>
            <w:tcW w:type="dxa" w:w="1020"/>
            <w:tcMar>
              <w:top w:type="dxa" w:w="60"/>
              <w:left w:type="dxa" w:w="110"/>
              <w:bottom w:type="dxa" w:w="60"/>
              <w:right w:type="dxa" w:w="110"/>
            </w:tcMar>
          </w:tcPr>
          <w:p>
            <w:pPr>
              <w:jc w:val="right"/>
            </w:pPr>
            <w:r>
              <w:rPr>
                <w:b w:val="false"/>
                <w:bCs w:val="false"/>
                <w:sz w:val="19"/>
                <w:szCs w:val="19"/>
              </w:rPr>
              <w:t xml:space="preserve">−1.28</w:t>
            </w:r>
          </w:p>
        </w:tc>
        <w:tc>
          <w:tcPr>
            <w:tcW w:type="dxa" w:w="1480"/>
            <w:tcMar>
              <w:top w:type="dxa" w:w="60"/>
              <w:left w:type="dxa" w:w="110"/>
              <w:bottom w:type="dxa" w:w="60"/>
              <w:right w:type="dxa" w:w="110"/>
            </w:tcMar>
          </w:tcPr>
          <w:p>
            <w:pPr>
              <w:jc w:val="right"/>
            </w:pPr>
            <w:r>
              <w:rPr>
                <w:b w:val="false"/>
                <w:bCs w:val="false"/>
                <w:sz w:val="19"/>
                <w:szCs w:val="19"/>
              </w:rPr>
              <w:t xml:space="preserve">—</w:t>
            </w:r>
          </w:p>
        </w:tc>
        <w:tc>
          <w:tcPr>
            <w:tcW w:type="dxa" w:w="2360"/>
            <w:tcMar>
              <w:top w:type="dxa" w:w="60"/>
              <w:left w:type="dxa" w:w="110"/>
              <w:bottom w:type="dxa" w:w="60"/>
              <w:right w:type="dxa" w:w="110"/>
            </w:tcMar>
          </w:tcPr>
          <w:p>
            <w:pPr>
              <w:jc w:val="right"/>
            </w:pPr>
            <w:r>
              <w:rPr>
                <w:b w:val="false"/>
                <w:bCs w:val="false"/>
                <w:sz w:val="19"/>
                <w:szCs w:val="19"/>
              </w:rPr>
              <w:t xml:space="preserve">reference</w:t>
            </w:r>
          </w:p>
        </w:tc>
      </w:tr>
      <w:tr>
        <w:tc>
          <w:tcPr>
            <w:tcW w:type="dxa" w:w="2500"/>
            <w:tcMar>
              <w:top w:type="dxa" w:w="60"/>
              <w:left w:type="dxa" w:w="110"/>
              <w:bottom w:type="dxa" w:w="60"/>
              <w:right w:type="dxa" w:w="110"/>
            </w:tcMar>
          </w:tcPr>
          <w:p>
            <w:pPr>
              <w:jc w:val="left"/>
            </w:pPr>
            <w:r>
              <w:rPr>
                <w:b w:val="false"/>
                <w:bCs w:val="false"/>
                <w:sz w:val="19"/>
                <w:szCs w:val="19"/>
              </w:rPr>
              <w:t xml:space="preserve">linear</w:t>
            </w:r>
          </w:p>
        </w:tc>
        <w:tc>
          <w:tcPr>
            <w:tcW w:type="dxa" w:w="980"/>
            <w:tcMar>
              <w:top w:type="dxa" w:w="60"/>
              <w:left w:type="dxa" w:w="110"/>
              <w:bottom w:type="dxa" w:w="60"/>
              <w:right w:type="dxa" w:w="110"/>
            </w:tcMar>
          </w:tcPr>
          <w:p>
            <w:pPr>
              <w:jc w:val="right"/>
            </w:pPr>
            <w:r>
              <w:rPr>
                <w:b w:val="false"/>
                <w:bCs w:val="false"/>
                <w:sz w:val="19"/>
                <w:szCs w:val="19"/>
              </w:rPr>
              <w:t xml:space="preserve">3.66</w:t>
            </w:r>
          </w:p>
        </w:tc>
        <w:tc>
          <w:tcPr>
            <w:tcW w:type="dxa" w:w="1020"/>
            <w:tcMar>
              <w:top w:type="dxa" w:w="60"/>
              <w:left w:type="dxa" w:w="110"/>
              <w:bottom w:type="dxa" w:w="60"/>
              <w:right w:type="dxa" w:w="110"/>
            </w:tcMar>
          </w:tcPr>
          <w:p>
            <w:pPr>
              <w:jc w:val="right"/>
            </w:pPr>
            <w:r>
              <w:rPr>
                <w:b w:val="false"/>
                <w:bCs w:val="false"/>
                <w:sz w:val="19"/>
                <w:szCs w:val="19"/>
              </w:rPr>
              <w:t xml:space="preserve">4.57</w:t>
            </w:r>
          </w:p>
        </w:tc>
        <w:tc>
          <w:tcPr>
            <w:tcW w:type="dxa" w:w="1020"/>
            <w:tcMar>
              <w:top w:type="dxa" w:w="60"/>
              <w:left w:type="dxa" w:w="110"/>
              <w:bottom w:type="dxa" w:w="60"/>
              <w:right w:type="dxa" w:w="110"/>
            </w:tcMar>
          </w:tcPr>
          <w:p>
            <w:pPr>
              <w:jc w:val="right"/>
            </w:pPr>
            <w:r>
              <w:rPr>
                <w:b w:val="false"/>
                <w:bCs w:val="false"/>
                <w:sz w:val="19"/>
                <w:szCs w:val="19"/>
              </w:rPr>
              <w:t xml:space="preserve">+0.88</w:t>
            </w:r>
          </w:p>
        </w:tc>
        <w:tc>
          <w:tcPr>
            <w:tcW w:type="dxa" w:w="1480"/>
            <w:tcMar>
              <w:top w:type="dxa" w:w="60"/>
              <w:left w:type="dxa" w:w="110"/>
              <w:bottom w:type="dxa" w:w="60"/>
              <w:right w:type="dxa" w:w="110"/>
            </w:tcMar>
          </w:tcPr>
          <w:p>
            <w:pPr>
              <w:jc w:val="right"/>
            </w:pPr>
            <w:r>
              <w:rPr>
                <w:b w:val="false"/>
                <w:bCs w:val="false"/>
                <w:sz w:val="19"/>
                <w:szCs w:val="19"/>
              </w:rPr>
              <w:t xml:space="preserve">+0.43</w:t>
            </w:r>
          </w:p>
        </w:tc>
        <w:tc>
          <w:tcPr>
            <w:tcW w:type="dxa" w:w="2360"/>
            <w:tcMar>
              <w:top w:type="dxa" w:w="60"/>
              <w:left w:type="dxa" w:w="110"/>
              <w:bottom w:type="dxa" w:w="60"/>
              <w:right w:type="dxa" w:w="110"/>
            </w:tcMar>
          </w:tcPr>
          <w:p>
            <w:pPr>
              <w:jc w:val="right"/>
            </w:pPr>
            <w:r>
              <w:rPr>
                <w:b w:val="false"/>
                <w:bCs w:val="false"/>
                <w:sz w:val="19"/>
                <w:szCs w:val="19"/>
              </w:rPr>
              <w:t xml:space="preserve">not resolved</w:t>
            </w:r>
          </w:p>
        </w:tc>
      </w:tr>
      <w:tr>
        <w:tc>
          <w:tcPr>
            <w:tcW w:type="dxa" w:w="2500"/>
            <w:tcMar>
              <w:top w:type="dxa" w:w="60"/>
              <w:left w:type="dxa" w:w="110"/>
              <w:bottom w:type="dxa" w:w="60"/>
              <w:right w:type="dxa" w:w="110"/>
            </w:tcMar>
          </w:tcPr>
          <w:p>
            <w:pPr>
              <w:jc w:val="left"/>
            </w:pPr>
            <w:r>
              <w:rPr>
                <w:b w:val="false"/>
                <w:bCs w:val="false"/>
                <w:sz w:val="19"/>
                <w:szCs w:val="19"/>
              </w:rPr>
              <w:t xml:space="preserve">prophet</w:t>
            </w:r>
          </w:p>
        </w:tc>
        <w:tc>
          <w:tcPr>
            <w:tcW w:type="dxa" w:w="980"/>
            <w:tcMar>
              <w:top w:type="dxa" w:w="60"/>
              <w:left w:type="dxa" w:w="110"/>
              <w:bottom w:type="dxa" w:w="60"/>
              <w:right w:type="dxa" w:w="110"/>
            </w:tcMar>
          </w:tcPr>
          <w:p>
            <w:pPr>
              <w:jc w:val="right"/>
            </w:pPr>
            <w:r>
              <w:rPr>
                <w:b w:val="false"/>
                <w:bCs w:val="false"/>
                <w:sz w:val="19"/>
                <w:szCs w:val="19"/>
              </w:rPr>
              <w:t xml:space="preserve">3.66</w:t>
            </w:r>
          </w:p>
        </w:tc>
        <w:tc>
          <w:tcPr>
            <w:tcW w:type="dxa" w:w="1020"/>
            <w:tcMar>
              <w:top w:type="dxa" w:w="60"/>
              <w:left w:type="dxa" w:w="110"/>
              <w:bottom w:type="dxa" w:w="60"/>
              <w:right w:type="dxa" w:w="110"/>
            </w:tcMar>
          </w:tcPr>
          <w:p>
            <w:pPr>
              <w:jc w:val="right"/>
            </w:pPr>
            <w:r>
              <w:rPr>
                <w:b w:val="false"/>
                <w:bCs w:val="false"/>
                <w:sz w:val="19"/>
                <w:szCs w:val="19"/>
              </w:rPr>
              <w:t xml:space="preserve">4.59</w:t>
            </w:r>
          </w:p>
        </w:tc>
        <w:tc>
          <w:tcPr>
            <w:tcW w:type="dxa" w:w="1020"/>
            <w:tcMar>
              <w:top w:type="dxa" w:w="60"/>
              <w:left w:type="dxa" w:w="110"/>
              <w:bottom w:type="dxa" w:w="60"/>
              <w:right w:type="dxa" w:w="110"/>
            </w:tcMar>
          </w:tcPr>
          <w:p>
            <w:pPr>
              <w:jc w:val="right"/>
            </w:pPr>
            <w:r>
              <w:rPr>
                <w:b w:val="false"/>
                <w:bCs w:val="false"/>
                <w:sz w:val="19"/>
                <w:szCs w:val="19"/>
              </w:rPr>
              <w:t xml:space="preserve">+0.48</w:t>
            </w:r>
          </w:p>
        </w:tc>
        <w:tc>
          <w:tcPr>
            <w:tcW w:type="dxa" w:w="1480"/>
            <w:tcMar>
              <w:top w:type="dxa" w:w="60"/>
              <w:left w:type="dxa" w:w="110"/>
              <w:bottom w:type="dxa" w:w="60"/>
              <w:right w:type="dxa" w:w="110"/>
            </w:tcMar>
          </w:tcPr>
          <w:p>
            <w:pPr>
              <w:jc w:val="right"/>
            </w:pPr>
            <w:r>
              <w:rPr>
                <w:b w:val="false"/>
                <w:bCs w:val="false"/>
                <w:sz w:val="19"/>
                <w:szCs w:val="19"/>
              </w:rPr>
              <w:t xml:space="preserve">+0.43</w:t>
            </w:r>
          </w:p>
        </w:tc>
        <w:tc>
          <w:tcPr>
            <w:tcW w:type="dxa" w:w="2360"/>
            <w:tcMar>
              <w:top w:type="dxa" w:w="60"/>
              <w:left w:type="dxa" w:w="110"/>
              <w:bottom w:type="dxa" w:w="60"/>
              <w:right w:type="dxa" w:w="110"/>
            </w:tcMar>
          </w:tcPr>
          <w:p>
            <w:pPr>
              <w:jc w:val="right"/>
            </w:pPr>
            <w:r>
              <w:rPr>
                <w:b w:val="false"/>
                <w:bCs w:val="false"/>
                <w:sz w:val="19"/>
                <w:szCs w:val="19"/>
              </w:rPr>
              <w:t xml:space="preserve">not resolved</w:t>
            </w:r>
          </w:p>
        </w:tc>
      </w:tr>
      <w:tr>
        <w:tc>
          <w:tcPr>
            <w:tcW w:type="dxa" w:w="2500"/>
            <w:tcMar>
              <w:top w:type="dxa" w:w="60"/>
              <w:left w:type="dxa" w:w="110"/>
              <w:bottom w:type="dxa" w:w="60"/>
              <w:right w:type="dxa" w:w="110"/>
            </w:tcMar>
          </w:tcPr>
          <w:p>
            <w:pPr>
              <w:jc w:val="left"/>
            </w:pPr>
            <w:r>
              <w:rPr>
                <w:b w:val="false"/>
                <w:bCs w:val="false"/>
                <w:sz w:val="19"/>
                <w:szCs w:val="19"/>
              </w:rPr>
              <w:t xml:space="preserve">climatology</w:t>
            </w:r>
          </w:p>
        </w:tc>
        <w:tc>
          <w:tcPr>
            <w:tcW w:type="dxa" w:w="980"/>
            <w:tcMar>
              <w:top w:type="dxa" w:w="60"/>
              <w:left w:type="dxa" w:w="110"/>
              <w:bottom w:type="dxa" w:w="60"/>
              <w:right w:type="dxa" w:w="110"/>
            </w:tcMar>
          </w:tcPr>
          <w:p>
            <w:pPr>
              <w:jc w:val="right"/>
            </w:pPr>
            <w:r>
              <w:rPr>
                <w:b w:val="false"/>
                <w:bCs w:val="false"/>
                <w:sz w:val="19"/>
                <w:szCs w:val="19"/>
              </w:rPr>
              <w:t xml:space="preserve">3.75</w:t>
            </w:r>
          </w:p>
        </w:tc>
        <w:tc>
          <w:tcPr>
            <w:tcW w:type="dxa" w:w="1020"/>
            <w:tcMar>
              <w:top w:type="dxa" w:w="60"/>
              <w:left w:type="dxa" w:w="110"/>
              <w:bottom w:type="dxa" w:w="60"/>
              <w:right w:type="dxa" w:w="110"/>
            </w:tcMar>
          </w:tcPr>
          <w:p>
            <w:pPr>
              <w:jc w:val="right"/>
            </w:pPr>
            <w:r>
              <w:rPr>
                <w:b w:val="false"/>
                <w:bCs w:val="false"/>
                <w:sz w:val="19"/>
                <w:szCs w:val="19"/>
              </w:rPr>
              <w:t xml:space="preserve">4.74</w:t>
            </w:r>
          </w:p>
        </w:tc>
        <w:tc>
          <w:tcPr>
            <w:tcW w:type="dxa" w:w="1020"/>
            <w:tcMar>
              <w:top w:type="dxa" w:w="60"/>
              <w:left w:type="dxa" w:w="110"/>
              <w:bottom w:type="dxa" w:w="60"/>
              <w:right w:type="dxa" w:w="110"/>
            </w:tcMar>
          </w:tcPr>
          <w:p>
            <w:pPr>
              <w:jc w:val="right"/>
            </w:pPr>
            <w:r>
              <w:rPr>
                <w:b w:val="false"/>
                <w:bCs w:val="false"/>
                <w:sz w:val="19"/>
                <w:szCs w:val="19"/>
              </w:rPr>
              <w:t xml:space="preserve">+0.56</w:t>
            </w:r>
          </w:p>
        </w:tc>
        <w:tc>
          <w:tcPr>
            <w:tcW w:type="dxa" w:w="1480"/>
            <w:tcMar>
              <w:top w:type="dxa" w:w="60"/>
              <w:left w:type="dxa" w:w="110"/>
              <w:bottom w:type="dxa" w:w="60"/>
              <w:right w:type="dxa" w:w="110"/>
            </w:tcMar>
          </w:tcPr>
          <w:p>
            <w:pPr>
              <w:jc w:val="right"/>
            </w:pPr>
            <w:r>
              <w:rPr>
                <w:b w:val="false"/>
                <w:bCs w:val="false"/>
                <w:sz w:val="19"/>
                <w:szCs w:val="19"/>
              </w:rPr>
              <w:t xml:space="preserve">+0.52</w:t>
            </w:r>
          </w:p>
        </w:tc>
        <w:tc>
          <w:tcPr>
            <w:tcW w:type="dxa" w:w="2360"/>
            <w:tcMar>
              <w:top w:type="dxa" w:w="60"/>
              <w:left w:type="dxa" w:w="110"/>
              <w:bottom w:type="dxa" w:w="60"/>
              <w:right w:type="dxa" w:w="110"/>
            </w:tcMar>
          </w:tcPr>
          <w:p>
            <w:pPr>
              <w:jc w:val="right"/>
            </w:pPr>
            <w:r>
              <w:rPr>
                <w:b w:val="false"/>
                <w:bCs w:val="false"/>
                <w:sz w:val="19"/>
                <w:szCs w:val="19"/>
              </w:rPr>
              <w:t xml:space="preserve">not resolved</w:t>
            </w:r>
          </w:p>
        </w:tc>
      </w:tr>
      <w:tr>
        <w:tc>
          <w:tcPr>
            <w:tcW w:type="dxa" w:w="2500"/>
            <w:tcMar>
              <w:top w:type="dxa" w:w="60"/>
              <w:left w:type="dxa" w:w="110"/>
              <w:bottom w:type="dxa" w:w="60"/>
              <w:right w:type="dxa" w:w="110"/>
            </w:tcMar>
          </w:tcPr>
          <w:p>
            <w:pPr>
              <w:jc w:val="left"/>
            </w:pPr>
            <w:r>
              <w:rPr>
                <w:b w:val="false"/>
                <w:bCs w:val="false"/>
                <w:sz w:val="19"/>
                <w:szCs w:val="19"/>
              </w:rPr>
              <w:t xml:space="preserve">persistence</w:t>
            </w:r>
          </w:p>
        </w:tc>
        <w:tc>
          <w:tcPr>
            <w:tcW w:type="dxa" w:w="980"/>
            <w:tcMar>
              <w:top w:type="dxa" w:w="60"/>
              <w:left w:type="dxa" w:w="110"/>
              <w:bottom w:type="dxa" w:w="60"/>
              <w:right w:type="dxa" w:w="110"/>
            </w:tcMar>
          </w:tcPr>
          <w:p>
            <w:pPr>
              <w:jc w:val="right"/>
            </w:pPr>
            <w:r>
              <w:rPr>
                <w:b w:val="false"/>
                <w:bCs w:val="false"/>
                <w:sz w:val="19"/>
                <w:szCs w:val="19"/>
              </w:rPr>
              <w:t xml:space="preserve">4.40</w:t>
            </w:r>
          </w:p>
        </w:tc>
        <w:tc>
          <w:tcPr>
            <w:tcW w:type="dxa" w:w="1020"/>
            <w:tcMar>
              <w:top w:type="dxa" w:w="60"/>
              <w:left w:type="dxa" w:w="110"/>
              <w:bottom w:type="dxa" w:w="60"/>
              <w:right w:type="dxa" w:w="110"/>
            </w:tcMar>
          </w:tcPr>
          <w:p>
            <w:pPr>
              <w:jc w:val="right"/>
            </w:pPr>
            <w:r>
              <w:rPr>
                <w:b w:val="false"/>
                <w:bCs w:val="false"/>
                <w:sz w:val="19"/>
                <w:szCs w:val="19"/>
              </w:rPr>
              <w:t xml:space="preserve">5.66</w:t>
            </w:r>
          </w:p>
        </w:tc>
        <w:tc>
          <w:tcPr>
            <w:tcW w:type="dxa" w:w="1020"/>
            <w:tcMar>
              <w:top w:type="dxa" w:w="60"/>
              <w:left w:type="dxa" w:w="110"/>
              <w:bottom w:type="dxa" w:w="60"/>
              <w:right w:type="dxa" w:w="110"/>
            </w:tcMar>
          </w:tcPr>
          <w:p>
            <w:pPr>
              <w:jc w:val="right"/>
            </w:pPr>
            <w:r>
              <w:rPr>
                <w:b w:val="false"/>
                <w:bCs w:val="false"/>
                <w:sz w:val="19"/>
                <w:szCs w:val="19"/>
              </w:rPr>
              <w:t xml:space="preserve">+0.59</w:t>
            </w:r>
          </w:p>
        </w:tc>
        <w:tc>
          <w:tcPr>
            <w:tcW w:type="dxa" w:w="1480"/>
            <w:tcMar>
              <w:top w:type="dxa" w:w="60"/>
              <w:left w:type="dxa" w:w="110"/>
              <w:bottom w:type="dxa" w:w="60"/>
              <w:right w:type="dxa" w:w="110"/>
            </w:tcMar>
          </w:tcPr>
          <w:p>
            <w:pPr>
              <w:jc w:val="right"/>
            </w:pPr>
            <w:r>
              <w:rPr>
                <w:b w:val="false"/>
                <w:bCs w:val="false"/>
                <w:sz w:val="19"/>
                <w:szCs w:val="19"/>
              </w:rPr>
              <w:t xml:space="preserve">+1.17</w:t>
            </w:r>
          </w:p>
        </w:tc>
        <w:tc>
          <w:tcPr>
            <w:tcW w:type="dxa" w:w="2360"/>
            <w:tcMar>
              <w:top w:type="dxa" w:w="60"/>
              <w:left w:type="dxa" w:w="110"/>
              <w:bottom w:type="dxa" w:w="60"/>
              <w:right w:type="dxa" w:w="110"/>
            </w:tcMar>
          </w:tcPr>
          <w:p>
            <w:pPr>
              <w:jc w:val="right"/>
            </w:pPr>
            <w:r>
              <w:rPr>
                <w:b w:val="false"/>
                <w:bCs w:val="false"/>
                <w:sz w:val="19"/>
                <w:szCs w:val="19"/>
              </w:rPr>
              <w:t xml:space="preserve">[+0.48, +1.91]  5/19</w:t>
            </w:r>
          </w:p>
        </w:tc>
      </w:tr>
    </w:tbl>
    <w:p>
      <w:pPr>
        <w:spacing w:after="120"/>
      </w:pPr>
      <w:r>
        <w:rPr>
          <w:sz w:val="20"/>
          <w:szCs w:val="20"/>
        </w:rPr>
        <w:t xml:space="preserve"/>
      </w:r>
    </w:p>
    <w:p>
      <w:pPr>
        <w:spacing w:after="120"/>
      </w:pPr>
      <w:r>
        <w:rPr>
          <w:sz w:val="20"/>
          <w:szCs w:val="20"/>
        </w:rPr>
        <w:t xml:space="preserve">Table 2. Seasonal folds (2 folds, 672 hours) — reruns of the actual task. Only two folds have a year of covariate history, and a bootstrap over two numbers resolves nothing, so no significance is claimed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F2F2F2" w:color="auto" w:val="clear"/>
            <w:tcMar>
              <w:top w:type="dxa" w:w="60"/>
              <w:left w:type="dxa" w:w="110"/>
              <w:bottom w:type="dxa" w:w="60"/>
              <w:right w:type="dxa" w:w="110"/>
            </w:tcMar>
          </w:tcPr>
          <w:p>
            <w:pPr>
              <w:jc w:val="left"/>
            </w:pPr>
            <w:r>
              <w:rPr>
                <w:b/>
                <w:bCs/>
                <w:sz w:val="19"/>
                <w:szCs w:val="19"/>
              </w:rPr>
              <w:t xml:space="preserve">Model</w:t>
            </w:r>
          </w:p>
        </w:tc>
        <w:tc>
          <w:tcPr>
            <w:tcW w:type="dxa" w:w="2000"/>
            <w:shd w:fill="F2F2F2" w:color="auto" w:val="clear"/>
            <w:tcMar>
              <w:top w:type="dxa" w:w="60"/>
              <w:left w:type="dxa" w:w="110"/>
              <w:bottom w:type="dxa" w:w="60"/>
              <w:right w:type="dxa" w:w="110"/>
            </w:tcMar>
          </w:tcPr>
          <w:p>
            <w:pPr>
              <w:jc w:val="right"/>
            </w:pPr>
            <w:r>
              <w:rPr>
                <w:b/>
                <w:bCs/>
                <w:sz w:val="19"/>
                <w:szCs w:val="19"/>
              </w:rPr>
              <w:t xml:space="preserve">MAE °C</w:t>
            </w:r>
          </w:p>
        </w:tc>
        <w:tc>
          <w:tcPr>
            <w:tcW w:type="dxa" w:w="2000"/>
            <w:shd w:fill="F2F2F2" w:color="auto" w:val="clear"/>
            <w:tcMar>
              <w:top w:type="dxa" w:w="60"/>
              <w:left w:type="dxa" w:w="110"/>
              <w:bottom w:type="dxa" w:w="60"/>
              <w:right w:type="dxa" w:w="110"/>
            </w:tcMar>
          </w:tcPr>
          <w:p>
            <w:pPr>
              <w:jc w:val="right"/>
            </w:pPr>
            <w:r>
              <w:rPr>
                <w:b/>
                <w:bCs/>
                <w:sz w:val="19"/>
                <w:szCs w:val="19"/>
              </w:rPr>
              <w:t xml:space="preserve">RMSE °C</w:t>
            </w:r>
          </w:p>
        </w:tc>
        <w:tc>
          <w:tcPr>
            <w:tcW w:type="dxa" w:w="2000"/>
            <w:shd w:fill="F2F2F2" w:color="auto" w:val="clear"/>
            <w:tcMar>
              <w:top w:type="dxa" w:w="60"/>
              <w:left w:type="dxa" w:w="110"/>
              <w:bottom w:type="dxa" w:w="60"/>
              <w:right w:type="dxa" w:w="110"/>
            </w:tcMar>
          </w:tcPr>
          <w:p>
            <w:pPr>
              <w:jc w:val="right"/>
            </w:pPr>
            <w:r>
              <w:rPr>
                <w:b/>
                <w:bCs/>
                <w:sz w:val="19"/>
                <w:szCs w:val="19"/>
              </w:rPr>
              <w:t xml:space="preserve">Bias °C</w:t>
            </w:r>
          </w:p>
        </w:tc>
      </w:tr>
      <w:tr>
        <w:tc>
          <w:tcPr>
            <w:tcW w:type="dxa" w:w="3360"/>
            <w:tcMar>
              <w:top w:type="dxa" w:w="60"/>
              <w:left w:type="dxa" w:w="110"/>
              <w:bottom w:type="dxa" w:w="60"/>
              <w:right w:type="dxa" w:w="110"/>
            </w:tcMar>
          </w:tcPr>
          <w:p>
            <w:pPr>
              <w:jc w:val="left"/>
            </w:pPr>
            <w:r>
              <w:rPr>
                <w:b/>
                <w:bCs/>
                <w:sz w:val="19"/>
                <w:szCs w:val="19"/>
              </w:rPr>
              <w:t xml:space="preserve">prophet_gfs</w:t>
            </w:r>
          </w:p>
        </w:tc>
        <w:tc>
          <w:tcPr>
            <w:tcW w:type="dxa" w:w="2000"/>
            <w:tcMar>
              <w:top w:type="dxa" w:w="60"/>
              <w:left w:type="dxa" w:w="110"/>
              <w:bottom w:type="dxa" w:w="60"/>
              <w:right w:type="dxa" w:w="110"/>
            </w:tcMar>
          </w:tcPr>
          <w:p>
            <w:pPr>
              <w:jc w:val="right"/>
            </w:pPr>
            <w:r>
              <w:rPr>
                <w:b/>
                <w:bCs/>
                <w:sz w:val="19"/>
                <w:szCs w:val="19"/>
              </w:rPr>
              <w:t xml:space="preserve">2.17</w:t>
            </w:r>
          </w:p>
        </w:tc>
        <w:tc>
          <w:tcPr>
            <w:tcW w:type="dxa" w:w="2000"/>
            <w:tcMar>
              <w:top w:type="dxa" w:w="60"/>
              <w:left w:type="dxa" w:w="110"/>
              <w:bottom w:type="dxa" w:w="60"/>
              <w:right w:type="dxa" w:w="110"/>
            </w:tcMar>
          </w:tcPr>
          <w:p>
            <w:pPr>
              <w:jc w:val="right"/>
            </w:pPr>
            <w:r>
              <w:rPr>
                <w:b/>
                <w:bCs/>
                <w:sz w:val="19"/>
                <w:szCs w:val="19"/>
              </w:rPr>
              <w:t xml:space="preserve">2.78</w:t>
            </w:r>
          </w:p>
        </w:tc>
        <w:tc>
          <w:tcPr>
            <w:tcW w:type="dxa" w:w="2000"/>
            <w:tcMar>
              <w:top w:type="dxa" w:w="60"/>
              <w:left w:type="dxa" w:w="110"/>
              <w:bottom w:type="dxa" w:w="60"/>
              <w:right w:type="dxa" w:w="110"/>
            </w:tcMar>
          </w:tcPr>
          <w:p>
            <w:pPr>
              <w:jc w:val="right"/>
            </w:pPr>
            <w:r>
              <w:rPr>
                <w:b/>
                <w:bCs/>
                <w:sz w:val="19"/>
                <w:szCs w:val="19"/>
              </w:rPr>
              <w:t xml:space="preserve">−0.99</w:t>
            </w:r>
          </w:p>
        </w:tc>
      </w:tr>
      <w:tr>
        <w:tc>
          <w:tcPr>
            <w:tcW w:type="dxa" w:w="3360"/>
            <w:tcMar>
              <w:top w:type="dxa" w:w="60"/>
              <w:left w:type="dxa" w:w="110"/>
              <w:bottom w:type="dxa" w:w="60"/>
              <w:right w:type="dxa" w:w="110"/>
            </w:tcMar>
          </w:tcPr>
          <w:p>
            <w:pPr>
              <w:jc w:val="left"/>
            </w:pPr>
            <w:r>
              <w:rPr>
                <w:b w:val="false"/>
                <w:bCs w:val="false"/>
                <w:sz w:val="19"/>
                <w:szCs w:val="19"/>
              </w:rPr>
              <w:t xml:space="preserve">xgboost</w:t>
            </w:r>
          </w:p>
        </w:tc>
        <w:tc>
          <w:tcPr>
            <w:tcW w:type="dxa" w:w="2000"/>
            <w:tcMar>
              <w:top w:type="dxa" w:w="60"/>
              <w:left w:type="dxa" w:w="110"/>
              <w:bottom w:type="dxa" w:w="60"/>
              <w:right w:type="dxa" w:w="110"/>
            </w:tcMar>
          </w:tcPr>
          <w:p>
            <w:pPr>
              <w:jc w:val="right"/>
            </w:pPr>
            <w:r>
              <w:rPr>
                <w:b w:val="false"/>
                <w:bCs w:val="false"/>
                <w:sz w:val="19"/>
                <w:szCs w:val="19"/>
              </w:rPr>
              <w:t xml:space="preserve">2.46</w:t>
            </w:r>
          </w:p>
        </w:tc>
        <w:tc>
          <w:tcPr>
            <w:tcW w:type="dxa" w:w="2000"/>
            <w:tcMar>
              <w:top w:type="dxa" w:w="60"/>
              <w:left w:type="dxa" w:w="110"/>
              <w:bottom w:type="dxa" w:w="60"/>
              <w:right w:type="dxa" w:w="110"/>
            </w:tcMar>
          </w:tcPr>
          <w:p>
            <w:pPr>
              <w:jc w:val="right"/>
            </w:pPr>
            <w:r>
              <w:rPr>
                <w:b w:val="false"/>
                <w:bCs w:val="false"/>
                <w:sz w:val="19"/>
                <w:szCs w:val="19"/>
              </w:rPr>
              <w:t xml:space="preserve">3.07</w:t>
            </w:r>
          </w:p>
        </w:tc>
        <w:tc>
          <w:tcPr>
            <w:tcW w:type="dxa" w:w="2000"/>
            <w:tcMar>
              <w:top w:type="dxa" w:w="60"/>
              <w:left w:type="dxa" w:w="110"/>
              <w:bottom w:type="dxa" w:w="60"/>
              <w:right w:type="dxa" w:w="110"/>
            </w:tcMar>
          </w:tcPr>
          <w:p>
            <w:pPr>
              <w:jc w:val="right"/>
            </w:pPr>
            <w:r>
              <w:rPr>
                <w:b w:val="false"/>
                <w:bCs w:val="false"/>
                <w:sz w:val="19"/>
                <w:szCs w:val="19"/>
              </w:rPr>
              <w:t xml:space="preserve">−1.76</w:t>
            </w:r>
          </w:p>
        </w:tc>
      </w:tr>
      <w:tr>
        <w:tc>
          <w:tcPr>
            <w:tcW w:type="dxa" w:w="3360"/>
            <w:tcMar>
              <w:top w:type="dxa" w:w="60"/>
              <w:left w:type="dxa" w:w="110"/>
              <w:bottom w:type="dxa" w:w="60"/>
              <w:right w:type="dxa" w:w="110"/>
            </w:tcMar>
          </w:tcPr>
          <w:p>
            <w:pPr>
              <w:jc w:val="left"/>
            </w:pPr>
            <w:r>
              <w:rPr>
                <w:b w:val="false"/>
                <w:bCs w:val="false"/>
                <w:sz w:val="19"/>
                <w:szCs w:val="19"/>
              </w:rPr>
              <w:t xml:space="preserve">raw GFS</w:t>
            </w:r>
          </w:p>
        </w:tc>
        <w:tc>
          <w:tcPr>
            <w:tcW w:type="dxa" w:w="2000"/>
            <w:tcMar>
              <w:top w:type="dxa" w:w="60"/>
              <w:left w:type="dxa" w:w="110"/>
              <w:bottom w:type="dxa" w:w="60"/>
              <w:right w:type="dxa" w:w="110"/>
            </w:tcMar>
          </w:tcPr>
          <w:p>
            <w:pPr>
              <w:jc w:val="right"/>
            </w:pPr>
            <w:r>
              <w:rPr>
                <w:b w:val="false"/>
                <w:bCs w:val="false"/>
                <w:sz w:val="19"/>
                <w:szCs w:val="19"/>
              </w:rPr>
              <w:t xml:space="preserve">2.60</w:t>
            </w:r>
          </w:p>
        </w:tc>
        <w:tc>
          <w:tcPr>
            <w:tcW w:type="dxa" w:w="2000"/>
            <w:tcMar>
              <w:top w:type="dxa" w:w="60"/>
              <w:left w:type="dxa" w:w="110"/>
              <w:bottom w:type="dxa" w:w="60"/>
              <w:right w:type="dxa" w:w="110"/>
            </w:tcMar>
          </w:tcPr>
          <w:p>
            <w:pPr>
              <w:jc w:val="right"/>
            </w:pPr>
            <w:r>
              <w:rPr>
                <w:b w:val="false"/>
                <w:bCs w:val="false"/>
                <w:sz w:val="19"/>
                <w:szCs w:val="19"/>
              </w:rPr>
              <w:t xml:space="preserve">3.31</w:t>
            </w:r>
          </w:p>
        </w:tc>
        <w:tc>
          <w:tcPr>
            <w:tcW w:type="dxa" w:w="2000"/>
            <w:tcMar>
              <w:top w:type="dxa" w:w="60"/>
              <w:left w:type="dxa" w:w="110"/>
              <w:bottom w:type="dxa" w:w="60"/>
              <w:right w:type="dxa" w:w="110"/>
            </w:tcMar>
          </w:tcPr>
          <w:p>
            <w:pPr>
              <w:jc w:val="right"/>
            </w:pPr>
            <w:r>
              <w:rPr>
                <w:b w:val="false"/>
                <w:bCs w:val="false"/>
                <w:sz w:val="19"/>
                <w:szCs w:val="19"/>
              </w:rPr>
              <w:t xml:space="preserve">−1.61</w:t>
            </w:r>
          </w:p>
        </w:tc>
      </w:tr>
      <w:tr>
        <w:tc>
          <w:tcPr>
            <w:tcW w:type="dxa" w:w="3360"/>
            <w:tcMar>
              <w:top w:type="dxa" w:w="60"/>
              <w:left w:type="dxa" w:w="110"/>
              <w:bottom w:type="dxa" w:w="60"/>
              <w:right w:type="dxa" w:w="110"/>
            </w:tcMar>
          </w:tcPr>
          <w:p>
            <w:pPr>
              <w:jc w:val="left"/>
            </w:pPr>
            <w:r>
              <w:rPr>
                <w:b w:val="false"/>
                <w:bCs w:val="false"/>
                <w:sz w:val="19"/>
                <w:szCs w:val="19"/>
              </w:rPr>
              <w:t xml:space="preserve">linear_gfs</w:t>
            </w:r>
          </w:p>
        </w:tc>
        <w:tc>
          <w:tcPr>
            <w:tcW w:type="dxa" w:w="2000"/>
            <w:tcMar>
              <w:top w:type="dxa" w:w="60"/>
              <w:left w:type="dxa" w:w="110"/>
              <w:bottom w:type="dxa" w:w="60"/>
              <w:right w:type="dxa" w:w="110"/>
            </w:tcMar>
          </w:tcPr>
          <w:p>
            <w:pPr>
              <w:jc w:val="right"/>
            </w:pPr>
            <w:r>
              <w:rPr>
                <w:b w:val="false"/>
                <w:bCs w:val="false"/>
                <w:sz w:val="19"/>
                <w:szCs w:val="19"/>
              </w:rPr>
              <w:t xml:space="preserve">2.83</w:t>
            </w:r>
          </w:p>
        </w:tc>
        <w:tc>
          <w:tcPr>
            <w:tcW w:type="dxa" w:w="2000"/>
            <w:tcMar>
              <w:top w:type="dxa" w:w="60"/>
              <w:left w:type="dxa" w:w="110"/>
              <w:bottom w:type="dxa" w:w="60"/>
              <w:right w:type="dxa" w:w="110"/>
            </w:tcMar>
          </w:tcPr>
          <w:p>
            <w:pPr>
              <w:jc w:val="right"/>
            </w:pPr>
            <w:r>
              <w:rPr>
                <w:b w:val="false"/>
                <w:bCs w:val="false"/>
                <w:sz w:val="19"/>
                <w:szCs w:val="19"/>
              </w:rPr>
              <w:t xml:space="preserve">3.42</w:t>
            </w:r>
          </w:p>
        </w:tc>
        <w:tc>
          <w:tcPr>
            <w:tcW w:type="dxa" w:w="2000"/>
            <w:tcMar>
              <w:top w:type="dxa" w:w="60"/>
              <w:left w:type="dxa" w:w="110"/>
              <w:bottom w:type="dxa" w:w="60"/>
              <w:right w:type="dxa" w:w="110"/>
            </w:tcMar>
          </w:tcPr>
          <w:p>
            <w:pPr>
              <w:jc w:val="right"/>
            </w:pPr>
            <w:r>
              <w:rPr>
                <w:b w:val="false"/>
                <w:bCs w:val="false"/>
                <w:sz w:val="19"/>
                <w:szCs w:val="19"/>
              </w:rPr>
              <w:t xml:space="preserve">−2.32</w:t>
            </w:r>
          </w:p>
        </w:tc>
      </w:tr>
      <w:tr>
        <w:tc>
          <w:tcPr>
            <w:tcW w:type="dxa" w:w="3360"/>
            <w:tcMar>
              <w:top w:type="dxa" w:w="60"/>
              <w:left w:type="dxa" w:w="110"/>
              <w:bottom w:type="dxa" w:w="60"/>
              <w:right w:type="dxa" w:w="110"/>
            </w:tcMar>
          </w:tcPr>
          <w:p>
            <w:pPr>
              <w:jc w:val="left"/>
            </w:pPr>
            <w:r>
              <w:rPr>
                <w:b w:val="false"/>
                <w:bCs w:val="false"/>
                <w:sz w:val="19"/>
                <w:szCs w:val="19"/>
              </w:rPr>
              <w:t xml:space="preserve">linear</w:t>
            </w:r>
          </w:p>
        </w:tc>
        <w:tc>
          <w:tcPr>
            <w:tcW w:type="dxa" w:w="2000"/>
            <w:tcMar>
              <w:top w:type="dxa" w:w="60"/>
              <w:left w:type="dxa" w:w="110"/>
              <w:bottom w:type="dxa" w:w="60"/>
              <w:right w:type="dxa" w:w="110"/>
            </w:tcMar>
          </w:tcPr>
          <w:p>
            <w:pPr>
              <w:jc w:val="right"/>
            </w:pPr>
            <w:r>
              <w:rPr>
                <w:b w:val="false"/>
                <w:bCs w:val="false"/>
                <w:sz w:val="19"/>
                <w:szCs w:val="19"/>
              </w:rPr>
              <w:t xml:space="preserve">3.06</w:t>
            </w:r>
          </w:p>
        </w:tc>
        <w:tc>
          <w:tcPr>
            <w:tcW w:type="dxa" w:w="2000"/>
            <w:tcMar>
              <w:top w:type="dxa" w:w="60"/>
              <w:left w:type="dxa" w:w="110"/>
              <w:bottom w:type="dxa" w:w="60"/>
              <w:right w:type="dxa" w:w="110"/>
            </w:tcMar>
          </w:tcPr>
          <w:p>
            <w:pPr>
              <w:jc w:val="right"/>
            </w:pPr>
            <w:r>
              <w:rPr>
                <w:b w:val="false"/>
                <w:bCs w:val="false"/>
                <w:sz w:val="19"/>
                <w:szCs w:val="19"/>
              </w:rPr>
              <w:t xml:space="preserve">3.66</w:t>
            </w:r>
          </w:p>
        </w:tc>
        <w:tc>
          <w:tcPr>
            <w:tcW w:type="dxa" w:w="2000"/>
            <w:tcMar>
              <w:top w:type="dxa" w:w="60"/>
              <w:left w:type="dxa" w:w="110"/>
              <w:bottom w:type="dxa" w:w="60"/>
              <w:right w:type="dxa" w:w="110"/>
            </w:tcMar>
          </w:tcPr>
          <w:p>
            <w:pPr>
              <w:jc w:val="right"/>
            </w:pPr>
            <w:r>
              <w:rPr>
                <w:b w:val="false"/>
                <w:bCs w:val="false"/>
                <w:sz w:val="19"/>
                <w:szCs w:val="19"/>
              </w:rPr>
              <w:t xml:space="preserve">−2.57</w:t>
            </w:r>
          </w:p>
        </w:tc>
      </w:tr>
      <w:tr>
        <w:tc>
          <w:tcPr>
            <w:tcW w:type="dxa" w:w="3360"/>
            <w:tcMar>
              <w:top w:type="dxa" w:w="60"/>
              <w:left w:type="dxa" w:w="110"/>
              <w:bottom w:type="dxa" w:w="60"/>
              <w:right w:type="dxa" w:w="110"/>
            </w:tcMar>
          </w:tcPr>
          <w:p>
            <w:pPr>
              <w:jc w:val="left"/>
            </w:pPr>
            <w:r>
              <w:rPr>
                <w:b w:val="false"/>
                <w:bCs w:val="false"/>
                <w:sz w:val="19"/>
                <w:szCs w:val="19"/>
              </w:rPr>
              <w:t xml:space="preserve">climatology</w:t>
            </w:r>
          </w:p>
        </w:tc>
        <w:tc>
          <w:tcPr>
            <w:tcW w:type="dxa" w:w="2000"/>
            <w:tcMar>
              <w:top w:type="dxa" w:w="60"/>
              <w:left w:type="dxa" w:w="110"/>
              <w:bottom w:type="dxa" w:w="60"/>
              <w:right w:type="dxa" w:w="110"/>
            </w:tcMar>
          </w:tcPr>
          <w:p>
            <w:pPr>
              <w:jc w:val="right"/>
            </w:pPr>
            <w:r>
              <w:rPr>
                <w:b w:val="false"/>
                <w:bCs w:val="false"/>
                <w:sz w:val="19"/>
                <w:szCs w:val="19"/>
              </w:rPr>
              <w:t xml:space="preserve">3.22</w:t>
            </w:r>
          </w:p>
        </w:tc>
        <w:tc>
          <w:tcPr>
            <w:tcW w:type="dxa" w:w="2000"/>
            <w:tcMar>
              <w:top w:type="dxa" w:w="60"/>
              <w:left w:type="dxa" w:w="110"/>
              <w:bottom w:type="dxa" w:w="60"/>
              <w:right w:type="dxa" w:w="110"/>
            </w:tcMar>
          </w:tcPr>
          <w:p>
            <w:pPr>
              <w:jc w:val="right"/>
            </w:pPr>
            <w:r>
              <w:rPr>
                <w:b w:val="false"/>
                <w:bCs w:val="false"/>
                <w:sz w:val="19"/>
                <w:szCs w:val="19"/>
              </w:rPr>
              <w:t xml:space="preserve">3.84</w:t>
            </w:r>
          </w:p>
        </w:tc>
        <w:tc>
          <w:tcPr>
            <w:tcW w:type="dxa" w:w="2000"/>
            <w:tcMar>
              <w:top w:type="dxa" w:w="60"/>
              <w:left w:type="dxa" w:w="110"/>
              <w:bottom w:type="dxa" w:w="60"/>
              <w:right w:type="dxa" w:w="110"/>
            </w:tcMar>
          </w:tcPr>
          <w:p>
            <w:pPr>
              <w:jc w:val="right"/>
            </w:pPr>
            <w:r>
              <w:rPr>
                <w:b w:val="false"/>
                <w:bCs w:val="false"/>
                <w:sz w:val="19"/>
                <w:szCs w:val="19"/>
              </w:rPr>
              <w:t xml:space="preserve">−2.52</w:t>
            </w:r>
          </w:p>
        </w:tc>
      </w:tr>
    </w:tbl>
    <w:p>
      <w:pPr>
        <w:spacing w:after="120"/>
      </w:pPr>
      <w:r>
        <w:rPr>
          <w:sz w:val="20"/>
          <w:szCs w:val="20"/>
        </w:rPr>
        <w:t xml:space="preserve"/>
      </w:r>
    </w:p>
    <w:p>
      <w:pPr>
        <w:spacing w:after="120"/>
      </w:pPr>
      <w:r>
        <w:rPr>
          <w:sz w:val="20"/>
          <w:szCs w:val="20"/>
        </w:rPr>
        <w:t xml:space="preserve">Findings the tables support, for you to argue in your own words:</w:t>
      </w:r>
    </w:p>
    <w:p>
      <w:pPr>
        <w:pStyle w:val="ListParagraph"/>
        <w:numPr>
          <w:ilvl w:val="0"/>
          <w:numId w:val="2"/>
        </w:numPr>
        <w:spacing w:after="60"/>
      </w:pPr>
      <w:r>
        <w:rPr>
          <w:sz w:val="20"/>
          <w:szCs w:val="20"/>
        </w:rPr>
        <w:t xml:space="preserve">Univariate Prophet and a lookup-table climatology cannot be told apart: over 104 rolling folds they differ by 0.05 °C with a CI spanning zero (model_comparison.csv). The error is almost all bias.</w:t>
      </w:r>
    </w:p>
    <w:p>
      <w:pPr>
        <w:pStyle w:val="ListParagraph"/>
        <w:numPr>
          <w:ilvl w:val="0"/>
          <w:numId w:val="2"/>
        </w:numPr>
        <w:spacing w:after="60"/>
      </w:pPr>
      <w:r>
        <w:rPr>
          <w:sz w:val="20"/>
          <w:szCs w:val="20"/>
        </w:rPr>
        <w:t xml:space="preserve">Reading GFS straight off the file beats every model built only from past temperatures.</w:t>
      </w:r>
    </w:p>
    <w:p>
      <w:pPr>
        <w:pStyle w:val="ListParagraph"/>
        <w:numPr>
          <w:ilvl w:val="0"/>
          <w:numId w:val="2"/>
        </w:numPr>
        <w:spacing w:after="60"/>
      </w:pPr>
      <w:r>
        <w:rPr>
          <w:sz w:val="20"/>
          <w:szCs w:val="20"/>
        </w:rPr>
        <w:t xml:space="preserve">Two corrections significantly beat raw GFS: linear_gfs (−0.52 °C) and xgboost (−0.41 °C). The Prophet correction is directionally better but its CI crosses zero.</w:t>
      </w:r>
    </w:p>
    <w:p>
      <w:pPr>
        <w:pStyle w:val="ListParagraph"/>
        <w:numPr>
          <w:ilvl w:val="0"/>
          <w:numId w:val="2"/>
        </w:numPr>
        <w:spacing w:after="60"/>
      </w:pPr>
      <w:r>
        <w:rPr>
          <w:sz w:val="20"/>
          <w:szCs w:val="20"/>
        </w:rPr>
        <w:t xml:space="preserve">The simplest GFS model is the strongest on the rolling folds, and the gaps between the three corrections are small relative to fold spread.</w:t>
      </w:r>
    </w:p>
    <w:p>
      <w:pPr>
        <w:pStyle w:val="ListParagraph"/>
        <w:numPr>
          <w:ilvl w:val="0"/>
          <w:numId w:val="2"/>
        </w:numPr>
        <w:spacing w:after="60"/>
      </w:pPr>
      <w:r>
        <w:rPr>
          <w:sz w:val="20"/>
          <w:szCs w:val="20"/>
        </w:rPr>
        <w:t xml:space="preserve">Prophet’s own trend and seasonality had to be switched off: left on, the model scores worse than the uncorrected forecast, because training is restricted to the fifth of hours that have a covariate.</w:t>
      </w:r>
    </w:p>
    <w:p>
      <w:pPr>
        <w:pStyle w:val="Heading1"/>
        <w:spacing w:after="120" w:before="280"/>
      </w:pPr>
      <w:r>
        <w:t xml:space="preserve">7. What we applied from the course</w:t>
      </w:r>
    </w:p>
    <w:p>
      <w:pPr>
        <w:spacing w:after="200" w:before="60"/>
      </w:pPr>
      <w:r>
        <w:rPr>
          <w:i/>
          <w:iCs/>
          <w:color w:val="808080"/>
          <w:sz w:val="20"/>
          <w:szCs w:val="20"/>
        </w:rPr>
        <w:t xml:space="preserve">[Your text — the brief asks for this explicitly. Candidate threads: regularisation and feature selection; the bias–variance read on why a linear correction matches boosted trees here; leakage control in time series; why paired resampling is the right test.]</w:t>
      </w:r>
    </w:p>
    <w:p>
      <w:pPr>
        <w:pStyle w:val="Heading1"/>
        <w:spacing w:after="120" w:before="280"/>
      </w:pPr>
      <w:r>
        <w:t xml:space="preserve">8. Limitations and what we would do next</w:t>
      </w:r>
    </w:p>
    <w:p>
      <w:pPr>
        <w:pStyle w:val="ListParagraph"/>
        <w:numPr>
          <w:ilvl w:val="0"/>
          <w:numId w:val="2"/>
        </w:numPr>
        <w:spacing w:after="60"/>
      </w:pPr>
      <w:r>
        <w:rPr>
          <w:sz w:val="20"/>
          <w:szCs w:val="20"/>
        </w:rPr>
        <w:t xml:space="preserve">Fold counts are small: 19 rolling and 2 seasonal folds, so differences under about 0.2 °C are not resolvable.</w:t>
      </w:r>
    </w:p>
    <w:p>
      <w:pPr>
        <w:pStyle w:val="ListParagraph"/>
        <w:numPr>
          <w:ilvl w:val="0"/>
          <w:numId w:val="2"/>
        </w:numPr>
        <w:spacing w:after="60"/>
      </w:pPr>
      <w:r>
        <w:rPr>
          <w:sz w:val="20"/>
          <w:szCs w:val="20"/>
        </w:rPr>
        <w:t xml:space="preserve">Covariate history is sampled as fortnights rather than continuous years, which is what forced Prophet’s seasonality off; a continuous fetch would let that be retested.</w:t>
      </w:r>
    </w:p>
    <w:p>
      <w:pPr>
        <w:pStyle w:val="ListParagraph"/>
        <w:numPr>
          <w:ilvl w:val="0"/>
          <w:numId w:val="2"/>
        </w:numPr>
        <w:spacing w:after="60"/>
      </w:pPr>
      <w:r>
        <w:rPr>
          <w:sz w:val="20"/>
          <w:szCs w:val="20"/>
        </w:rPr>
        <w:t xml:space="preserve">Only one station and one NWP model; GEFS or ECMWF ensemble spread is unused.</w:t>
      </w:r>
    </w:p>
    <w:p>
      <w:pPr>
        <w:spacing w:after="200" w:before="60"/>
      </w:pPr>
      <w:r>
        <w:rPr>
          <w:i/>
          <w:iCs/>
          <w:color w:val="808080"/>
          <w:sz w:val="20"/>
          <w:szCs w:val="20"/>
        </w:rPr>
        <w:t xml:space="preserve">[Your text: your own closing judgement.]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2026-10-06T13:37:32.156Z</dcterms:created>
  <dcterms:modified xsi:type="dcterms:W3CDTF">2026-10-06T13:37:32.156Z</dcterms:modified>
</cp:coreProperties>
</file>

<file path=docProps/custom.xml><?xml version="1.0" encoding="utf-8"?>
<Properties xmlns="http://schemas.openxmlformats.org/officeDocument/2006/custom-properties" xmlns:vt="http://schemas.openxmlformats.org/officeDocument/2006/docPropsVTypes"/>
</file>