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F2942"/>
          <w:sz w:val="40"/>
          <w:szCs w:val="40"/>
        </w:rPr>
        <w:t xml:space="preserve">Board risk report</w:t>
      </w:r>
    </w:p>
    <w:p>
      <w:pPr>
        <w:spacing w:after="200"/>
      </w:pPr>
      <w:r>
        <w:rPr>
          <w:rFonts w:ascii="Arial" w:cs="Arial" w:eastAsia="Arial" w:hAnsi="Arial"/>
          <w:i/>
          <w:iCs/>
          <w:color w:val="4A5568"/>
          <w:sz w:val="18"/>
          <w:szCs w:val="18"/>
        </w:rPr>
        <w:t xml:space="preserve">[Organisation name] · Chief Risk Officer's report to the Board Risk Committee · Template version 1.0 (September 2026)</w:t>
      </w:r>
    </w:p>
    <w:p>
      <w:pPr>
        <w:spacing w:after="80"/>
      </w:pPr>
      <w:r>
        <w:rPr>
          <w:rFonts w:ascii="Arial" w:cs="Arial" w:eastAsia="Arial" w:hAnsi="Arial"/>
          <w:i/>
          <w:iCs/>
          <w:color w:val="4A5568"/>
          <w:sz w:val="18"/>
          <w:szCs w:val="18"/>
        </w:rPr>
        <w:t xml:space="preserve">How to use: grey italic text is guidance. Replace it with your content and delete what you don't need. Aim for a short front section the committee can read in ten minutes, with detail in appendices. Lead with insight and the CRO's view, not a list of everything that happened. Background: https://hayesskvaril-ctrl.github.io/governance/board-risk-reporting.html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Meeting and date</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Reporting period</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Prepared by</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iCs/>
                <w:color w:val="6B7280"/>
                <w:sz w:val="17"/>
                <w:szCs w:val="17"/>
              </w:rPr>
              <w:t xml:space="preserve">Chief Risk Officer (name)</w:t>
            </w:r>
          </w:p>
        </w:tc>
      </w:tr>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Purpose</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iCs/>
                <w:color w:val="6B7280"/>
                <w:sz w:val="17"/>
                <w:szCs w:val="17"/>
              </w:rPr>
              <w:t xml:space="preserve">For noting / For discussion / For decision (state which)</w:t>
            </w:r>
          </w:p>
        </w:tc>
      </w:tr>
      <w:tr>
        <w:trPr>
          <w:cantSplit/>
        </w:trPr>
        <w:tc>
          <w:tcPr>
            <w:tcW w:type="dxa" w:w="32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Decisions requested</w:t>
            </w:r>
          </w:p>
        </w:tc>
        <w:tc>
          <w:tcPr>
            <w:tcW w:type="dxa" w:w="6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iCs/>
                <w:color w:val="6B7280"/>
                <w:sz w:val="17"/>
                <w:szCs w:val="17"/>
              </w:rPr>
              <w:t xml:space="preserve">List each decision the committee is asked to make, e.g. approve a risk acceptance, approve a change to a tolerance</w:t>
            </w:r>
          </w:p>
        </w:tc>
      </w:tr>
    </w:tbl>
    <w:p>
      <w:pPr>
        <w:pStyle w:val="Heading1"/>
        <w:spacing w:after="120" w:before="280"/>
      </w:pPr>
      <w:r>
        <w:rPr>
          <w:rFonts w:ascii="Arial" w:cs="Arial" w:eastAsia="Arial" w:hAnsi="Arial"/>
        </w:rPr>
        <w:t xml:space="preserve">1. CRO summary</w:t>
      </w:r>
    </w:p>
    <w:p>
      <w:pPr>
        <w:spacing w:after="80"/>
      </w:pPr>
      <w:r>
        <w:rPr>
          <w:rFonts w:ascii="Arial" w:cs="Arial" w:eastAsia="Arial" w:hAnsi="Arial"/>
          <w:i/>
          <w:iCs/>
          <w:color w:val="4A5568"/>
          <w:sz w:val="18"/>
          <w:szCs w:val="18"/>
        </w:rPr>
        <w:t xml:space="preserve">Three to five key messages in plain English: overall risk profile against appetite, what has changed since last time and why, the matters that most need the committee's attention, and the CRO's independent view. Say what you are worried about.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1100" w:hRule="atLeast"/>
        </w:trPr>
        <w:tc>
          <w:tcPr>
            <w:tcW w:type="dxa" w:w="26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Overall view</w:t>
            </w:r>
          </w:p>
        </w:tc>
        <w:tc>
          <w:tcPr>
            <w:tcW w:type="dxa" w:w="70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iCs/>
                <w:color w:val="6B7280"/>
                <w:sz w:val="17"/>
                <w:szCs w:val="17"/>
              </w:rPr>
              <w:t xml:space="preserve">e.g. "The risk profile is within appetite overall, but operational risk has moved to amber because…"</w:t>
            </w:r>
          </w:p>
        </w:tc>
      </w:tr>
      <w:tr>
        <w:trPr>
          <w:cantSplit/>
          <w:trHeight w:val="1100" w:hRule="atLeast"/>
        </w:trPr>
        <w:tc>
          <w:tcPr>
            <w:tcW w:type="dxa" w:w="26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Key messages</w:t>
            </w:r>
          </w:p>
        </w:tc>
        <w:tc>
          <w:tcPr>
            <w:tcW w:type="dxa" w:w="70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r>
        <w:trPr>
          <w:cantSplit/>
          <w:trHeight w:val="1100" w:hRule="atLeast"/>
        </w:trPr>
        <w:tc>
          <w:tcPr>
            <w:tcW w:type="dxa" w:w="26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Matters requiring attention</w:t>
            </w:r>
          </w:p>
        </w:tc>
        <w:tc>
          <w:tcPr>
            <w:tcW w:type="dxa" w:w="70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bl>
    <w:p>
      <w:pPr>
        <w:pStyle w:val="Heading1"/>
        <w:spacing w:after="120" w:before="280"/>
      </w:pPr>
      <w:r>
        <w:rPr>
          <w:rFonts w:ascii="Arial" w:cs="Arial" w:eastAsia="Arial" w:hAnsi="Arial"/>
        </w:rPr>
        <w:t xml:space="preserve">2. Risk profile against appetite</w:t>
      </w:r>
    </w:p>
    <w:p>
      <w:pPr>
        <w:spacing w:after="80"/>
      </w:pPr>
      <w:r>
        <w:rPr>
          <w:rFonts w:ascii="Arial" w:cs="Arial" w:eastAsia="Arial" w:hAnsi="Arial"/>
          <w:i/>
          <w:iCs/>
          <w:color w:val="4A5568"/>
          <w:sz w:val="18"/>
          <w:szCs w:val="18"/>
        </w:rPr>
        <w:t xml:space="preserve">One row per material risk in the risk appetite statement. Use arrows for the trend since the last report (↑ worsening, → stable, ↓ improving). The status should match the metrics, not a general impression.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100"/>
        <w:gridCol w:w="900"/>
        <w:gridCol w:w="4338"/>
      </w:tblGrid>
      <w:tr>
        <w:trPr>
          <w:tblHeader/>
        </w:trPr>
        <w:tc>
          <w:tcPr>
            <w:tcW w:type="dxa" w:w="20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Material risk</w:t>
            </w:r>
          </w:p>
        </w:tc>
        <w:tc>
          <w:tcPr>
            <w:tcW w:type="dxa" w:w="13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Appetite</w:t>
            </w:r>
          </w:p>
        </w:tc>
        <w:tc>
          <w:tcPr>
            <w:tcW w:type="dxa" w:w="11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Status</w:t>
            </w:r>
          </w:p>
        </w:tc>
        <w:tc>
          <w:tcPr>
            <w:tcW w:type="dxa" w:w="9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Trend</w:t>
            </w:r>
          </w:p>
        </w:tc>
        <w:tc>
          <w:tcPr>
            <w:tcW w:type="dxa" w:w="4338"/>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Commentary (why, and what is being done)</w:t>
            </w:r>
          </w:p>
        </w:tc>
      </w:tr>
      <w:tr>
        <w:trPr>
          <w:cantSplit/>
        </w:trPr>
        <w:tc>
          <w:tcPr>
            <w:tcW w:type="dxa" w:w="2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Strategic</w:t>
            </w:r>
          </w:p>
        </w:tc>
        <w:tc>
          <w:tcPr>
            <w:tcW w:type="dxa" w:w="13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1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9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43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Investment</w:t>
            </w:r>
          </w:p>
        </w:tc>
        <w:tc>
          <w:tcPr>
            <w:tcW w:type="dxa" w:w="13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1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9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43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Liquidity</w:t>
            </w:r>
          </w:p>
        </w:tc>
        <w:tc>
          <w:tcPr>
            <w:tcW w:type="dxa" w:w="13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1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9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43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Operational</w:t>
            </w:r>
          </w:p>
        </w:tc>
        <w:tc>
          <w:tcPr>
            <w:tcW w:type="dxa" w:w="13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1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9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43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Compliance and conduct</w:t>
            </w:r>
          </w:p>
        </w:tc>
        <w:tc>
          <w:tcPr>
            <w:tcW w:type="dxa" w:w="13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1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9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43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Cyber and information security</w:t>
            </w:r>
          </w:p>
        </w:tc>
        <w:tc>
          <w:tcPr>
            <w:tcW w:type="dxa" w:w="13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1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9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43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Service providers</w:t>
            </w:r>
          </w:p>
        </w:tc>
        <w:tc>
          <w:tcPr>
            <w:tcW w:type="dxa" w:w="13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1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9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43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People and culture</w:t>
            </w:r>
          </w:p>
        </w:tc>
        <w:tc>
          <w:tcPr>
            <w:tcW w:type="dxa" w:w="13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1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9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43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000"/>
            <w:tcBorders>
              <w:top w:val="single" w:color="C9D3E0" w:sz="4"/>
              <w:left w:val="single" w:color="C9D3E0" w:sz="4"/>
              <w:bottom w:val="single" w:color="C9D3E0" w:sz="4"/>
              <w:right w:val="single" w:color="C9D3E0" w:sz="4"/>
            </w:tcBorders>
            <w:tcMar>
              <w:top w:type="dxa" w:w="60"/>
              <w:left w:type="dxa" w:w="100"/>
              <w:bottom w:type="dxa" w:w="60"/>
              <w:right w:type="dxa" w:w="100"/>
            </w:tcMar>
          </w:tcPr>
          <w:p>
            <w:pPr>
              <w:spacing w:after="40"/>
            </w:pPr>
            <w:r>
              <w:rPr>
                <w:rFonts w:ascii="Arial" w:cs="Arial" w:eastAsia="Arial" w:hAnsi="Arial"/>
                <w:i w:val="false"/>
                <w:iCs w:val="false"/>
                <w:sz w:val="17"/>
                <w:szCs w:val="17"/>
              </w:rPr>
              <w:t xml:space="preserve">Other</w:t>
            </w:r>
          </w:p>
        </w:tc>
        <w:tc>
          <w:tcPr>
            <w:tcW w:type="dxa" w:w="13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1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9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43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bl>
    <w:p>
      <w:pPr>
        <w:pStyle w:val="Heading1"/>
        <w:spacing w:after="120" w:before="280"/>
      </w:pPr>
      <w:r>
        <w:rPr>
          <w:rFonts w:ascii="Arial" w:cs="Arial" w:eastAsia="Arial" w:hAnsi="Arial"/>
        </w:rPr>
        <w:t xml:space="preserve">3. Metrics outside appetite</w:t>
      </w:r>
    </w:p>
    <w:p>
      <w:pPr>
        <w:spacing w:after="80"/>
      </w:pPr>
      <w:r>
        <w:rPr>
          <w:rFonts w:ascii="Arial" w:cs="Arial" w:eastAsia="Arial" w:hAnsi="Arial"/>
          <w:i/>
          <w:iCs/>
          <w:color w:val="4A5568"/>
          <w:sz w:val="18"/>
          <w:szCs w:val="18"/>
        </w:rPr>
        <w:t xml:space="preserve">Every amber and red metric, with the action being taken. For red breaches, say whether management proposes to bring the risk back within tolerance or seeks a formal, time-limited risk acceptance.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100"/>
        <w:gridCol w:w="3638"/>
      </w:tblGrid>
      <w:tr>
        <w:trPr>
          <w:tblHeader/>
        </w:trPr>
        <w:tc>
          <w:tcPr>
            <w:tcW w:type="dxa" w:w="25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Metric</w:t>
            </w:r>
          </w:p>
        </w:tc>
        <w:tc>
          <w:tcPr>
            <w:tcW w:type="dxa" w:w="12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Limit</w:t>
            </w:r>
          </w:p>
        </w:tc>
        <w:tc>
          <w:tcPr>
            <w:tcW w:type="dxa" w:w="12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Current</w:t>
            </w:r>
          </w:p>
        </w:tc>
        <w:tc>
          <w:tcPr>
            <w:tcW w:type="dxa" w:w="11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Status</w:t>
            </w:r>
          </w:p>
        </w:tc>
        <w:tc>
          <w:tcPr>
            <w:tcW w:type="dxa" w:w="3638"/>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Action, owner and date to return within appetite</w:t>
            </w:r>
          </w:p>
        </w:tc>
      </w:tr>
      <w:tr>
        <w:trPr>
          <w:cantSplit/>
        </w:trPr>
        <w:tc>
          <w:tcPr>
            <w:tcW w:type="dxa" w:w="25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1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6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5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1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6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5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1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6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5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1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6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bl>
    <w:p>
      <w:pPr>
        <w:pStyle w:val="Heading1"/>
        <w:spacing w:after="120" w:before="280"/>
      </w:pPr>
      <w:r>
        <w:rPr>
          <w:rFonts w:ascii="Arial" w:cs="Arial" w:eastAsia="Arial" w:hAnsi="Arial"/>
        </w:rPr>
        <w:t xml:space="preserve">4. Key and emerging risks</w:t>
      </w:r>
    </w:p>
    <w:p>
      <w:pPr>
        <w:spacing w:after="80"/>
      </w:pPr>
      <w:r>
        <w:rPr>
          <w:rFonts w:ascii="Arial" w:cs="Arial" w:eastAsia="Arial" w:hAnsi="Arial"/>
          <w:i/>
          <w:iCs/>
          <w:color w:val="4A5568"/>
          <w:sz w:val="18"/>
          <w:szCs w:val="18"/>
        </w:rPr>
        <w:t xml:space="preserve">The few risks the CRO considers most significant now, and emerging risks that may not yet be in the register (e.g. regulatory change, technology, market or climate developments). Explain the potential impact and what is being done to understand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238"/>
      </w:tblGrid>
      <w:tr>
        <w:trPr>
          <w:tblHeader/>
        </w:trPr>
        <w:tc>
          <w:tcPr>
            <w:tcW w:type="dxa" w:w="26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Risk</w:t>
            </w:r>
          </w:p>
        </w:tc>
        <w:tc>
          <w:tcPr>
            <w:tcW w:type="dxa" w:w="38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Why it matters now</w:t>
            </w:r>
          </w:p>
        </w:tc>
        <w:tc>
          <w:tcPr>
            <w:tcW w:type="dxa" w:w="3238"/>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Response</w:t>
            </w:r>
          </w:p>
        </w:tc>
      </w:tr>
      <w:tr>
        <w:trPr>
          <w:cantSplit/>
        </w:trPr>
        <w:tc>
          <w:tcPr>
            <w:tcW w:type="dxa" w:w="26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2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6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2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6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2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6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2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bl>
    <w:p>
      <w:pPr>
        <w:pStyle w:val="Heading1"/>
        <w:spacing w:after="120" w:before="280"/>
      </w:pPr>
      <w:r>
        <w:rPr>
          <w:rFonts w:ascii="Arial" w:cs="Arial" w:eastAsia="Arial" w:hAnsi="Arial"/>
        </w:rPr>
        <w:t xml:space="preserve">5. Incidents, breaches and remediation</w:t>
      </w:r>
    </w:p>
    <w:p>
      <w:pPr>
        <w:spacing w:after="80"/>
      </w:pPr>
      <w:r>
        <w:rPr>
          <w:rFonts w:ascii="Arial" w:cs="Arial" w:eastAsia="Arial" w:hAnsi="Arial"/>
          <w:i/>
          <w:iCs/>
          <w:color w:val="4A5568"/>
          <w:sz w:val="18"/>
          <w:szCs w:val="18"/>
        </w:rPr>
        <w:t xml:space="preserve">Material incidents in the period, breaches reported to regulators (with dates and whether lodged on time), and the status of customer or member remediation programs. Focus on themes and root causes, not just 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1700"/>
        <w:gridCol w:w="2238"/>
      </w:tblGrid>
      <w:tr>
        <w:trPr>
          <w:tblHeader/>
        </w:trPr>
        <w:tc>
          <w:tcPr>
            <w:tcW w:type="dxa" w:w="20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Matter</w:t>
            </w:r>
          </w:p>
        </w:tc>
        <w:tc>
          <w:tcPr>
            <w:tcW w:type="dxa" w:w="37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Summary and impact</w:t>
            </w:r>
          </w:p>
        </w:tc>
        <w:tc>
          <w:tcPr>
            <w:tcW w:type="dxa" w:w="17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Reported to (date)</w:t>
            </w:r>
          </w:p>
        </w:tc>
        <w:tc>
          <w:tcPr>
            <w:tcW w:type="dxa" w:w="2238"/>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Status and next steps</w:t>
            </w:r>
          </w:p>
        </w:tc>
      </w:tr>
      <w:tr>
        <w:trPr>
          <w:cantSplit/>
        </w:trPr>
        <w:tc>
          <w:tcPr>
            <w:tcW w:type="dxa" w:w="20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7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7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2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0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7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7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2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0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7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7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2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0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7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7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2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1100" w:hRule="atLeast"/>
        </w:trPr>
        <w:tc>
          <w:tcPr>
            <w:tcW w:type="dxa" w:w="26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Themes and root causes</w:t>
            </w:r>
          </w:p>
        </w:tc>
        <w:tc>
          <w:tcPr>
            <w:tcW w:type="dxa" w:w="70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iCs/>
                <w:color w:val="6B7280"/>
                <w:sz w:val="17"/>
                <w:szCs w:val="17"/>
              </w:rPr>
              <w:t xml:space="preserve">e.g. repeat causes across incidents, controls that failed, lessons applied elsewhere</w:t>
            </w:r>
          </w:p>
        </w:tc>
      </w:tr>
    </w:tbl>
    <w:p>
      <w:pPr>
        <w:pStyle w:val="Heading1"/>
        <w:spacing w:after="120" w:before="280"/>
      </w:pPr>
      <w:r>
        <w:rPr>
          <w:rFonts w:ascii="Arial" w:cs="Arial" w:eastAsia="Arial" w:hAnsi="Arial"/>
        </w:rPr>
        <w:t xml:space="preserve">6. Operational resilience and service providers</w:t>
      </w:r>
    </w:p>
    <w:p>
      <w:pPr>
        <w:spacing w:after="80"/>
      </w:pPr>
      <w:r>
        <w:rPr>
          <w:rFonts w:ascii="Arial" w:cs="Arial" w:eastAsia="Arial" w:hAnsi="Arial"/>
          <w:i/>
          <w:iCs/>
          <w:color w:val="4A5568"/>
          <w:sz w:val="18"/>
          <w:szCs w:val="18"/>
        </w:rPr>
        <w:t xml:space="preserve">For APRA-regulated entities under CPS 230: any disruption to critical operations and whether it stayed within tolerance levels, business continuity plan testing, and significant matters with material service providers (performance, new or changed arrangements, notifications to APRA).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1100" w:hRule="atLeast"/>
        </w:trPr>
        <w:tc>
          <w:tcPr>
            <w:tcW w:type="dxa" w:w="26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Critical operations disruptions</w:t>
            </w:r>
          </w:p>
        </w:tc>
        <w:tc>
          <w:tcPr>
            <w:tcW w:type="dxa" w:w="70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r>
        <w:trPr>
          <w:cantSplit/>
          <w:trHeight w:val="1100" w:hRule="atLeast"/>
        </w:trPr>
        <w:tc>
          <w:tcPr>
            <w:tcW w:type="dxa" w:w="26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Business continuity testing results</w:t>
            </w:r>
          </w:p>
        </w:tc>
        <w:tc>
          <w:tcPr>
            <w:tcW w:type="dxa" w:w="70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r>
        <w:trPr>
          <w:cantSplit/>
          <w:trHeight w:val="1100" w:hRule="atLeast"/>
        </w:trPr>
        <w:tc>
          <w:tcPr>
            <w:tcW w:type="dxa" w:w="26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Material service provider matters</w:t>
            </w:r>
          </w:p>
        </w:tc>
        <w:tc>
          <w:tcPr>
            <w:tcW w:type="dxa" w:w="70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bl>
    <w:p>
      <w:pPr>
        <w:pStyle w:val="Heading1"/>
        <w:spacing w:after="120" w:before="280"/>
      </w:pPr>
      <w:r>
        <w:rPr>
          <w:rFonts w:ascii="Arial" w:cs="Arial" w:eastAsia="Arial" w:hAnsi="Arial"/>
        </w:rPr>
        <w:t xml:space="preserve">7. Issues, actions and risk acceptances</w:t>
      </w:r>
    </w:p>
    <w:p>
      <w:pPr>
        <w:spacing w:after="80"/>
      </w:pPr>
      <w:r>
        <w:rPr>
          <w:rFonts w:ascii="Arial" w:cs="Arial" w:eastAsia="Arial" w:hAnsi="Arial"/>
          <w:i/>
          <w:iCs/>
          <w:color w:val="4A5568"/>
          <w:sz w:val="18"/>
          <w:szCs w:val="18"/>
        </w:rPr>
        <w:t xml:space="preserve">Overdue high-rated actions (from audits, reviews, incidents and regulators) and any risk acceptances that are active or expiring. Show ageing and repeat extensions.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1200"/>
        <w:gridCol w:w="1200"/>
        <w:gridCol w:w="2438"/>
      </w:tblGrid>
      <w:tr>
        <w:trPr>
          <w:tblHeader/>
        </w:trPr>
        <w:tc>
          <w:tcPr>
            <w:tcW w:type="dxa" w:w="26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Issue or action</w:t>
            </w:r>
          </w:p>
        </w:tc>
        <w:tc>
          <w:tcPr>
            <w:tcW w:type="dxa" w:w="12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Source</w:t>
            </w:r>
          </w:p>
        </w:tc>
        <w:tc>
          <w:tcPr>
            <w:tcW w:type="dxa" w:w="10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Rating</w:t>
            </w:r>
          </w:p>
        </w:tc>
        <w:tc>
          <w:tcPr>
            <w:tcW w:type="dxa" w:w="12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Original due</w:t>
            </w:r>
          </w:p>
        </w:tc>
        <w:tc>
          <w:tcPr>
            <w:tcW w:type="dxa" w:w="12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Current due</w:t>
            </w:r>
          </w:p>
        </w:tc>
        <w:tc>
          <w:tcPr>
            <w:tcW w:type="dxa" w:w="2438"/>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Owner and status</w:t>
            </w:r>
          </w:p>
        </w:tc>
      </w:tr>
      <w:tr>
        <w:trPr>
          <w:cantSplit/>
        </w:trPr>
        <w:tc>
          <w:tcPr>
            <w:tcW w:type="dxa" w:w="26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0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6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0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6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0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6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0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4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bl>
    <w:p>
      <w:pPr>
        <w:pStyle w:val="Heading1"/>
        <w:spacing w:after="120" w:before="280"/>
      </w:pPr>
      <w:r>
        <w:rPr>
          <w:rFonts w:ascii="Arial" w:cs="Arial" w:eastAsia="Arial" w:hAnsi="Arial"/>
        </w:rPr>
        <w:t xml:space="preserve">8. Regulatory matters</w:t>
      </w:r>
    </w:p>
    <w:p>
      <w:pPr>
        <w:spacing w:after="80"/>
      </w:pPr>
      <w:r>
        <w:rPr>
          <w:rFonts w:ascii="Arial" w:cs="Arial" w:eastAsia="Arial" w:hAnsi="Arial"/>
          <w:i/>
          <w:iCs/>
          <w:color w:val="4A5568"/>
          <w:sz w:val="18"/>
          <w:szCs w:val="18"/>
        </w:rPr>
        <w:t xml:space="preserve">Significant regulator engagement, requests and reviews; and regulatory change affecting the organisation, with implementation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800"/>
        <w:gridCol w:w="2338"/>
      </w:tblGrid>
      <w:tr>
        <w:trPr>
          <w:tblHeader/>
        </w:trPr>
        <w:tc>
          <w:tcPr>
            <w:tcW w:type="dxa" w:w="22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Matter</w:t>
            </w:r>
          </w:p>
        </w:tc>
        <w:tc>
          <w:tcPr>
            <w:tcW w:type="dxa" w:w="13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Regulator</w:t>
            </w:r>
          </w:p>
        </w:tc>
        <w:tc>
          <w:tcPr>
            <w:tcW w:type="dxa" w:w="3800"/>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Summary</w:t>
            </w:r>
          </w:p>
        </w:tc>
        <w:tc>
          <w:tcPr>
            <w:tcW w:type="dxa" w:w="2338"/>
            <w:tcBorders>
              <w:top w:val="single" w:color="C9D3E0" w:sz="4"/>
              <w:left w:val="single" w:color="C9D3E0" w:sz="4"/>
              <w:bottom w:val="single" w:color="C9D3E0" w:sz="4"/>
              <w:right w:val="single" w:color="C9D3E0" w:sz="4"/>
            </w:tcBorders>
            <w:shd w:fill="0F2942" w:color="auto" w:val="clear"/>
            <w:tcMar>
              <w:top w:type="dxa" w:w="60"/>
              <w:left w:type="dxa" w:w="100"/>
              <w:bottom w:type="dxa" w:w="60"/>
              <w:right w:type="dxa" w:w="100"/>
            </w:tcMar>
          </w:tcPr>
          <w:p>
            <w:pPr>
              <w:spacing w:after="40"/>
            </w:pPr>
            <w:r>
              <w:rPr>
                <w:rFonts w:ascii="Arial" w:cs="Arial" w:eastAsia="Arial" w:hAnsi="Arial"/>
                <w:b/>
                <w:bCs/>
                <w:i w:val="false"/>
                <w:iCs w:val="false"/>
                <w:color w:val="FFFFFF"/>
                <w:sz w:val="19"/>
                <w:szCs w:val="19"/>
              </w:rPr>
              <w:t xml:space="preserve">Status and key dates</w:t>
            </w:r>
          </w:p>
        </w:tc>
      </w:tr>
      <w:tr>
        <w:trPr>
          <w:cantSplit/>
        </w:trPr>
        <w:tc>
          <w:tcPr>
            <w:tcW w:type="dxa" w:w="2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3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3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3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3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r>
        <w:trPr>
          <w:cantSplit/>
        </w:trPr>
        <w:tc>
          <w:tcPr>
            <w:tcW w:type="dxa" w:w="22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13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3800"/>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c>
          <w:tcPr>
            <w:tcW w:type="dxa" w:w="23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7"/>
                <w:szCs w:val="17"/>
              </w:rPr>
              <w:t xml:space="preserve"/>
            </w:r>
          </w:p>
        </w:tc>
      </w:tr>
    </w:tbl>
    <w:p>
      <w:pPr>
        <w:pStyle w:val="Heading1"/>
        <w:spacing w:after="120" w:before="280"/>
      </w:pPr>
      <w:r>
        <w:rPr>
          <w:rFonts w:ascii="Arial" w:cs="Arial" w:eastAsia="Arial" w:hAnsi="Arial"/>
        </w:rPr>
        <w:t xml:space="preserve">9. Assurance and risk culture</w:t>
      </w:r>
    </w:p>
    <w:p>
      <w:pPr>
        <w:spacing w:after="80"/>
      </w:pPr>
      <w:r>
        <w:rPr>
          <w:rFonts w:ascii="Arial" w:cs="Arial" w:eastAsia="Arial" w:hAnsi="Arial"/>
          <w:i/>
          <w:iCs/>
          <w:color w:val="4A5568"/>
          <w:sz w:val="18"/>
          <w:szCs w:val="18"/>
        </w:rPr>
        <w:t xml:space="preserve">Key findings from internal audit, the second line and external reviews; and any insight on risk culture (e.g. speak-up data, survey results, behaviour observed in incidents).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1100" w:hRule="atLeast"/>
        </w:trPr>
        <w:tc>
          <w:tcPr>
            <w:tcW w:type="dxa" w:w="26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Assurance findings</w:t>
            </w:r>
          </w:p>
        </w:tc>
        <w:tc>
          <w:tcPr>
            <w:tcW w:type="dxa" w:w="70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r>
        <w:trPr>
          <w:cantSplit/>
          <w:trHeight w:val="1100" w:hRule="atLeast"/>
        </w:trPr>
        <w:tc>
          <w:tcPr>
            <w:tcW w:type="dxa" w:w="2600"/>
            <w:tcBorders>
              <w:top w:val="single" w:color="C9D3E0" w:sz="4"/>
              <w:left w:val="single" w:color="C9D3E0" w:sz="4"/>
              <w:bottom w:val="single" w:color="C9D3E0" w:sz="4"/>
              <w:right w:val="single" w:color="C9D3E0" w:sz="4"/>
            </w:tcBorders>
            <w:shd w:fill="EEF2F7" w:color="auto" w:val="clear"/>
            <w:tcMar>
              <w:top w:type="dxa" w:w="60"/>
              <w:left w:type="dxa" w:w="100"/>
              <w:bottom w:type="dxa" w:w="60"/>
              <w:right w:type="dxa" w:w="100"/>
            </w:tcMar>
          </w:tcPr>
          <w:p>
            <w:pPr>
              <w:spacing w:after="40"/>
            </w:pPr>
            <w:r>
              <w:rPr>
                <w:rFonts w:ascii="Arial" w:cs="Arial" w:eastAsia="Arial" w:hAnsi="Arial"/>
                <w:b/>
                <w:bCs/>
                <w:i w:val="false"/>
                <w:iCs w:val="false"/>
                <w:sz w:val="19"/>
                <w:szCs w:val="19"/>
              </w:rPr>
              <w:t xml:space="preserve">Risk culture observations</w:t>
            </w:r>
          </w:p>
        </w:tc>
        <w:tc>
          <w:tcPr>
            <w:tcW w:type="dxa" w:w="7038"/>
            <w:tcBorders>
              <w:top w:val="single" w:color="C9D3E0" w:sz="4"/>
              <w:left w:val="single" w:color="C9D3E0" w:sz="4"/>
              <w:bottom w:val="single" w:color="C9D3E0" w:sz="4"/>
              <w:right w:val="single" w:color="C9D3E0" w:sz="4"/>
            </w:tcBorders>
            <w:shd w:fill="FFF7D6" w:color="auto" w:val="clear"/>
            <w:tcMar>
              <w:top w:type="dxa" w:w="60"/>
              <w:left w:type="dxa" w:w="100"/>
              <w:bottom w:type="dxa" w:w="60"/>
              <w:right w:type="dxa" w:w="100"/>
            </w:tcMar>
          </w:tcPr>
          <w:p>
            <w:pPr>
              <w:spacing w:after="40"/>
            </w:pPr>
            <w:r>
              <w:rPr>
                <w:rFonts w:ascii="Arial" w:cs="Arial" w:eastAsia="Arial" w:hAnsi="Arial"/>
                <w:i w:val="false"/>
                <w:iCs w:val="false"/>
                <w:sz w:val="19"/>
                <w:szCs w:val="19"/>
              </w:rPr>
              <w:t xml:space="preserve"/>
            </w:r>
          </w:p>
        </w:tc>
      </w:tr>
    </w:tbl>
    <w:p>
      <w:pPr>
        <w:pStyle w:val="Heading1"/>
        <w:spacing w:after="120" w:before="280"/>
      </w:pPr>
      <w:r>
        <w:rPr>
          <w:rFonts w:ascii="Arial" w:cs="Arial" w:eastAsia="Arial" w:hAnsi="Arial"/>
        </w:rPr>
        <w:t xml:space="preserve">Appendices</w:t>
      </w:r>
    </w:p>
    <w:p>
      <w:pPr>
        <w:spacing w:after="80"/>
      </w:pPr>
      <w:r>
        <w:rPr>
          <w:rFonts w:ascii="Arial" w:cs="Arial" w:eastAsia="Arial" w:hAnsi="Arial"/>
          <w:i/>
          <w:iCs/>
          <w:color w:val="4A5568"/>
          <w:sz w:val="18"/>
          <w:szCs w:val="18"/>
        </w:rPr>
        <w:t xml:space="preserve">Suggested: full metric dashboard; risk register extract (high and extreme risks); incident and breach register extract; action tracker; glossary of terms used.</w:t>
      </w:r>
    </w:p>
    <w:p>
      <w:pPr>
        <w:spacing w:after="120"/>
      </w:pPr>
    </w:p>
    <w:p>
      <w:pPr>
        <w:spacing w:after="100"/>
        <w:rPr>
          <w:b/>
          <w:bCs/>
        </w:rPr>
      </w:pPr>
      <w:r>
        <w:rPr>
          <w:rFonts w:ascii="Arial" w:cs="Arial" w:eastAsia="Arial" w:hAnsi="Arial"/>
          <w:b/>
          <w:bCs/>
        </w:rPr>
        <w:t xml:space="preserve">Checklist before issuing this report</w:t>
      </w:r>
    </w:p>
    <w:p>
      <w:pPr>
        <w:pStyle w:val="ListParagraph"/>
        <w:numPr>
          <w:ilvl w:val="0"/>
          <w:numId w:val="2"/>
        </w:numPr>
        <w:spacing w:after="60"/>
      </w:pPr>
      <w:r>
        <w:rPr>
          <w:rFonts w:ascii="Arial" w:cs="Arial" w:eastAsia="Arial" w:hAnsi="Arial"/>
          <w:sz w:val="20"/>
          <w:szCs w:val="20"/>
        </w:rPr>
        <w:t xml:space="preserve">Does the summary give the CRO's own view, including concerns?</w:t>
      </w:r>
    </w:p>
    <w:p>
      <w:pPr>
        <w:pStyle w:val="ListParagraph"/>
        <w:numPr>
          <w:ilvl w:val="0"/>
          <w:numId w:val="2"/>
        </w:numPr>
        <w:spacing w:after="60"/>
      </w:pPr>
      <w:r>
        <w:rPr>
          <w:rFonts w:ascii="Arial" w:cs="Arial" w:eastAsia="Arial" w:hAnsi="Arial"/>
          <w:sz w:val="20"/>
          <w:szCs w:val="20"/>
        </w:rPr>
        <w:t xml:space="preserve">Is every red and amber metric explained, with an owner and date?</w:t>
      </w:r>
    </w:p>
    <w:p>
      <w:pPr>
        <w:pStyle w:val="ListParagraph"/>
        <w:numPr>
          <w:ilvl w:val="0"/>
          <w:numId w:val="2"/>
        </w:numPr>
        <w:spacing w:after="60"/>
      </w:pPr>
      <w:r>
        <w:rPr>
          <w:rFonts w:ascii="Arial" w:cs="Arial" w:eastAsia="Arial" w:hAnsi="Arial"/>
          <w:sz w:val="20"/>
          <w:szCs w:val="20"/>
        </w:rPr>
        <w:t xml:space="preserve">Are decisions requested clearly stated at the front?</w:t>
      </w:r>
    </w:p>
    <w:p>
      <w:pPr>
        <w:pStyle w:val="ListParagraph"/>
        <w:numPr>
          <w:ilvl w:val="0"/>
          <w:numId w:val="2"/>
        </w:numPr>
        <w:spacing w:after="60"/>
      </w:pPr>
      <w:r>
        <w:rPr>
          <w:rFonts w:ascii="Arial" w:cs="Arial" w:eastAsia="Arial" w:hAnsi="Arial"/>
          <w:sz w:val="20"/>
          <w:szCs w:val="20"/>
        </w:rPr>
        <w:t xml:space="preserve">Would a director reading only the first two pages know what matters most?</w:t>
      </w:r>
    </w:p>
    <w:p>
      <w:pPr>
        <w:pStyle w:val="ListParagraph"/>
        <w:numPr>
          <w:ilvl w:val="0"/>
          <w:numId w:val="2"/>
        </w:numPr>
        <w:spacing w:after="60"/>
      </w:pPr>
      <w:r>
        <w:rPr>
          <w:rFonts w:ascii="Arial" w:cs="Arial" w:eastAsia="Arial" w:hAnsi="Arial"/>
          <w:sz w:val="20"/>
          <w:szCs w:val="20"/>
        </w:rPr>
        <w:t xml:space="preserve">Are data sources and any data quality limitations noted?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4A5568"/>
        <w:sz w:val="14"/>
        <w:szCs w:val="14"/>
      </w:rPr>
      <w:t xml:space="preserve">Template from RiskLens Australia (general educational information only; not legal, financial or compliance advice). Adapt to your organisation's policies and obligations.</w:t>
    </w:r>
  </w:p>
  <w:p>
    <w:pPr>
      <w:jc w:val="right"/>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A5568"/>
        <w:sz w:val="16"/>
        <w:szCs w:val="16"/>
      </w:rPr>
      <w:t xml:space="preserve">CONFIDENTIAL · Board risk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F2942"/>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F294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risk report template</dc:title>
  <dc:creator>RiskLens Australia</dc:creator>
  <dc:description>Free board risk report template from RiskLens Australia</dc:description>
  <cp:lastModifiedBy>Un-named</cp:lastModifiedBy>
  <cp:revision>1</cp:revision>
  <dcterms:created xsi:type="dcterms:W3CDTF">2026-09-28T05:50:08.073Z</dcterms:created>
  <dcterms:modified xsi:type="dcterms:W3CDTF">2026-09-28T05:50:08.073Z</dcterms:modified>
</cp:coreProperties>
</file>

<file path=docProps/custom.xml><?xml version="1.0" encoding="utf-8"?>
<Properties xmlns="http://schemas.openxmlformats.org/officeDocument/2006/custom-properties" xmlns:vt="http://schemas.openxmlformats.org/officeDocument/2006/docPropsVTypes"/>
</file>