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2942"/>
          <w:sz w:val="40"/>
          <w:szCs w:val="40"/>
        </w:rPr>
        <w:t xml:space="preserve">Risk appetite statement</w:t>
      </w:r>
    </w:p>
    <w:p>
      <w:pPr>
        <w:spacing w:after="200"/>
      </w:pPr>
      <w:r>
        <w:rPr>
          <w:rFonts w:ascii="Arial" w:cs="Arial" w:eastAsia="Arial" w:hAnsi="Arial"/>
          <w:i/>
          <w:iCs/>
          <w:color w:val="4A5568"/>
          <w:sz w:val="18"/>
          <w:szCs w:val="18"/>
        </w:rPr>
        <w:t xml:space="preserve">Harbourside Super (a fictional fund) · Example for learning · Template version 1.0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Read this first</w:t>
            </w:r>
          </w:p>
        </w:tc>
      </w:tr>
      <w:tr>
        <w:trPr>
          <w:cantSplit/>
        </w:trPr>
        <w:tc>
          <w:tcPr>
            <w:tcW w:type="dxa" w:w="96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This is a fictional, simplified example written for education by RiskLens Australia. Harbourside Super does not exist. The metrics and thresholds are illustrative, not benchmarks or recommendations. A real statement must be built from the organisation's own strategy, risk profile, data and obligations (for APRA-regulated super trustees, including SPS 220 Risk Management) and approved by its board. Background: https://hayesskvaril-ctrl.github.io/risk-management/risk-appetite-and-tolerance.html</w:t>
            </w:r>
          </w:p>
        </w:tc>
      </w:tr>
    </w:tbl>
    <w:p>
      <w:pPr>
        <w:pStyle w:val="Heading1"/>
        <w:spacing w:after="120" w:before="280"/>
      </w:pPr>
      <w:r>
        <w:rPr>
          <w:rFonts w:ascii="Arial" w:cs="Arial" w:eastAsia="Arial" w:hAnsi="Arial"/>
        </w:rPr>
        <w:t xml:space="preserve">1. Purpose</w:t>
      </w:r>
    </w:p>
    <w:p>
      <w:pPr>
        <w:spacing w:after="100"/>
      </w:pPr>
      <w:r>
        <w:rPr>
          <w:rFonts w:ascii="Arial" w:cs="Arial" w:eastAsia="Arial" w:hAnsi="Arial"/>
        </w:rPr>
        <w:t xml:space="preserve">This statement sets out the types and amount of risk the Board of Harbourside Super's trustee is willing to accept in pursuing the fund's strategy, always in the best financial interests of members. It sets a risk tolerance, expressed as measurable limits, for each material risk, and explains how the Board and management monitor the risk profile and respond when a limit is breached.</w:t>
      </w:r>
    </w:p>
    <w:p>
      <w:pPr>
        <w:spacing w:after="100"/>
      </w:pPr>
      <w:r>
        <w:rPr>
          <w:rFonts w:ascii="Arial" w:cs="Arial" w:eastAsia="Arial" w:hAnsi="Arial"/>
        </w:rPr>
        <w:t xml:space="preserve">It applies to the trustee, the fund and all activities performed on the fund's behalf, including by service providers.</w:t>
      </w:r>
    </w:p>
    <w:p>
      <w:pPr>
        <w:pStyle w:val="Heading1"/>
        <w:spacing w:after="120" w:before="280"/>
      </w:pPr>
      <w:r>
        <w:rPr>
          <w:rFonts w:ascii="Arial" w:cs="Arial" w:eastAsia="Arial" w:hAnsi="Arial"/>
        </w:rPr>
        <w:t xml:space="preserve">2. Strategy and context</w:t>
      </w:r>
    </w:p>
    <w:p>
      <w:pPr>
        <w:spacing w:after="100"/>
      </w:pPr>
      <w:r>
        <w:rPr>
          <w:rFonts w:ascii="Arial" w:cs="Arial" w:eastAsia="Arial" w:hAnsi="Arial"/>
        </w:rPr>
        <w:t xml:space="preserve">Harbourside Super is a profit-to-member fund with about 180,000 members and $22 billion in assets (fictional figures). Its strategy over the next three years is to:</w:t>
      </w:r>
    </w:p>
    <w:p>
      <w:pPr>
        <w:pStyle w:val="ListParagraph"/>
        <w:numPr>
          <w:ilvl w:val="0"/>
          <w:numId w:val="2"/>
        </w:numPr>
        <w:spacing w:after="60"/>
      </w:pPr>
      <w:r>
        <w:rPr>
          <w:rFonts w:ascii="Arial" w:cs="Arial" w:eastAsia="Arial" w:hAnsi="Arial"/>
          <w:sz w:val="20"/>
          <w:szCs w:val="20"/>
        </w:rPr>
        <w:t xml:space="preserve">deliver strong long-term net returns against each investment option's objective</w:t>
      </w:r>
    </w:p>
    <w:p>
      <w:pPr>
        <w:pStyle w:val="ListParagraph"/>
        <w:numPr>
          <w:ilvl w:val="0"/>
          <w:numId w:val="2"/>
        </w:numPr>
        <w:spacing w:after="60"/>
      </w:pPr>
      <w:r>
        <w:rPr>
          <w:rFonts w:ascii="Arial" w:cs="Arial" w:eastAsia="Arial" w:hAnsi="Arial"/>
          <w:sz w:val="20"/>
          <w:szCs w:val="20"/>
        </w:rPr>
        <w:t xml:space="preserve">improve retirement outcomes, including better help for members approaching and in retirement</w:t>
      </w:r>
    </w:p>
    <w:p>
      <w:pPr>
        <w:pStyle w:val="ListParagraph"/>
        <w:numPr>
          <w:ilvl w:val="0"/>
          <w:numId w:val="2"/>
        </w:numPr>
        <w:spacing w:after="60"/>
      </w:pPr>
      <w:r>
        <w:rPr>
          <w:rFonts w:ascii="Arial" w:cs="Arial" w:eastAsia="Arial" w:hAnsi="Arial"/>
          <w:sz w:val="20"/>
          <w:szCs w:val="20"/>
        </w:rPr>
        <w:t xml:space="preserve">modernise member administration and digital services through a new administration platform</w:t>
      </w:r>
    </w:p>
    <w:p>
      <w:pPr>
        <w:pStyle w:val="ListParagraph"/>
        <w:numPr>
          <w:ilvl w:val="0"/>
          <w:numId w:val="2"/>
        </w:numPr>
        <w:spacing w:after="60"/>
      </w:pPr>
      <w:r>
        <w:rPr>
          <w:rFonts w:ascii="Arial" w:cs="Arial" w:eastAsia="Arial" w:hAnsi="Arial"/>
          <w:sz w:val="20"/>
          <w:szCs w:val="20"/>
        </w:rPr>
        <w:t xml:space="preserve">maintain low, fair fees, and scale through organic growth and a possible merger.</w:t>
      </w:r>
    </w:p>
    <w:p>
      <w:pPr>
        <w:spacing w:after="100"/>
      </w:pPr>
      <w:r>
        <w:rPr>
          <w:rFonts w:ascii="Arial" w:cs="Arial" w:eastAsia="Arial" w:hAnsi="Arial"/>
        </w:rPr>
        <w:t xml:space="preserve">To achieve this strategy the Board accepts investment risk, and a measured level of change and project risk. It has little or no appetite for risks that could harm members through error, misconduct, disruption or loss of their information.</w:t>
      </w:r>
    </w:p>
    <w:p>
      <w:pPr>
        <w:pStyle w:val="Heading1"/>
        <w:spacing w:after="120" w:before="280"/>
      </w:pPr>
      <w:r>
        <w:rPr>
          <w:rFonts w:ascii="Arial" w:cs="Arial" w:eastAsia="Arial" w:hAnsi="Arial"/>
        </w:rPr>
        <w:t xml:space="preserve">3. Risk capacity</w:t>
      </w:r>
    </w:p>
    <w:p>
      <w:pPr>
        <w:spacing w:after="100"/>
      </w:pPr>
      <w:r>
        <w:rPr>
          <w:rFonts w:ascii="Arial" w:cs="Arial" w:eastAsia="Arial" w:hAnsi="Arial"/>
        </w:rPr>
        <w:t xml:space="preserve">The trustee's risk capacity is the most risk it could bear before it could no longer protect members' interests or meet its obligations. Examples include: being unable to pay benefits, rollovers or switches when due; operational risk losses exceeding the operational risk financial requirement (ORFR) reserve; failing the annual performance test for a MySuper product; or losing a licence condition. Tolerances in this statement are set well inside that capacity.</w:t>
      </w:r>
    </w:p>
    <w:p>
      <w:pPr>
        <w:pStyle w:val="Heading1"/>
        <w:spacing w:after="120" w:before="280"/>
      </w:pPr>
      <w:r>
        <w:rPr>
          <w:rFonts w:ascii="Arial" w:cs="Arial" w:eastAsia="Arial" w:hAnsi="Arial"/>
        </w:rPr>
        <w:t xml:space="preserve">4. Overall principles</w:t>
      </w:r>
    </w:p>
    <w:p>
      <w:pPr>
        <w:pStyle w:val="ListParagraph"/>
        <w:numPr>
          <w:ilvl w:val="0"/>
          <w:numId w:val="2"/>
        </w:numPr>
        <w:spacing w:after="60"/>
      </w:pPr>
      <w:r>
        <w:rPr>
          <w:rFonts w:ascii="Arial" w:cs="Arial" w:eastAsia="Arial" w:hAnsi="Arial"/>
          <w:sz w:val="20"/>
          <w:szCs w:val="20"/>
        </w:rPr>
        <w:t xml:space="preserve">Members first: we take risk only where it is in members' best financial interests.</w:t>
      </w:r>
    </w:p>
    <w:p>
      <w:pPr>
        <w:pStyle w:val="ListParagraph"/>
        <w:numPr>
          <w:ilvl w:val="0"/>
          <w:numId w:val="2"/>
        </w:numPr>
        <w:spacing w:after="60"/>
      </w:pPr>
      <w:r>
        <w:rPr>
          <w:rFonts w:ascii="Arial" w:cs="Arial" w:eastAsia="Arial" w:hAnsi="Arial"/>
          <w:sz w:val="20"/>
          <w:szCs w:val="20"/>
        </w:rPr>
        <w:t xml:space="preserve">No appetite for deliberate or reckless breaches of the law, or for conduct that is dishonest or unfair to members.</w:t>
      </w:r>
    </w:p>
    <w:p>
      <w:pPr>
        <w:pStyle w:val="ListParagraph"/>
        <w:numPr>
          <w:ilvl w:val="0"/>
          <w:numId w:val="2"/>
        </w:numPr>
        <w:spacing w:after="60"/>
      </w:pPr>
      <w:r>
        <w:rPr>
          <w:rFonts w:ascii="Arial" w:cs="Arial" w:eastAsia="Arial" w:hAnsi="Arial"/>
          <w:sz w:val="20"/>
          <w:szCs w:val="20"/>
        </w:rPr>
        <w:t xml:space="preserve">Low appetite for errors, disruption and data loss, recognising they cannot be eliminated. We aim to prevent them, find them quickly and fix them fully, including remediating affected members.</w:t>
      </w:r>
    </w:p>
    <w:p>
      <w:pPr>
        <w:pStyle w:val="ListParagraph"/>
        <w:numPr>
          <w:ilvl w:val="0"/>
          <w:numId w:val="2"/>
        </w:numPr>
        <w:spacing w:after="60"/>
      </w:pPr>
      <w:r>
        <w:rPr>
          <w:rFonts w:ascii="Arial" w:cs="Arial" w:eastAsia="Arial" w:hAnsi="Arial"/>
          <w:sz w:val="20"/>
          <w:szCs w:val="20"/>
        </w:rPr>
        <w:t xml:space="preserve">Risks we accept must be understood, owned, measured and within limits.</w:t>
      </w:r>
    </w:p>
    <w:p>
      <w:pPr>
        <w:pStyle w:val="ListParagraph"/>
        <w:numPr>
          <w:ilvl w:val="0"/>
          <w:numId w:val="2"/>
        </w:numPr>
        <w:spacing w:after="60"/>
      </w:pPr>
      <w:r>
        <w:rPr>
          <w:rFonts w:ascii="Arial" w:cs="Arial" w:eastAsia="Arial" w:hAnsi="Arial"/>
          <w:sz w:val="20"/>
          <w:szCs w:val="20"/>
        </w:rPr>
        <w:t xml:space="preserve">A limit breach is escalated and acted on, never ignored or quietly redefined.</w:t>
      </w:r>
    </w:p>
    <w:p>
      <w:pPr>
        <w:pStyle w:val="Heading1"/>
        <w:spacing w:after="120" w:before="280"/>
      </w:pPr>
      <w:r>
        <w:rPr>
          <w:rFonts w:ascii="Arial" w:cs="Arial" w:eastAsia="Arial" w:hAnsi="Arial"/>
        </w:rPr>
        <w:t xml:space="preserve">5. Appetite for each material risk</w:t>
      </w:r>
    </w:p>
    <w:p>
      <w:pPr>
        <w:spacing w:after="80"/>
      </w:pPr>
      <w:r>
        <w:rPr>
          <w:rFonts w:ascii="Arial" w:cs="Arial" w:eastAsia="Arial" w:hAnsi="Arial"/>
          <w:i/>
          <w:iCs/>
          <w:color w:val="4A5568"/>
          <w:sz w:val="18"/>
          <w:szCs w:val="18"/>
        </w:rPr>
        <w:t xml:space="preserve">Scale used in this example: None (we will not accept it) · Low · Moderate · High. Each metric has a green zone (within appetite), an amber trigger (early warning; management action) and a red limit (the Board's tolerance; escalation required).</w:t>
      </w:r>
    </w:p>
    <w:p>
      <w:pPr>
        <w:pStyle w:val="Heading2"/>
        <w:spacing w:after="80" w:before="200"/>
      </w:pPr>
      <w:r>
        <w:rPr>
          <w:rFonts w:ascii="Arial" w:cs="Arial" w:eastAsia="Arial" w:hAnsi="Arial"/>
        </w:rPr>
        <w:t xml:space="preserve">5.1 Investment</w:t>
      </w:r>
    </w:p>
    <w:p>
      <w:pPr>
        <w:spacing w:after="100"/>
        <w:rPr>
          <w:b/>
          <w:bCs/>
        </w:rPr>
      </w:pPr>
      <w:r>
        <w:rPr>
          <w:rFonts w:ascii="Arial" w:cs="Arial" w:eastAsia="Arial" w:hAnsi="Arial"/>
          <w:b/>
          <w:bCs/>
        </w:rPr>
        <w:t xml:space="preserve">Appetite: Moderate to High (by option)</w:t>
      </w:r>
    </w:p>
    <w:p>
      <w:pPr>
        <w:spacing w:after="100"/>
      </w:pPr>
      <w:r>
        <w:rPr>
          <w:rFonts w:ascii="Arial" w:cs="Arial" w:eastAsia="Arial" w:hAnsi="Arial"/>
        </w:rPr>
        <w:t xml:space="preserve">We accept investment market risk to deliver long-term returns in line with each option's return objective and risk level. We have low appetite for investment decisions that are not supported by evidence, diversification and value for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80"/>
        <w:gridCol w:w="1879"/>
        <w:gridCol w:w="1879"/>
      </w:tblGrid>
      <w:tr>
        <w:trPr>
          <w:tblHeader/>
        </w:trPr>
        <w:tc>
          <w:tcPr>
            <w:tcW w:type="dxa" w:w="4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Metric</w:t>
            </w:r>
          </w:p>
        </w:tc>
        <w:tc>
          <w:tcPr>
            <w:tcW w:type="dxa" w:w="188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Within appetite (green)</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Trigger (amber)</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Limit (red)</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Rolling 10-year net return vs option objective</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At or above objective</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Up to 0.5% p.a. below</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More than 1.0% p.a. below</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MySuper product: projected margin above the annual performance test failure threshold</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More than 0.5% p.a. above</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0 to 0.5% p.a. above</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Below the threshold (projected fail)</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Unlisted assets as % of each diversified option</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Within strategic range</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Within 2 points of range limit</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Outside the range</w:t>
            </w:r>
          </w:p>
        </w:tc>
      </w:tr>
    </w:tbl>
    <w:p>
      <w:pPr>
        <w:spacing w:after="120"/>
      </w:pPr>
    </w:p>
    <w:p>
      <w:pPr>
        <w:pStyle w:val="Heading2"/>
        <w:spacing w:after="80" w:before="200"/>
      </w:pPr>
      <w:r>
        <w:rPr>
          <w:rFonts w:ascii="Arial" w:cs="Arial" w:eastAsia="Arial" w:hAnsi="Arial"/>
        </w:rPr>
        <w:t xml:space="preserve">5.2 Liquidity</w:t>
      </w:r>
    </w:p>
    <w:p>
      <w:pPr>
        <w:spacing w:after="100"/>
        <w:rPr>
          <w:b/>
          <w:bCs/>
        </w:rPr>
      </w:pPr>
      <w:r>
        <w:rPr>
          <w:rFonts w:ascii="Arial" w:cs="Arial" w:eastAsia="Arial" w:hAnsi="Arial"/>
          <w:b/>
          <w:bCs/>
        </w:rPr>
        <w:t xml:space="preserve">Appetite: Low</w:t>
      </w:r>
    </w:p>
    <w:p>
      <w:pPr>
        <w:spacing w:after="100"/>
      </w:pPr>
      <w:r>
        <w:rPr>
          <w:rFonts w:ascii="Arial" w:cs="Arial" w:eastAsia="Arial" w:hAnsi="Arial"/>
        </w:rPr>
        <w:t xml:space="preserve">We must always be able to pay benefits, rollovers and switches when due, including in severe but plausible stress, without forced sales that harm remaining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80"/>
        <w:gridCol w:w="1879"/>
        <w:gridCol w:w="1879"/>
      </w:tblGrid>
      <w:tr>
        <w:trPr>
          <w:tblHeader/>
        </w:trPr>
        <w:tc>
          <w:tcPr>
            <w:tcW w:type="dxa" w:w="4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Metric</w:t>
            </w:r>
          </w:p>
        </w:tc>
        <w:tc>
          <w:tcPr>
            <w:tcW w:type="dxa" w:w="188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Within appetite (green)</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Trigger (amber)</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Limit (red)</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Liquid assets under severe stress scenario vs projected 90-day outflows</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At or above 150%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120% to 150%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Below 120%</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Days to fund projected rollovers from cash and cash-equivalent assets</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More than 30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15 to 30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Fewer than 15</w:t>
            </w:r>
          </w:p>
        </w:tc>
      </w:tr>
    </w:tbl>
    <w:p>
      <w:pPr>
        <w:spacing w:after="120"/>
      </w:pPr>
    </w:p>
    <w:p>
      <w:pPr>
        <w:pStyle w:val="Heading2"/>
        <w:spacing w:after="80" w:before="200"/>
      </w:pPr>
      <w:r>
        <w:rPr>
          <w:rFonts w:ascii="Arial" w:cs="Arial" w:eastAsia="Arial" w:hAnsi="Arial"/>
        </w:rPr>
        <w:t xml:space="preserve">5.3 Member administration and operations</w:t>
      </w:r>
    </w:p>
    <w:p>
      <w:pPr>
        <w:spacing w:after="100"/>
        <w:rPr>
          <w:b/>
          <w:bCs/>
        </w:rPr>
      </w:pPr>
      <w:r>
        <w:rPr>
          <w:rFonts w:ascii="Arial" w:cs="Arial" w:eastAsia="Arial" w:hAnsi="Arial"/>
          <w:b/>
          <w:bCs/>
        </w:rPr>
        <w:t xml:space="preserve">Appetite: Low</w:t>
      </w:r>
    </w:p>
    <w:p>
      <w:pPr>
        <w:spacing w:after="100"/>
      </w:pPr>
      <w:r>
        <w:rPr>
          <w:rFonts w:ascii="Arial" w:cs="Arial" w:eastAsia="Arial" w:hAnsi="Arial"/>
        </w:rPr>
        <w:t xml:space="preserve">We have low appetite for errors or delays that affect members' balances, payments or insurance, and no appetite for leaving known errors unremediated.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80"/>
        <w:gridCol w:w="1879"/>
        <w:gridCol w:w="1879"/>
      </w:tblGrid>
      <w:tr>
        <w:trPr>
          <w:tblHeader/>
        </w:trPr>
        <w:tc>
          <w:tcPr>
            <w:tcW w:type="dxa" w:w="4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Metric</w:t>
            </w:r>
          </w:p>
        </w:tc>
        <w:tc>
          <w:tcPr>
            <w:tcW w:type="dxa" w:w="188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Within appetite (green)</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Trigger (amber)</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Limit (red)</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Unallocated contributions older than 3 business days</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Fewer than 200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200 to 500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More than 500</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Benefit payments made outside service standard</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Below 2%</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2% to 5%</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Above 5%</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Open member-impacting incidents older than 90 days without an agreed remediation plan</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 to 2</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3 or more</w:t>
            </w:r>
          </w:p>
        </w:tc>
      </w:tr>
    </w:tbl>
    <w:p>
      <w:pPr>
        <w:spacing w:after="120"/>
      </w:pPr>
    </w:p>
    <w:p>
      <w:pPr>
        <w:pStyle w:val="Heading2"/>
        <w:spacing w:after="80" w:before="200"/>
      </w:pPr>
      <w:r>
        <w:rPr>
          <w:rFonts w:ascii="Arial" w:cs="Arial" w:eastAsia="Arial" w:hAnsi="Arial"/>
        </w:rPr>
        <w:t xml:space="preserve">5.4 Compliance and conduct</w:t>
      </w:r>
    </w:p>
    <w:p>
      <w:pPr>
        <w:spacing w:after="100"/>
        <w:rPr>
          <w:b/>
          <w:bCs/>
        </w:rPr>
      </w:pPr>
      <w:r>
        <w:rPr>
          <w:rFonts w:ascii="Arial" w:cs="Arial" w:eastAsia="Arial" w:hAnsi="Arial"/>
          <w:b/>
          <w:bCs/>
        </w:rPr>
        <w:t xml:space="preserve">Appetite: None for deliberate breaches; Low for others</w:t>
      </w:r>
    </w:p>
    <w:p>
      <w:pPr>
        <w:spacing w:after="100"/>
      </w:pPr>
      <w:r>
        <w:rPr>
          <w:rFonts w:ascii="Arial" w:cs="Arial" w:eastAsia="Arial" w:hAnsi="Arial"/>
        </w:rPr>
        <w:t xml:space="preserve">We have no appetite for deliberate or reckless breaches of the law or of our duties to members. We have low tolerance for any breach that harms members, and we report breaches to regulators on time.</w:t>
      </w:r>
    </w:p>
    <w:p>
      <w:pPr>
        <w:spacing w:after="80"/>
      </w:pPr>
      <w:r>
        <w:rPr>
          <w:rFonts w:ascii="Arial" w:cs="Arial" w:eastAsia="Arial" w:hAnsi="Arial"/>
          <w:i/>
          <w:iCs/>
          <w:color w:val="4A5568"/>
          <w:sz w:val="18"/>
          <w:szCs w:val="18"/>
        </w:rPr>
        <w:t xml:space="preserve">Where a metric has no amber zone, any occurrence goes straight to 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80"/>
        <w:gridCol w:w="1879"/>
        <w:gridCol w:w="1879"/>
      </w:tblGrid>
      <w:tr>
        <w:trPr>
          <w:tblHeader/>
        </w:trPr>
        <w:tc>
          <w:tcPr>
            <w:tcW w:type="dxa" w:w="4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Metric</w:t>
            </w:r>
          </w:p>
        </w:tc>
        <w:tc>
          <w:tcPr>
            <w:tcW w:type="dxa" w:w="188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Within appetite (green)</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Trigger (amber)</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Limit (red)</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Reportable situations lodged with ASIC after the deadline</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Any at risk of being late</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 or more late</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Significant breaches in the rolling 12 months</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0 to 2</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3 to 4</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5 or more</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Complaints not resolved within the maximum IDR timeframe</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Below 2%</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2% to 5%</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Above 5%</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Marketing materials issued without compliance review</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Not used (any is a breach)</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 or more</w:t>
            </w:r>
          </w:p>
        </w:tc>
      </w:tr>
    </w:tbl>
    <w:p>
      <w:pPr>
        <w:spacing w:after="120"/>
      </w:pPr>
    </w:p>
    <w:p>
      <w:pPr>
        <w:pStyle w:val="Heading2"/>
        <w:spacing w:after="80" w:before="200"/>
      </w:pPr>
      <w:r>
        <w:rPr>
          <w:rFonts w:ascii="Arial" w:cs="Arial" w:eastAsia="Arial" w:hAnsi="Arial"/>
        </w:rPr>
        <w:t xml:space="preserve">5.5 Operational resilience and critical operations (CPS 230)</w:t>
      </w:r>
    </w:p>
    <w:p>
      <w:pPr>
        <w:spacing w:after="100"/>
        <w:rPr>
          <w:b/>
          <w:bCs/>
        </w:rPr>
      </w:pPr>
      <w:r>
        <w:rPr>
          <w:rFonts w:ascii="Arial" w:cs="Arial" w:eastAsia="Arial" w:hAnsi="Arial"/>
          <w:b/>
          <w:bCs/>
        </w:rPr>
        <w:t xml:space="preserve">Appetite: Low</w:t>
      </w:r>
    </w:p>
    <w:p>
      <w:pPr>
        <w:spacing w:after="100"/>
      </w:pPr>
      <w:r>
        <w:rPr>
          <w:rFonts w:ascii="Arial" w:cs="Arial" w:eastAsia="Arial" w:hAnsi="Arial"/>
        </w:rPr>
        <w:t xml:space="preserve">We have low appetite for disruption to critical operations. We will not operate outside the tolerance levels the Board has approved for each critical operation.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80"/>
        <w:gridCol w:w="1879"/>
        <w:gridCol w:w="1879"/>
      </w:tblGrid>
      <w:tr>
        <w:trPr>
          <w:tblHeader/>
        </w:trPr>
        <w:tc>
          <w:tcPr>
            <w:tcW w:type="dxa" w:w="4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Metric</w:t>
            </w:r>
          </w:p>
        </w:tc>
        <w:tc>
          <w:tcPr>
            <w:tcW w:type="dxa" w:w="188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Within appetite (green)</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Trigger (amber)</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Limit (red)</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Disruption to a critical operation vs its approved tolerance level</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No disruption beyond 50% of tolerance</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Disruption beyond 50% of tolerance</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Tolerance level breached</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Business continuity plan tests completed on schedule</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100%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90% to 99%</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Below 90%</w:t>
            </w:r>
          </w:p>
        </w:tc>
      </w:tr>
    </w:tbl>
    <w:p>
      <w:pPr>
        <w:spacing w:after="120"/>
      </w:pPr>
    </w:p>
    <w:p>
      <w:pPr>
        <w:pStyle w:val="Heading2"/>
        <w:spacing w:after="80" w:before="200"/>
      </w:pPr>
      <w:r>
        <w:rPr>
          <w:rFonts w:ascii="Arial" w:cs="Arial" w:eastAsia="Arial" w:hAnsi="Arial"/>
        </w:rPr>
        <w:t xml:space="preserve">5.6 Cyber and information security</w:t>
      </w:r>
    </w:p>
    <w:p>
      <w:pPr>
        <w:spacing w:after="100"/>
        <w:rPr>
          <w:b/>
          <w:bCs/>
        </w:rPr>
      </w:pPr>
      <w:r>
        <w:rPr>
          <w:rFonts w:ascii="Arial" w:cs="Arial" w:eastAsia="Arial" w:hAnsi="Arial"/>
          <w:b/>
          <w:bCs/>
        </w:rPr>
        <w:t xml:space="preserve">Appetite: Very low</w:t>
      </w:r>
    </w:p>
    <w:p>
      <w:pPr>
        <w:spacing w:after="100"/>
      </w:pPr>
      <w:r>
        <w:rPr>
          <w:rFonts w:ascii="Arial" w:cs="Arial" w:eastAsia="Arial" w:hAnsi="Arial"/>
        </w:rPr>
        <w:t xml:space="preserve">We have very low appetite for loss, theft or misuse of member data, or for loss of critical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80"/>
        <w:gridCol w:w="1879"/>
        <w:gridCol w:w="1879"/>
      </w:tblGrid>
      <w:tr>
        <w:trPr>
          <w:tblHeader/>
        </w:trPr>
        <w:tc>
          <w:tcPr>
            <w:tcW w:type="dxa" w:w="4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Metric</w:t>
            </w:r>
          </w:p>
        </w:tc>
        <w:tc>
          <w:tcPr>
            <w:tcW w:type="dxa" w:w="188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Within appetite (green)</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Trigger (amber)</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Limit (red)</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Critical security patches overdue</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5 or fewer</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6 to 10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More than 10, or any over 30 days</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Staff completing phishing simulation without reporting (click rate)</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Below 5%</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5% to 10%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Above 10%</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Material information security incidents</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Not used (any is red)</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 or more</w:t>
            </w:r>
          </w:p>
        </w:tc>
      </w:tr>
    </w:tbl>
    <w:p>
      <w:pPr>
        <w:spacing w:after="120"/>
      </w:pPr>
    </w:p>
    <w:p>
      <w:pPr>
        <w:pStyle w:val="Heading2"/>
        <w:spacing w:after="80" w:before="200"/>
      </w:pPr>
      <w:r>
        <w:rPr>
          <w:rFonts w:ascii="Arial" w:cs="Arial" w:eastAsia="Arial" w:hAnsi="Arial"/>
        </w:rPr>
        <w:t xml:space="preserve">5.7 Service providers</w:t>
      </w:r>
    </w:p>
    <w:p>
      <w:pPr>
        <w:spacing w:after="100"/>
        <w:rPr>
          <w:b/>
          <w:bCs/>
        </w:rPr>
      </w:pPr>
      <w:r>
        <w:rPr>
          <w:rFonts w:ascii="Arial" w:cs="Arial" w:eastAsia="Arial" w:hAnsi="Arial"/>
          <w:b/>
          <w:bCs/>
        </w:rPr>
        <w:t xml:space="preserve">Appetite: Low</w:t>
      </w:r>
    </w:p>
    <w:p>
      <w:pPr>
        <w:spacing w:after="100"/>
      </w:pPr>
      <w:r>
        <w:rPr>
          <w:rFonts w:ascii="Arial" w:cs="Arial" w:eastAsia="Arial" w:hAnsi="Arial"/>
        </w:rPr>
        <w:t xml:space="preserve">We use service providers where this benefits members, but we remain accountable. We have low appetite for provider failures that disrupt critical operations or harm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80"/>
        <w:gridCol w:w="1879"/>
        <w:gridCol w:w="1879"/>
      </w:tblGrid>
      <w:tr>
        <w:trPr>
          <w:tblHeader/>
        </w:trPr>
        <w:tc>
          <w:tcPr>
            <w:tcW w:type="dxa" w:w="4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Metric</w:t>
            </w:r>
          </w:p>
        </w:tc>
        <w:tc>
          <w:tcPr>
            <w:tcW w:type="dxa" w:w="188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Within appetite (green)</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Trigger (amber)</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Limit (red)</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Material service providers outside agreed service levels for 2 or more months</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2 or more</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Material arrangements without a current review (more than 12 months)</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2 or more</w:t>
            </w:r>
          </w:p>
        </w:tc>
      </w:tr>
    </w:tbl>
    <w:p>
      <w:pPr>
        <w:spacing w:after="120"/>
      </w:pPr>
    </w:p>
    <w:p>
      <w:pPr>
        <w:pStyle w:val="Heading2"/>
        <w:spacing w:after="80" w:before="200"/>
      </w:pPr>
      <w:r>
        <w:rPr>
          <w:rFonts w:ascii="Arial" w:cs="Arial" w:eastAsia="Arial" w:hAnsi="Arial"/>
        </w:rPr>
        <w:t xml:space="preserve">5.8 Change and projects</w:t>
      </w:r>
    </w:p>
    <w:p>
      <w:pPr>
        <w:spacing w:after="100"/>
        <w:rPr>
          <w:b/>
          <w:bCs/>
        </w:rPr>
      </w:pPr>
      <w:r>
        <w:rPr>
          <w:rFonts w:ascii="Arial" w:cs="Arial" w:eastAsia="Arial" w:hAnsi="Arial"/>
          <w:b/>
          <w:bCs/>
        </w:rPr>
        <w:t xml:space="preserve">Appetite: Moderate</w:t>
      </w:r>
    </w:p>
    <w:p>
      <w:pPr>
        <w:spacing w:after="100"/>
      </w:pPr>
      <w:r>
        <w:rPr>
          <w:rFonts w:ascii="Arial" w:cs="Arial" w:eastAsia="Arial" w:hAnsi="Arial"/>
        </w:rPr>
        <w:t xml:space="preserve">We accept the risk that comes with modernising our platforms and pursuing a merger, provided changes are well governed and member impacts are managed.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80"/>
        <w:gridCol w:w="1879"/>
        <w:gridCol w:w="1879"/>
      </w:tblGrid>
      <w:tr>
        <w:trPr>
          <w:tblHeader/>
        </w:trPr>
        <w:tc>
          <w:tcPr>
            <w:tcW w:type="dxa" w:w="4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Metric</w:t>
            </w:r>
          </w:p>
        </w:tc>
        <w:tc>
          <w:tcPr>
            <w:tcW w:type="dxa" w:w="188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Within appetite (green)</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Trigger (amber)</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Limit (red)</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Major projects rated red for schedule, cost or benefits</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2 or more</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Post-implementation incidents affecting members from major change</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 to 2</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3 or more</w:t>
            </w:r>
          </w:p>
        </w:tc>
      </w:tr>
    </w:tbl>
    <w:p>
      <w:pPr>
        <w:spacing w:after="120"/>
      </w:pPr>
    </w:p>
    <w:p>
      <w:pPr>
        <w:pStyle w:val="Heading2"/>
        <w:spacing w:after="80" w:before="200"/>
      </w:pPr>
      <w:r>
        <w:rPr>
          <w:rFonts w:ascii="Arial" w:cs="Arial" w:eastAsia="Arial" w:hAnsi="Arial"/>
        </w:rPr>
        <w:t xml:space="preserve">5.9 People and culture</w:t>
      </w:r>
    </w:p>
    <w:p>
      <w:pPr>
        <w:spacing w:after="100"/>
        <w:rPr>
          <w:b/>
          <w:bCs/>
        </w:rPr>
      </w:pPr>
      <w:r>
        <w:rPr>
          <w:rFonts w:ascii="Arial" w:cs="Arial" w:eastAsia="Arial" w:hAnsi="Arial"/>
          <w:b/>
          <w:bCs/>
        </w:rPr>
        <w:t xml:space="preserve">Appetite: Low</w:t>
      </w:r>
    </w:p>
    <w:p>
      <w:pPr>
        <w:spacing w:after="100"/>
      </w:pPr>
      <w:r>
        <w:rPr>
          <w:rFonts w:ascii="Arial" w:cs="Arial" w:eastAsia="Arial" w:hAnsi="Arial"/>
        </w:rPr>
        <w:t xml:space="preserve">We want a culture where people speak up and risk is everyone's business. We have low appetite for losing key capability or for behaviour that is inconsistent with our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80"/>
        <w:gridCol w:w="1879"/>
        <w:gridCol w:w="1879"/>
      </w:tblGrid>
      <w:tr>
        <w:trPr>
          <w:tblHeader/>
        </w:trPr>
        <w:tc>
          <w:tcPr>
            <w:tcW w:type="dxa" w:w="4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Metric</w:t>
            </w:r>
          </w:p>
        </w:tc>
        <w:tc>
          <w:tcPr>
            <w:tcW w:type="dxa" w:w="188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Within appetite (green)</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Trigger (amber)</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Limit (red)</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Voluntary turnover in key roles (rolling 12 months)</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Below 12%</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12% to 18%</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Above 18%</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Mandatory compliance training overdue</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Below 5%</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5% to 10%</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Above 10%</w:t>
            </w:r>
          </w:p>
        </w:tc>
      </w:tr>
    </w:tbl>
    <w:p>
      <w:pPr>
        <w:spacing w:after="120"/>
      </w:pPr>
    </w:p>
    <w:p>
      <w:pPr>
        <w:pStyle w:val="Heading2"/>
        <w:spacing w:after="80" w:before="200"/>
      </w:pPr>
      <w:r>
        <w:rPr>
          <w:rFonts w:ascii="Arial" w:cs="Arial" w:eastAsia="Arial" w:hAnsi="Arial"/>
        </w:rPr>
        <w:t xml:space="preserve">5.10 Financial resilience of the trustee</w:t>
      </w:r>
    </w:p>
    <w:p>
      <w:pPr>
        <w:spacing w:after="100"/>
        <w:rPr>
          <w:b/>
          <w:bCs/>
        </w:rPr>
      </w:pPr>
      <w:r>
        <w:rPr>
          <w:rFonts w:ascii="Arial" w:cs="Arial" w:eastAsia="Arial" w:hAnsi="Arial"/>
          <w:b/>
          <w:bCs/>
        </w:rPr>
        <w:t xml:space="preserve">Appetite: Low</w:t>
      </w:r>
    </w:p>
    <w:p>
      <w:pPr>
        <w:spacing w:after="100"/>
      </w:pPr>
      <w:r>
        <w:rPr>
          <w:rFonts w:ascii="Arial" w:cs="Arial" w:eastAsia="Arial" w:hAnsi="Arial"/>
        </w:rPr>
        <w:t xml:space="preserve">We maintain financial resources to absorb operational risk losses and run the trustee's business sustainably.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80"/>
        <w:gridCol w:w="1879"/>
        <w:gridCol w:w="1879"/>
      </w:tblGrid>
      <w:tr>
        <w:trPr>
          <w:tblHeader/>
        </w:trPr>
        <w:tc>
          <w:tcPr>
            <w:tcW w:type="dxa" w:w="4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Metric</w:t>
            </w:r>
          </w:p>
        </w:tc>
        <w:tc>
          <w:tcPr>
            <w:tcW w:type="dxa" w:w="188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Within appetite (green)</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Trigger (amber)</w:t>
            </w:r>
          </w:p>
        </w:tc>
        <w:tc>
          <w:tcPr>
            <w:tcW w:type="dxa" w:w="1879"/>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Limit (red)</w:t>
            </w:r>
          </w:p>
        </w:tc>
      </w:tr>
      <w:tr>
        <w:trPr>
          <w:cantSplit/>
        </w:trPr>
        <w:tc>
          <w:tcPr>
            <w:tcW w:type="dxa" w:w="4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ORFR reserve vs the Board-approved target amount</w:t>
            </w:r>
          </w:p>
        </w:tc>
        <w:tc>
          <w:tcPr>
            <w:tcW w:type="dxa" w:w="18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At or above target</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Up to 10% below target</w:t>
            </w:r>
          </w:p>
        </w:tc>
        <w:tc>
          <w:tcPr>
            <w:tcW w:type="dxa" w:w="18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More than 10% below target</w:t>
            </w:r>
          </w:p>
        </w:tc>
      </w:tr>
    </w:tbl>
    <w:p>
      <w:pPr>
        <w:spacing w:after="120"/>
      </w:pPr>
    </w:p>
    <w:p>
      <w:pPr>
        <w:pStyle w:val="Heading1"/>
        <w:spacing w:after="120" w:before="280"/>
      </w:pPr>
      <w:r>
        <w:rPr>
          <w:rFonts w:ascii="Arial" w:cs="Arial" w:eastAsia="Arial" w:hAnsi="Arial"/>
        </w:rPr>
        <w:t xml:space="preserve">6. Monitoring, escalation and breaches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38"/>
      </w:tblGrid>
      <w:tr>
        <w:trPr>
          <w:tblHeader/>
        </w:trPr>
        <w:tc>
          <w:tcPr>
            <w:tcW w:type="dxa" w:w="15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Status</w:t>
            </w:r>
          </w:p>
        </w:tc>
        <w:tc>
          <w:tcPr>
            <w:tcW w:type="dxa" w:w="32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What it means</w:t>
            </w:r>
          </w:p>
        </w:tc>
        <w:tc>
          <w:tcPr>
            <w:tcW w:type="dxa" w:w="49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Required response</w:t>
            </w:r>
          </w:p>
        </w:tc>
      </w:tr>
      <w:tr>
        <w:trPr>
          <w:cantSplit/>
        </w:trPr>
        <w:tc>
          <w:tcPr>
            <w:tcW w:type="dxa" w:w="1500"/>
            <w:tcBorders>
              <w:top w:val="single" w:color="C9D3E0" w:sz="4"/>
              <w:left w:val="single" w:color="C9D3E0" w:sz="4"/>
              <w:bottom w:val="single" w:color="C9D3E0" w:sz="4"/>
              <w:right w:val="single" w:color="C9D3E0" w:sz="4"/>
            </w:tcBorders>
            <w:shd w:fill="BFE5CB"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Green</w:t>
            </w:r>
          </w:p>
        </w:tc>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Within appetite.</w:t>
            </w:r>
          </w:p>
        </w:tc>
        <w:tc>
          <w:tcPr>
            <w:tcW w:type="dxa" w:w="49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Business as usual monitoring by the metric owner.</w:t>
            </w:r>
          </w:p>
        </w:tc>
      </w:tr>
      <w:tr>
        <w:trPr>
          <w:cantSplit/>
        </w:trPr>
        <w:tc>
          <w:tcPr>
            <w:tcW w:type="dxa" w:w="1500"/>
            <w:tcBorders>
              <w:top w:val="single" w:color="C9D3E0" w:sz="4"/>
              <w:left w:val="single" w:color="C9D3E0" w:sz="4"/>
              <w:bottom w:val="single" w:color="C9D3E0" w:sz="4"/>
              <w:right w:val="single" w:color="C9D3E0" w:sz="4"/>
            </w:tcBorders>
            <w:shd w:fill="FDE68A"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Amber</w:t>
            </w:r>
          </w:p>
        </w:tc>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Trigger reached: early warning.</w:t>
            </w:r>
          </w:p>
        </w:tc>
        <w:tc>
          <w:tcPr>
            <w:tcW w:type="dxa" w:w="49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Metric owner reports to the relevant executive within 5 business days with an action plan. Reported to the Risk Committee in the next quarterly report.</w:t>
            </w:r>
          </w:p>
        </w:tc>
      </w:tr>
      <w:tr>
        <w:trPr>
          <w:cantSplit/>
        </w:trPr>
        <w:tc>
          <w:tcPr>
            <w:tcW w:type="dxa" w:w="1500"/>
            <w:tcBorders>
              <w:top w:val="single" w:color="C9D3E0" w:sz="4"/>
              <w:left w:val="single" w:color="C9D3E0" w:sz="4"/>
              <w:bottom w:val="single" w:color="C9D3E0" w:sz="4"/>
              <w:right w:val="single" w:color="C9D3E0" w:sz="4"/>
            </w:tcBorders>
            <w:shd w:fill="FCA5A5"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Red</w:t>
            </w:r>
          </w:p>
        </w:tc>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Limit (tolerance) breached.</w:t>
            </w:r>
          </w:p>
        </w:tc>
        <w:tc>
          <w:tcPr>
            <w:tcW w:type="dxa" w:w="49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Reported to the CRO immediately and to the Chair of the Risk Committee within 2 business days. Action plan to return within tolerance, or a formal proposal to accept the risk for a set period, presented to the Risk Committee. Consider whether a regulatory notification is required.</w:t>
            </w:r>
          </w:p>
        </w:tc>
      </w:tr>
    </w:tbl>
    <w:p>
      <w:pPr>
        <w:spacing w:after="120"/>
      </w:pPr>
    </w:p>
    <w:p>
      <w:pPr>
        <w:spacing w:after="100"/>
      </w:pPr>
      <w:r>
        <w:rPr>
          <w:rFonts w:ascii="Arial" w:cs="Arial" w:eastAsia="Arial" w:hAnsi="Arial"/>
        </w:rPr>
        <w:t xml:space="preserve">The CRO reports the full risk profile against this statement to the Risk Committee each quarter and to the Board at least twice a year. A limit may only be changed by the Board, and never to hide a breach after it has happened.</w:t>
      </w:r>
    </w:p>
    <w:p>
      <w:pPr>
        <w:pStyle w:val="Heading1"/>
        <w:spacing w:after="120" w:before="280"/>
      </w:pPr>
      <w:r>
        <w:rPr>
          <w:rFonts w:ascii="Arial" w:cs="Arial" w:eastAsia="Arial" w:hAnsi="Arial"/>
        </w:rPr>
        <w:t xml:space="preserve">7.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Who</w:t>
            </w:r>
          </w:p>
        </w:tc>
        <w:tc>
          <w:tcPr>
            <w:tcW w:type="dxa" w:w="70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Role</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Board</w:t>
            </w:r>
          </w:p>
        </w:tc>
        <w:tc>
          <w:tcPr>
            <w:tcW w:type="dxa" w:w="70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Approves this statement and each tolerance; oversees the risk profile; decides on red breaches and risk acceptances escalated to it.</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Risk Committee</w:t>
            </w:r>
          </w:p>
        </w:tc>
        <w:tc>
          <w:tcPr>
            <w:tcW w:type="dxa" w:w="70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Reviews the statement annually and recommends it to the Board; monitors the profile and breaches quarterly.</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CEO and executives</w:t>
            </w:r>
          </w:p>
        </w:tc>
        <w:tc>
          <w:tcPr>
            <w:tcW w:type="dxa" w:w="70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Run the fund within appetite; own the metrics and actions in their areas; cascade appetite into business limits and decisions.</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Chief Risk Officer</w:t>
            </w:r>
          </w:p>
        </w:tc>
        <w:tc>
          <w:tcPr>
            <w:tcW w:type="dxa" w:w="70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Maintains the statement; independently monitors and reports the profile; challenges management; escalates breaches.</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Internal audit</w:t>
            </w:r>
          </w:p>
        </w:tc>
        <w:tc>
          <w:tcPr>
            <w:tcW w:type="dxa" w:w="70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Periodically gives independent assurance over the risk appetite framework and its use.</w:t>
            </w:r>
          </w:p>
        </w:tc>
      </w:tr>
    </w:tbl>
    <w:p>
      <w:pPr>
        <w:pStyle w:val="Heading1"/>
        <w:spacing w:after="120" w:before="280"/>
      </w:pPr>
      <w:r>
        <w:rPr>
          <w:rFonts w:ascii="Arial" w:cs="Arial" w:eastAsia="Arial" w:hAnsi="Arial"/>
        </w:rPr>
        <w:t xml:space="preserve">8. Review and approval</w:t>
      </w:r>
    </w:p>
    <w:p>
      <w:pPr>
        <w:spacing w:after="100"/>
      </w:pPr>
      <w:r>
        <w:rPr>
          <w:rFonts w:ascii="Arial" w:cs="Arial" w:eastAsia="Arial" w:hAnsi="Arial"/>
        </w:rPr>
        <w:t xml:space="preserve">This statement is reviewed at least annually, and sooner if strategy, the operating environment or the risk profile changes materially (for example a merger, a new administration platform or a major incident).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5038"/>
        <w:gridCol w:w="1800"/>
      </w:tblGrid>
      <w:tr>
        <w:trPr>
          <w:tblHeader/>
        </w:trPr>
        <w:tc>
          <w:tcPr>
            <w:tcW w:type="dxa" w:w="12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Version</w:t>
            </w:r>
          </w:p>
        </w:tc>
        <w:tc>
          <w:tcPr>
            <w:tcW w:type="dxa" w:w="16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Date</w:t>
            </w:r>
          </w:p>
        </w:tc>
        <w:tc>
          <w:tcPr>
            <w:tcW w:type="dxa" w:w="50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Changes</w:t>
            </w:r>
          </w:p>
        </w:tc>
        <w:tc>
          <w:tcPr>
            <w:tcW w:type="dxa" w:w="18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Approved by</w:t>
            </w:r>
          </w:p>
        </w:tc>
      </w:tr>
      <w:tr>
        <w:trPr>
          <w:cantSplit/>
        </w:trPr>
        <w:tc>
          <w:tcPr>
            <w:tcW w:type="dxa" w:w="1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1.0</w:t>
            </w:r>
          </w:p>
        </w:tc>
        <w:tc>
          <w:tcPr>
            <w:tcW w:type="dxa" w:w="1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Example</w:t>
            </w:r>
          </w:p>
        </w:tc>
        <w:tc>
          <w:tcPr>
            <w:tcW w:type="dxa" w:w="50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First version (fictional example).</w:t>
            </w:r>
          </w:p>
        </w:tc>
        <w:tc>
          <w:tcPr>
            <w:tcW w:type="dxa" w:w="1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Board</w:t>
            </w:r>
          </w:p>
        </w:tc>
      </w:tr>
      <w:tr>
        <w:trPr>
          <w:cantSplit/>
        </w:trPr>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5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5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5568"/>
        <w:sz w:val="14"/>
        <w:szCs w:val="14"/>
      </w:rPr>
      <w:t xml:space="preserve">Template from RiskLens Australia (general educational information only; not legal, financial or compliance advice). Adapt to your organisation's policies and obligations.</w:t>
    </w:r>
  </w:p>
  <w:p>
    <w:pPr>
      <w:jc w:val="right"/>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568"/>
        <w:sz w:val="16"/>
        <w:szCs w:val="16"/>
      </w:rPr>
      <w:t xml:space="preserve">EXAMPLE ONLY · Harbourside Super (fictional) · Risk appetite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2942"/>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F294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risk appetite statement</dc:title>
  <dc:creator>RiskLens Australia</dc:creator>
  <dc:description>Free example risk appetite statement from RiskLens Australia</dc:description>
  <cp:lastModifiedBy>Un-named</cp:lastModifiedBy>
  <cp:revision>1</cp:revision>
  <dcterms:created xsi:type="dcterms:W3CDTF">2026-09-28T05:50:07.970Z</dcterms:created>
  <dcterms:modified xsi:type="dcterms:W3CDTF">2026-09-28T05:50:07.971Z</dcterms:modified>
</cp:coreProperties>
</file>

<file path=docProps/custom.xml><?xml version="1.0" encoding="utf-8"?>
<Properties xmlns="http://schemas.openxmlformats.org/officeDocument/2006/custom-properties" xmlns:vt="http://schemas.openxmlformats.org/officeDocument/2006/docPropsVTypes"/>
</file>