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0F2942"/>
          <w:sz w:val="40"/>
          <w:szCs w:val="40"/>
        </w:rPr>
        <w:t xml:space="preserve">Incident report</w:t>
      </w:r>
    </w:p>
    <w:p>
      <w:pPr>
        <w:spacing w:after="200"/>
      </w:pPr>
      <w:r>
        <w:rPr>
          <w:rFonts w:ascii="Arial" w:cs="Arial" w:eastAsia="Arial" w:hAnsi="Arial"/>
          <w:i/>
          <w:iCs/>
          <w:color w:val="4A5568"/>
          <w:sz w:val="18"/>
          <w:szCs w:val="18"/>
        </w:rPr>
        <w:t xml:space="preserve">[Organisation name] · Confidential · Template version 1.0 (September 2026)</w:t>
      </w:r>
    </w:p>
    <w:p>
      <w:pPr>
        <w:spacing w:after="80"/>
      </w:pPr>
      <w:r>
        <w:rPr>
          <w:rFonts w:ascii="Arial" w:cs="Arial" w:eastAsia="Arial" w:hAnsi="Arial"/>
          <w:i/>
          <w:iCs/>
          <w:color w:val="4A5568"/>
          <w:sz w:val="18"/>
          <w:szCs w:val="18"/>
        </w:rPr>
        <w:t xml:space="preserve">How to use: complete each section as facts become available. Record facts, not opinions or blame. Pale yellow boxes are for your entries. Keep this report with your incident register entry and update the version history as the incident progresses. Delete these grey instructions when you use the template.</w:t>
      </w:r>
    </w:p>
    <w:p>
      <w:pPr>
        <w:pStyle w:val="Heading1"/>
        <w:spacing w:after="120" w:before="280"/>
      </w:pPr>
      <w:r>
        <w:rPr>
          <w:rFonts w:ascii="Arial" w:cs="Arial" w:eastAsia="Arial" w:hAnsi="Arial"/>
        </w:rPr>
        <w:t xml:space="preserve">1. Incident details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rPr>
        <w:tc>
          <w:tcPr>
            <w:tcW w:type="dxa" w:w="3200"/>
            <w:tcBorders>
              <w:top w:val="single" w:color="C9D3E0" w:sz="4"/>
              <w:left w:val="single" w:color="C9D3E0" w:sz="4"/>
              <w:bottom w:val="single" w:color="C9D3E0" w:sz="4"/>
              <w:right w:val="single" w:color="C9D3E0" w:sz="4"/>
            </w:tcBorders>
            <w:shd w:fill="EEF2F7" w:color="auto" w:val="clear"/>
            <w:tcMar>
              <w:top w:type="dxa" w:w="60"/>
              <w:left w:type="dxa" w:w="100"/>
              <w:bottom w:type="dxa" w:w="60"/>
              <w:right w:type="dxa" w:w="100"/>
            </w:tcMar>
          </w:tcPr>
          <w:p>
            <w:pPr>
              <w:spacing w:after="40"/>
            </w:pPr>
            <w:r>
              <w:rPr>
                <w:rFonts w:ascii="Arial" w:cs="Arial" w:eastAsia="Arial" w:hAnsi="Arial"/>
                <w:b/>
                <w:bCs/>
                <w:i w:val="false"/>
                <w:iCs w:val="false"/>
                <w:sz w:val="19"/>
                <w:szCs w:val="19"/>
              </w:rPr>
              <w:t xml:space="preserve">Incident ID</w:t>
            </w:r>
          </w:p>
        </w:tc>
        <w:tc>
          <w:tcPr>
            <w:tcW w:type="dxa" w:w="6438"/>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iCs/>
                <w:color w:val="6B7280"/>
                <w:sz w:val="17"/>
                <w:szCs w:val="17"/>
              </w:rPr>
              <w:t xml:space="preserve">Your incident register reference</w:t>
            </w:r>
          </w:p>
        </w:tc>
      </w:tr>
      <w:tr>
        <w:trPr>
          <w:cantSplit/>
        </w:trPr>
        <w:tc>
          <w:tcPr>
            <w:tcW w:type="dxa" w:w="3200"/>
            <w:tcBorders>
              <w:top w:val="single" w:color="C9D3E0" w:sz="4"/>
              <w:left w:val="single" w:color="C9D3E0" w:sz="4"/>
              <w:bottom w:val="single" w:color="C9D3E0" w:sz="4"/>
              <w:right w:val="single" w:color="C9D3E0" w:sz="4"/>
            </w:tcBorders>
            <w:shd w:fill="EEF2F7" w:color="auto" w:val="clear"/>
            <w:tcMar>
              <w:top w:type="dxa" w:w="60"/>
              <w:left w:type="dxa" w:w="100"/>
              <w:bottom w:type="dxa" w:w="60"/>
              <w:right w:type="dxa" w:w="100"/>
            </w:tcMar>
          </w:tcPr>
          <w:p>
            <w:pPr>
              <w:spacing w:after="40"/>
            </w:pPr>
            <w:r>
              <w:rPr>
                <w:rFonts w:ascii="Arial" w:cs="Arial" w:eastAsia="Arial" w:hAnsi="Arial"/>
                <w:b/>
                <w:bCs/>
                <w:i w:val="false"/>
                <w:iCs w:val="false"/>
                <w:sz w:val="19"/>
                <w:szCs w:val="19"/>
              </w:rPr>
              <w:t xml:space="preserve">Incident title</w:t>
            </w:r>
          </w:p>
        </w:tc>
        <w:tc>
          <w:tcPr>
            <w:tcW w:type="dxa" w:w="6438"/>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iCs/>
                <w:color w:val="6B7280"/>
                <w:sz w:val="17"/>
                <w:szCs w:val="17"/>
              </w:rPr>
              <w:t xml:space="preserve">Short, factual description</w:t>
            </w:r>
          </w:p>
        </w:tc>
      </w:tr>
      <w:tr>
        <w:trPr>
          <w:cantSplit/>
        </w:trPr>
        <w:tc>
          <w:tcPr>
            <w:tcW w:type="dxa" w:w="3200"/>
            <w:tcBorders>
              <w:top w:val="single" w:color="C9D3E0" w:sz="4"/>
              <w:left w:val="single" w:color="C9D3E0" w:sz="4"/>
              <w:bottom w:val="single" w:color="C9D3E0" w:sz="4"/>
              <w:right w:val="single" w:color="C9D3E0" w:sz="4"/>
            </w:tcBorders>
            <w:shd w:fill="EEF2F7" w:color="auto" w:val="clear"/>
            <w:tcMar>
              <w:top w:type="dxa" w:w="60"/>
              <w:left w:type="dxa" w:w="100"/>
              <w:bottom w:type="dxa" w:w="60"/>
              <w:right w:type="dxa" w:w="100"/>
            </w:tcMar>
          </w:tcPr>
          <w:p>
            <w:pPr>
              <w:spacing w:after="40"/>
            </w:pPr>
            <w:r>
              <w:rPr>
                <w:rFonts w:ascii="Arial" w:cs="Arial" w:eastAsia="Arial" w:hAnsi="Arial"/>
                <w:b/>
                <w:bCs/>
                <w:i w:val="false"/>
                <w:iCs w:val="false"/>
                <w:sz w:val="19"/>
                <w:szCs w:val="19"/>
              </w:rPr>
              <w:t xml:space="preserve">Date and time the incident occurred</w:t>
            </w:r>
          </w:p>
        </w:tc>
        <w:tc>
          <w:tcPr>
            <w:tcW w:type="dxa" w:w="6438"/>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iCs/>
                <w:color w:val="6B7280"/>
                <w:sz w:val="17"/>
                <w:szCs w:val="17"/>
              </w:rPr>
              <w:t xml:space="preserve">Or the period over which it occurred</w:t>
            </w:r>
          </w:p>
        </w:tc>
      </w:tr>
      <w:tr>
        <w:trPr>
          <w:cantSplit/>
        </w:trPr>
        <w:tc>
          <w:tcPr>
            <w:tcW w:type="dxa" w:w="3200"/>
            <w:tcBorders>
              <w:top w:val="single" w:color="C9D3E0" w:sz="4"/>
              <w:left w:val="single" w:color="C9D3E0" w:sz="4"/>
              <w:bottom w:val="single" w:color="C9D3E0" w:sz="4"/>
              <w:right w:val="single" w:color="C9D3E0" w:sz="4"/>
            </w:tcBorders>
            <w:shd w:fill="EEF2F7" w:color="auto" w:val="clear"/>
            <w:tcMar>
              <w:top w:type="dxa" w:w="60"/>
              <w:left w:type="dxa" w:w="100"/>
              <w:bottom w:type="dxa" w:w="60"/>
              <w:right w:type="dxa" w:w="100"/>
            </w:tcMar>
          </w:tcPr>
          <w:p>
            <w:pPr>
              <w:spacing w:after="40"/>
            </w:pPr>
            <w:r>
              <w:rPr>
                <w:rFonts w:ascii="Arial" w:cs="Arial" w:eastAsia="Arial" w:hAnsi="Arial"/>
                <w:b/>
                <w:bCs/>
                <w:i w:val="false"/>
                <w:iCs w:val="false"/>
                <w:sz w:val="19"/>
                <w:szCs w:val="19"/>
              </w:rPr>
              <w:t xml:space="preserve">Date and time identified</w:t>
            </w:r>
          </w:p>
        </w:tc>
        <w:tc>
          <w:tcPr>
            <w:tcW w:type="dxa" w:w="6438"/>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9"/>
                <w:szCs w:val="19"/>
              </w:rPr>
              <w:t xml:space="preserve"/>
            </w:r>
          </w:p>
        </w:tc>
      </w:tr>
      <w:tr>
        <w:trPr>
          <w:cantSplit/>
        </w:trPr>
        <w:tc>
          <w:tcPr>
            <w:tcW w:type="dxa" w:w="3200"/>
            <w:tcBorders>
              <w:top w:val="single" w:color="C9D3E0" w:sz="4"/>
              <w:left w:val="single" w:color="C9D3E0" w:sz="4"/>
              <w:bottom w:val="single" w:color="C9D3E0" w:sz="4"/>
              <w:right w:val="single" w:color="C9D3E0" w:sz="4"/>
            </w:tcBorders>
            <w:shd w:fill="EEF2F7" w:color="auto" w:val="clear"/>
            <w:tcMar>
              <w:top w:type="dxa" w:w="60"/>
              <w:left w:type="dxa" w:w="100"/>
              <w:bottom w:type="dxa" w:w="60"/>
              <w:right w:type="dxa" w:w="100"/>
            </w:tcMar>
          </w:tcPr>
          <w:p>
            <w:pPr>
              <w:spacing w:after="40"/>
            </w:pPr>
            <w:r>
              <w:rPr>
                <w:rFonts w:ascii="Arial" w:cs="Arial" w:eastAsia="Arial" w:hAnsi="Arial"/>
                <w:b/>
                <w:bCs/>
                <w:i w:val="false"/>
                <w:iCs w:val="false"/>
                <w:sz w:val="19"/>
                <w:szCs w:val="19"/>
              </w:rPr>
              <w:t xml:space="preserve">Date and time the organisation became aware</w:t>
            </w:r>
          </w:p>
        </w:tc>
        <w:tc>
          <w:tcPr>
            <w:tcW w:type="dxa" w:w="6438"/>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iCs/>
                <w:color w:val="6B7280"/>
                <w:sz w:val="17"/>
                <w:szCs w:val="17"/>
              </w:rPr>
              <w:t xml:space="preserve">Critical: many reporting clocks run from awareness, not from the end of the investigation</w:t>
            </w:r>
          </w:p>
        </w:tc>
      </w:tr>
      <w:tr>
        <w:trPr>
          <w:cantSplit/>
        </w:trPr>
        <w:tc>
          <w:tcPr>
            <w:tcW w:type="dxa" w:w="3200"/>
            <w:tcBorders>
              <w:top w:val="single" w:color="C9D3E0" w:sz="4"/>
              <w:left w:val="single" w:color="C9D3E0" w:sz="4"/>
              <w:bottom w:val="single" w:color="C9D3E0" w:sz="4"/>
              <w:right w:val="single" w:color="C9D3E0" w:sz="4"/>
            </w:tcBorders>
            <w:shd w:fill="EEF2F7" w:color="auto" w:val="clear"/>
            <w:tcMar>
              <w:top w:type="dxa" w:w="60"/>
              <w:left w:type="dxa" w:w="100"/>
              <w:bottom w:type="dxa" w:w="60"/>
              <w:right w:type="dxa" w:w="100"/>
            </w:tcMar>
          </w:tcPr>
          <w:p>
            <w:pPr>
              <w:spacing w:after="40"/>
            </w:pPr>
            <w:r>
              <w:rPr>
                <w:rFonts w:ascii="Arial" w:cs="Arial" w:eastAsia="Arial" w:hAnsi="Arial"/>
                <w:b/>
                <w:bCs/>
                <w:i w:val="false"/>
                <w:iCs w:val="false"/>
                <w:sz w:val="19"/>
                <w:szCs w:val="19"/>
              </w:rPr>
              <w:t xml:space="preserve">Identified by (name, role)</w:t>
            </w:r>
          </w:p>
        </w:tc>
        <w:tc>
          <w:tcPr>
            <w:tcW w:type="dxa" w:w="6438"/>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9"/>
                <w:szCs w:val="19"/>
              </w:rPr>
              <w:t xml:space="preserve"/>
            </w:r>
          </w:p>
        </w:tc>
      </w:tr>
      <w:tr>
        <w:trPr>
          <w:cantSplit/>
        </w:trPr>
        <w:tc>
          <w:tcPr>
            <w:tcW w:type="dxa" w:w="3200"/>
            <w:tcBorders>
              <w:top w:val="single" w:color="C9D3E0" w:sz="4"/>
              <w:left w:val="single" w:color="C9D3E0" w:sz="4"/>
              <w:bottom w:val="single" w:color="C9D3E0" w:sz="4"/>
              <w:right w:val="single" w:color="C9D3E0" w:sz="4"/>
            </w:tcBorders>
            <w:shd w:fill="EEF2F7" w:color="auto" w:val="clear"/>
            <w:tcMar>
              <w:top w:type="dxa" w:w="60"/>
              <w:left w:type="dxa" w:w="100"/>
              <w:bottom w:type="dxa" w:w="60"/>
              <w:right w:type="dxa" w:w="100"/>
            </w:tcMar>
          </w:tcPr>
          <w:p>
            <w:pPr>
              <w:spacing w:after="40"/>
            </w:pPr>
            <w:r>
              <w:rPr>
                <w:rFonts w:ascii="Arial" w:cs="Arial" w:eastAsia="Arial" w:hAnsi="Arial"/>
                <w:b/>
                <w:bCs/>
                <w:i w:val="false"/>
                <w:iCs w:val="false"/>
                <w:sz w:val="19"/>
                <w:szCs w:val="19"/>
              </w:rPr>
              <w:t xml:space="preserve">How it was identified</w:t>
            </w:r>
          </w:p>
        </w:tc>
        <w:tc>
          <w:tcPr>
            <w:tcW w:type="dxa" w:w="6438"/>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iCs/>
                <w:color w:val="6B7280"/>
                <w:sz w:val="17"/>
                <w:szCs w:val="17"/>
              </w:rPr>
              <w:t xml:space="preserve">e.g. control, complaint, audit, staff report, service provider</w:t>
            </w:r>
          </w:p>
        </w:tc>
      </w:tr>
      <w:tr>
        <w:trPr>
          <w:cantSplit/>
        </w:trPr>
        <w:tc>
          <w:tcPr>
            <w:tcW w:type="dxa" w:w="3200"/>
            <w:tcBorders>
              <w:top w:val="single" w:color="C9D3E0" w:sz="4"/>
              <w:left w:val="single" w:color="C9D3E0" w:sz="4"/>
              <w:bottom w:val="single" w:color="C9D3E0" w:sz="4"/>
              <w:right w:val="single" w:color="C9D3E0" w:sz="4"/>
            </w:tcBorders>
            <w:shd w:fill="EEF2F7" w:color="auto" w:val="clear"/>
            <w:tcMar>
              <w:top w:type="dxa" w:w="60"/>
              <w:left w:type="dxa" w:w="100"/>
              <w:bottom w:type="dxa" w:w="60"/>
              <w:right w:type="dxa" w:w="100"/>
            </w:tcMar>
          </w:tcPr>
          <w:p>
            <w:pPr>
              <w:spacing w:after="40"/>
            </w:pPr>
            <w:r>
              <w:rPr>
                <w:rFonts w:ascii="Arial" w:cs="Arial" w:eastAsia="Arial" w:hAnsi="Arial"/>
                <w:b/>
                <w:bCs/>
                <w:i w:val="false"/>
                <w:iCs w:val="false"/>
                <w:sz w:val="19"/>
                <w:szCs w:val="19"/>
              </w:rPr>
              <w:t xml:space="preserve">Business unit(s) affected</w:t>
            </w:r>
          </w:p>
        </w:tc>
        <w:tc>
          <w:tcPr>
            <w:tcW w:type="dxa" w:w="6438"/>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9"/>
                <w:szCs w:val="19"/>
              </w:rPr>
              <w:t xml:space="preserve"/>
            </w:r>
          </w:p>
        </w:tc>
      </w:tr>
      <w:tr>
        <w:trPr>
          <w:cantSplit/>
        </w:trPr>
        <w:tc>
          <w:tcPr>
            <w:tcW w:type="dxa" w:w="3200"/>
            <w:tcBorders>
              <w:top w:val="single" w:color="C9D3E0" w:sz="4"/>
              <w:left w:val="single" w:color="C9D3E0" w:sz="4"/>
              <w:bottom w:val="single" w:color="C9D3E0" w:sz="4"/>
              <w:right w:val="single" w:color="C9D3E0" w:sz="4"/>
            </w:tcBorders>
            <w:shd w:fill="EEF2F7" w:color="auto" w:val="clear"/>
            <w:tcMar>
              <w:top w:type="dxa" w:w="60"/>
              <w:left w:type="dxa" w:w="100"/>
              <w:bottom w:type="dxa" w:w="60"/>
              <w:right w:type="dxa" w:w="100"/>
            </w:tcMar>
          </w:tcPr>
          <w:p>
            <w:pPr>
              <w:spacing w:after="40"/>
            </w:pPr>
            <w:r>
              <w:rPr>
                <w:rFonts w:ascii="Arial" w:cs="Arial" w:eastAsia="Arial" w:hAnsi="Arial"/>
                <w:b/>
                <w:bCs/>
                <w:i w:val="false"/>
                <w:iCs w:val="false"/>
                <w:sz w:val="19"/>
                <w:szCs w:val="19"/>
              </w:rPr>
              <w:t xml:space="preserve">Service provider(s) involved</w:t>
            </w:r>
          </w:p>
        </w:tc>
        <w:tc>
          <w:tcPr>
            <w:tcW w:type="dxa" w:w="6438"/>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iCs/>
                <w:color w:val="6B7280"/>
                <w:sz w:val="17"/>
                <w:szCs w:val="17"/>
              </w:rPr>
              <w:t xml:space="preserve">Name any third parties involved</w:t>
            </w:r>
          </w:p>
        </w:tc>
      </w:tr>
      <w:tr>
        <w:trPr>
          <w:cantSplit/>
        </w:trPr>
        <w:tc>
          <w:tcPr>
            <w:tcW w:type="dxa" w:w="3200"/>
            <w:tcBorders>
              <w:top w:val="single" w:color="C9D3E0" w:sz="4"/>
              <w:left w:val="single" w:color="C9D3E0" w:sz="4"/>
              <w:bottom w:val="single" w:color="C9D3E0" w:sz="4"/>
              <w:right w:val="single" w:color="C9D3E0" w:sz="4"/>
            </w:tcBorders>
            <w:shd w:fill="EEF2F7" w:color="auto" w:val="clear"/>
            <w:tcMar>
              <w:top w:type="dxa" w:w="60"/>
              <w:left w:type="dxa" w:w="100"/>
              <w:bottom w:type="dxa" w:w="60"/>
              <w:right w:type="dxa" w:w="100"/>
            </w:tcMar>
          </w:tcPr>
          <w:p>
            <w:pPr>
              <w:spacing w:after="40"/>
            </w:pPr>
            <w:r>
              <w:rPr>
                <w:rFonts w:ascii="Arial" w:cs="Arial" w:eastAsia="Arial" w:hAnsi="Arial"/>
                <w:b/>
                <w:bCs/>
                <w:i w:val="false"/>
                <w:iCs w:val="false"/>
                <w:sz w:val="19"/>
                <w:szCs w:val="19"/>
              </w:rPr>
              <w:t xml:space="preserve">Incident owner</w:t>
            </w:r>
          </w:p>
        </w:tc>
        <w:tc>
          <w:tcPr>
            <w:tcW w:type="dxa" w:w="6438"/>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iCs/>
                <w:color w:val="6B7280"/>
                <w:sz w:val="17"/>
                <w:szCs w:val="17"/>
              </w:rPr>
              <w:t xml:space="preserve">Accountable executive or manager</w:t>
            </w:r>
          </w:p>
        </w:tc>
      </w:tr>
      <w:tr>
        <w:trPr>
          <w:cantSplit/>
        </w:trPr>
        <w:tc>
          <w:tcPr>
            <w:tcW w:type="dxa" w:w="3200"/>
            <w:tcBorders>
              <w:top w:val="single" w:color="C9D3E0" w:sz="4"/>
              <w:left w:val="single" w:color="C9D3E0" w:sz="4"/>
              <w:bottom w:val="single" w:color="C9D3E0" w:sz="4"/>
              <w:right w:val="single" w:color="C9D3E0" w:sz="4"/>
            </w:tcBorders>
            <w:shd w:fill="EEF2F7" w:color="auto" w:val="clear"/>
            <w:tcMar>
              <w:top w:type="dxa" w:w="60"/>
              <w:left w:type="dxa" w:w="100"/>
              <w:bottom w:type="dxa" w:w="60"/>
              <w:right w:type="dxa" w:w="100"/>
            </w:tcMar>
          </w:tcPr>
          <w:p>
            <w:pPr>
              <w:spacing w:after="40"/>
            </w:pPr>
            <w:r>
              <w:rPr>
                <w:rFonts w:ascii="Arial" w:cs="Arial" w:eastAsia="Arial" w:hAnsi="Arial"/>
                <w:b/>
                <w:bCs/>
                <w:i w:val="false"/>
                <w:iCs w:val="false"/>
                <w:sz w:val="19"/>
                <w:szCs w:val="19"/>
              </w:rPr>
              <w:t xml:space="preserve">Reported to Risk / Compliance (date, time)</w:t>
            </w:r>
          </w:p>
        </w:tc>
        <w:tc>
          <w:tcPr>
            <w:tcW w:type="dxa" w:w="6438"/>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9"/>
                <w:szCs w:val="19"/>
              </w:rPr>
              <w:t xml:space="preserve"/>
            </w:r>
          </w:p>
        </w:tc>
      </w:tr>
    </w:tbl>
    <w:p>
      <w:pPr>
        <w:pStyle w:val="Heading1"/>
        <w:spacing w:after="120" w:before="280"/>
      </w:pPr>
      <w:r>
        <w:rPr>
          <w:rFonts w:ascii="Arial" w:cs="Arial" w:eastAsia="Arial" w:hAnsi="Arial"/>
        </w:rPr>
        <w:t xml:space="preserve">2. Description of the incident</w:t>
      </w:r>
    </w:p>
    <w:p>
      <w:pPr>
        <w:spacing w:after="80"/>
      </w:pPr>
      <w:r>
        <w:rPr>
          <w:rFonts w:ascii="Arial" w:cs="Arial" w:eastAsia="Arial" w:hAnsi="Arial"/>
          <w:i/>
          <w:iCs/>
          <w:color w:val="4A5568"/>
          <w:sz w:val="18"/>
          <w:szCs w:val="18"/>
        </w:rPr>
        <w:t xml:space="preserve">What happened, in plain English and in time order? What processes, systems, products and customers or members are involved? What is still unknown?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rHeight w:val="1100" w:hRule="atLeast"/>
        </w:trPr>
        <w:tc>
          <w:tcPr>
            <w:tcW w:type="dxa" w:w="3200"/>
            <w:tcBorders>
              <w:top w:val="single" w:color="C9D3E0" w:sz="4"/>
              <w:left w:val="single" w:color="C9D3E0" w:sz="4"/>
              <w:bottom w:val="single" w:color="C9D3E0" w:sz="4"/>
              <w:right w:val="single" w:color="C9D3E0" w:sz="4"/>
            </w:tcBorders>
            <w:shd w:fill="EEF2F7" w:color="auto" w:val="clear"/>
            <w:tcMar>
              <w:top w:type="dxa" w:w="60"/>
              <w:left w:type="dxa" w:w="100"/>
              <w:bottom w:type="dxa" w:w="60"/>
              <w:right w:type="dxa" w:w="100"/>
            </w:tcMar>
          </w:tcPr>
          <w:p>
            <w:pPr>
              <w:spacing w:after="40"/>
            </w:pPr>
            <w:r>
              <w:rPr>
                <w:rFonts w:ascii="Arial" w:cs="Arial" w:eastAsia="Arial" w:hAnsi="Arial"/>
                <w:b/>
                <w:bCs/>
                <w:i w:val="false"/>
                <w:iCs w:val="false"/>
                <w:sz w:val="19"/>
                <w:szCs w:val="19"/>
              </w:rPr>
              <w:t xml:space="preserve">What happened</w:t>
            </w:r>
          </w:p>
        </w:tc>
        <w:tc>
          <w:tcPr>
            <w:tcW w:type="dxa" w:w="6438"/>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9"/>
                <w:szCs w:val="19"/>
              </w:rPr>
              <w:t xml:space="preserve"/>
            </w:r>
          </w:p>
        </w:tc>
      </w:tr>
      <w:tr>
        <w:trPr>
          <w:cantSplit/>
          <w:trHeight w:val="1100" w:hRule="atLeast"/>
        </w:trPr>
        <w:tc>
          <w:tcPr>
            <w:tcW w:type="dxa" w:w="3200"/>
            <w:tcBorders>
              <w:top w:val="single" w:color="C9D3E0" w:sz="4"/>
              <w:left w:val="single" w:color="C9D3E0" w:sz="4"/>
              <w:bottom w:val="single" w:color="C9D3E0" w:sz="4"/>
              <w:right w:val="single" w:color="C9D3E0" w:sz="4"/>
            </w:tcBorders>
            <w:shd w:fill="EEF2F7" w:color="auto" w:val="clear"/>
            <w:tcMar>
              <w:top w:type="dxa" w:w="60"/>
              <w:left w:type="dxa" w:w="100"/>
              <w:bottom w:type="dxa" w:w="60"/>
              <w:right w:type="dxa" w:w="100"/>
            </w:tcMar>
          </w:tcPr>
          <w:p>
            <w:pPr>
              <w:spacing w:after="40"/>
            </w:pPr>
            <w:r>
              <w:rPr>
                <w:rFonts w:ascii="Arial" w:cs="Arial" w:eastAsia="Arial" w:hAnsi="Arial"/>
                <w:b/>
                <w:bCs/>
                <w:i w:val="false"/>
                <w:iCs w:val="false"/>
                <w:sz w:val="19"/>
                <w:szCs w:val="19"/>
              </w:rPr>
              <w:t xml:space="preserve">Timeline of key events</w:t>
            </w:r>
          </w:p>
        </w:tc>
        <w:tc>
          <w:tcPr>
            <w:tcW w:type="dxa" w:w="6438"/>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9"/>
                <w:szCs w:val="19"/>
              </w:rPr>
              <w:t xml:space="preserve"/>
            </w:r>
          </w:p>
        </w:tc>
      </w:tr>
      <w:tr>
        <w:trPr>
          <w:cantSplit/>
          <w:trHeight w:val="1100" w:hRule="atLeast"/>
        </w:trPr>
        <w:tc>
          <w:tcPr>
            <w:tcW w:type="dxa" w:w="3200"/>
            <w:tcBorders>
              <w:top w:val="single" w:color="C9D3E0" w:sz="4"/>
              <w:left w:val="single" w:color="C9D3E0" w:sz="4"/>
              <w:bottom w:val="single" w:color="C9D3E0" w:sz="4"/>
              <w:right w:val="single" w:color="C9D3E0" w:sz="4"/>
            </w:tcBorders>
            <w:shd w:fill="EEF2F7" w:color="auto" w:val="clear"/>
            <w:tcMar>
              <w:top w:type="dxa" w:w="60"/>
              <w:left w:type="dxa" w:w="100"/>
              <w:bottom w:type="dxa" w:w="60"/>
              <w:right w:type="dxa" w:w="100"/>
            </w:tcMar>
          </w:tcPr>
          <w:p>
            <w:pPr>
              <w:spacing w:after="40"/>
            </w:pPr>
            <w:r>
              <w:rPr>
                <w:rFonts w:ascii="Arial" w:cs="Arial" w:eastAsia="Arial" w:hAnsi="Arial"/>
                <w:b/>
                <w:bCs/>
                <w:i w:val="false"/>
                <w:iCs w:val="false"/>
                <w:sz w:val="19"/>
                <w:szCs w:val="19"/>
              </w:rPr>
              <w:t xml:space="preserve">What is still unknown</w:t>
            </w:r>
          </w:p>
        </w:tc>
        <w:tc>
          <w:tcPr>
            <w:tcW w:type="dxa" w:w="6438"/>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9"/>
                <w:szCs w:val="19"/>
              </w:rPr>
              <w:t xml:space="preserve"/>
            </w:r>
          </w:p>
        </w:tc>
      </w:tr>
    </w:tbl>
    <w:p>
      <w:pPr>
        <w:pStyle w:val="Heading1"/>
        <w:spacing w:after="120" w:before="280"/>
      </w:pPr>
      <w:r>
        <w:rPr>
          <w:rFonts w:ascii="Arial" w:cs="Arial" w:eastAsia="Arial" w:hAnsi="Arial"/>
        </w:rPr>
        <w:t xml:space="preserve">3. Impact assessment</w:t>
      </w:r>
    </w:p>
    <w:p>
      <w:pPr>
        <w:spacing w:after="80"/>
      </w:pPr>
      <w:r>
        <w:rPr>
          <w:rFonts w:ascii="Arial" w:cs="Arial" w:eastAsia="Arial" w:hAnsi="Arial"/>
          <w:i/>
          <w:iCs/>
          <w:color w:val="4A5568"/>
          <w:sz w:val="18"/>
          <w:szCs w:val="18"/>
        </w:rPr>
        <w:t xml:space="preserve">Rate each impact using your organisation's consequence scale. Update the assessment as facts firm up.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5238"/>
        <w:gridCol w:w="1800"/>
      </w:tblGrid>
      <w:tr>
        <w:trPr>
          <w:tblHeader/>
        </w:trPr>
        <w:tc>
          <w:tcPr>
            <w:tcW w:type="dxa" w:w="2600"/>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Impact area</w:t>
            </w:r>
          </w:p>
        </w:tc>
        <w:tc>
          <w:tcPr>
            <w:tcW w:type="dxa" w:w="5238"/>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Assessment (facts and estimates)</w:t>
            </w:r>
          </w:p>
        </w:tc>
        <w:tc>
          <w:tcPr>
            <w:tcW w:type="dxa" w:w="1800"/>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Rating</w:t>
            </w:r>
          </w:p>
        </w:tc>
      </w:tr>
      <w:tr>
        <w:trPr>
          <w:cantSplit/>
        </w:trPr>
        <w:tc>
          <w:tcPr>
            <w:tcW w:type="dxa" w:w="26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Customers / members (number and type affected, nature of harm)</w:t>
            </w:r>
          </w:p>
        </w:tc>
        <w:tc>
          <w:tcPr>
            <w:tcW w:type="dxa" w:w="5238"/>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18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r>
      <w:tr>
        <w:trPr>
          <w:cantSplit/>
        </w:trPr>
        <w:tc>
          <w:tcPr>
            <w:tcW w:type="dxa" w:w="26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Financial (estimated loss, costs, remediation)</w:t>
            </w:r>
          </w:p>
        </w:tc>
        <w:tc>
          <w:tcPr>
            <w:tcW w:type="dxa" w:w="5238"/>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18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r>
      <w:tr>
        <w:trPr>
          <w:cantSplit/>
        </w:trPr>
        <w:tc>
          <w:tcPr>
            <w:tcW w:type="dxa" w:w="26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Operations (critical operation affected? within tolerance?)</w:t>
            </w:r>
          </w:p>
        </w:tc>
        <w:tc>
          <w:tcPr>
            <w:tcW w:type="dxa" w:w="5238"/>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18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r>
      <w:tr>
        <w:trPr>
          <w:cantSplit/>
        </w:trPr>
        <w:tc>
          <w:tcPr>
            <w:tcW w:type="dxa" w:w="26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Data and privacy (personal information involved?)</w:t>
            </w:r>
          </w:p>
        </w:tc>
        <w:tc>
          <w:tcPr>
            <w:tcW w:type="dxa" w:w="5238"/>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18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r>
      <w:tr>
        <w:trPr>
          <w:cantSplit/>
        </w:trPr>
        <w:tc>
          <w:tcPr>
            <w:tcW w:type="dxa" w:w="26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Regulatory (obligations potentially breached)</w:t>
            </w:r>
          </w:p>
        </w:tc>
        <w:tc>
          <w:tcPr>
            <w:tcW w:type="dxa" w:w="5238"/>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18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r>
      <w:tr>
        <w:trPr>
          <w:cantSplit/>
        </w:trPr>
        <w:tc>
          <w:tcPr>
            <w:tcW w:type="dxa" w:w="26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Reputation and stakeholders</w:t>
            </w:r>
          </w:p>
        </w:tc>
        <w:tc>
          <w:tcPr>
            <w:tcW w:type="dxa" w:w="5238"/>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18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r>
      <w:tr>
        <w:trPr>
          <w:cantSplit/>
        </w:trPr>
        <w:tc>
          <w:tcPr>
            <w:tcW w:type="dxa" w:w="26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Overall severity</w:t>
            </w:r>
          </w:p>
        </w:tc>
        <w:tc>
          <w:tcPr>
            <w:tcW w:type="dxa" w:w="5238"/>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18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r>
    </w:tbl>
    <w:p>
      <w:pPr>
        <w:pStyle w:val="Heading1"/>
        <w:spacing w:after="120" w:before="280"/>
      </w:pPr>
      <w:r>
        <w:rPr>
          <w:rFonts w:ascii="Arial" w:cs="Arial" w:eastAsia="Arial" w:hAnsi="Arial"/>
        </w:rPr>
        <w:t xml:space="preserve">4. Immediate actions and containment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8"/>
        <w:gridCol w:w="1900"/>
        <w:gridCol w:w="1400"/>
        <w:gridCol w:w="1700"/>
      </w:tblGrid>
      <w:tr>
        <w:trPr>
          <w:tblHeader/>
        </w:trPr>
        <w:tc>
          <w:tcPr>
            <w:tcW w:type="dxa" w:w="4638"/>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Action taken to contain or limit harm</w:t>
            </w:r>
          </w:p>
        </w:tc>
        <w:tc>
          <w:tcPr>
            <w:tcW w:type="dxa" w:w="1900"/>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Owner</w:t>
            </w:r>
          </w:p>
        </w:tc>
        <w:tc>
          <w:tcPr>
            <w:tcW w:type="dxa" w:w="1400"/>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Date</w:t>
            </w:r>
          </w:p>
        </w:tc>
        <w:tc>
          <w:tcPr>
            <w:tcW w:type="dxa" w:w="1700"/>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Status</w:t>
            </w:r>
          </w:p>
        </w:tc>
      </w:tr>
      <w:tr>
        <w:trPr>
          <w:cantSplit/>
        </w:trPr>
        <w:tc>
          <w:tcPr>
            <w:tcW w:type="dxa" w:w="4638"/>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19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14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17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r>
      <w:tr>
        <w:trPr>
          <w:cantSplit/>
        </w:trPr>
        <w:tc>
          <w:tcPr>
            <w:tcW w:type="dxa" w:w="4638"/>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19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14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17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r>
      <w:tr>
        <w:trPr>
          <w:cantSplit/>
        </w:trPr>
        <w:tc>
          <w:tcPr>
            <w:tcW w:type="dxa" w:w="4638"/>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19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14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17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r>
      <w:tr>
        <w:trPr>
          <w:cantSplit/>
        </w:trPr>
        <w:tc>
          <w:tcPr>
            <w:tcW w:type="dxa" w:w="4638"/>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19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14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17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r>
    </w:tbl>
    <w:p>
      <w:pPr>
        <w:pStyle w:val="Heading1"/>
        <w:spacing w:after="120" w:before="280"/>
      </w:pPr>
      <w:r>
        <w:rPr>
          <w:rFonts w:ascii="Arial" w:cs="Arial" w:eastAsia="Arial" w:hAnsi="Arial"/>
        </w:rPr>
        <w:t xml:space="preserve">5. Breach and notification assessment</w:t>
      </w:r>
    </w:p>
    <w:p>
      <w:pPr>
        <w:spacing w:after="80"/>
      </w:pPr>
      <w:r>
        <w:rPr>
          <w:rFonts w:ascii="Arial" w:cs="Arial" w:eastAsia="Arial" w:hAnsi="Arial"/>
          <w:i/>
          <w:iCs/>
          <w:color w:val="4A5568"/>
          <w:sz w:val="18"/>
          <w:szCs w:val="18"/>
        </w:rPr>
        <w:t xml:space="preserve">Check every regime that may apply. One incident can trigger several notifications with different tests and deadlines. Timeframes below are a summary as at September 2026. Always confirm the current requirements and your own licences and policies, and seek advice where needed.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638"/>
        <w:gridCol w:w="1500"/>
        <w:gridCol w:w="2200"/>
      </w:tblGrid>
      <w:tr>
        <w:trPr>
          <w:tblHeader/>
        </w:trPr>
        <w:tc>
          <w:tcPr>
            <w:tcW w:type="dxa" w:w="2300"/>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Regime (who it applies to)</w:t>
            </w:r>
          </w:p>
        </w:tc>
        <w:tc>
          <w:tcPr>
            <w:tcW w:type="dxa" w:w="3638"/>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Key test and deadline (summary)</w:t>
            </w:r>
          </w:p>
        </w:tc>
        <w:tc>
          <w:tcPr>
            <w:tcW w:type="dxa" w:w="1500"/>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Applies? Y / N / Unsure</w:t>
            </w:r>
          </w:p>
        </w:tc>
        <w:tc>
          <w:tcPr>
            <w:tcW w:type="dxa" w:w="2200"/>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Decision, date and by whom</w:t>
            </w:r>
          </w:p>
        </w:tc>
      </w:tr>
      <w:tr>
        <w:trPr>
          <w:cantSplit/>
        </w:trPr>
        <w:tc>
          <w:tcPr>
            <w:tcW w:type="dxa" w:w="23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ASIC reportable situation (AFS and credit licensees)</w:t>
            </w:r>
          </w:p>
        </w:tc>
        <w:tc>
          <w:tcPr>
            <w:tcW w:type="dxa" w:w="363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Significant breach or likely significant breach of a core obligation, and some other situations: within 30 calendar days of awareness. Long-running investigations are also reportable.</w:t>
            </w:r>
          </w:p>
        </w:tc>
        <w:tc>
          <w:tcPr>
            <w:tcW w:type="dxa" w:w="15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22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r>
      <w:tr>
        <w:trPr>
          <w:cantSplit/>
        </w:trPr>
        <w:tc>
          <w:tcPr>
            <w:tcW w:type="dxa" w:w="23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APRA CPS 230 (APRA-regulated entities)</w:t>
            </w:r>
          </w:p>
        </w:tc>
        <w:tc>
          <w:tcPr>
            <w:tcW w:type="dxa" w:w="363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Disruption to a critical operation outside tolerance: 24 hours. Material operational risk incident: 72 hours.</w:t>
            </w:r>
          </w:p>
        </w:tc>
        <w:tc>
          <w:tcPr>
            <w:tcW w:type="dxa" w:w="15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22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r>
      <w:tr>
        <w:trPr>
          <w:cantSplit/>
        </w:trPr>
        <w:tc>
          <w:tcPr>
            <w:tcW w:type="dxa" w:w="23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APRA CPS 234 (APRA-regulated entities)</w:t>
            </w:r>
          </w:p>
        </w:tc>
        <w:tc>
          <w:tcPr>
            <w:tcW w:type="dxa" w:w="363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Material information security incident: 72 hours. Material control weakness not remediated in time: 10 business days.</w:t>
            </w:r>
          </w:p>
        </w:tc>
        <w:tc>
          <w:tcPr>
            <w:tcW w:type="dxa" w:w="15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22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r>
      <w:tr>
        <w:trPr>
          <w:cantSplit/>
        </w:trPr>
        <w:tc>
          <w:tcPr>
            <w:tcW w:type="dxa" w:w="23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APRA, SIS Act s 29JA (super trustees)</w:t>
            </w:r>
          </w:p>
        </w:tc>
        <w:tc>
          <w:tcPr>
            <w:tcW w:type="dxa" w:w="363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Significant breach of RSE licensee law and certain other matters: in writing within 30 days (some matters immediately).</w:t>
            </w:r>
          </w:p>
        </w:tc>
        <w:tc>
          <w:tcPr>
            <w:tcW w:type="dxa" w:w="15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22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r>
      <w:tr>
        <w:trPr>
          <w:cantSplit/>
        </w:trPr>
        <w:tc>
          <w:tcPr>
            <w:tcW w:type="dxa" w:w="23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OAIC Notifiable Data Breaches scheme</w:t>
            </w:r>
          </w:p>
        </w:tc>
        <w:tc>
          <w:tcPr>
            <w:tcW w:type="dxa" w:w="363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Reasonable grounds to suspect an eligible data breach: assess, generally within 30 days. Eligible breach: notify the OAIC and affected individuals as soon as practicable.</w:t>
            </w:r>
          </w:p>
        </w:tc>
        <w:tc>
          <w:tcPr>
            <w:tcW w:type="dxa" w:w="15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22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r>
      <w:tr>
        <w:trPr>
          <w:cantSplit/>
        </w:trPr>
        <w:tc>
          <w:tcPr>
            <w:tcW w:type="dxa" w:w="23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AUSTRAC (reporting entities)</w:t>
            </w:r>
          </w:p>
        </w:tc>
        <w:tc>
          <w:tcPr>
            <w:tcW w:type="dxa" w:w="363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Suspicious matter report: 3 business days (24 hours for terrorism financing). Don't tip off the customer.</w:t>
            </w:r>
          </w:p>
        </w:tc>
        <w:tc>
          <w:tcPr>
            <w:tcW w:type="dxa" w:w="15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22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r>
      <w:tr>
        <w:trPr>
          <w:cantSplit/>
        </w:trPr>
        <w:tc>
          <w:tcPr>
            <w:tcW w:type="dxa" w:w="23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Affected customers or members</w:t>
            </w:r>
          </w:p>
        </w:tc>
        <w:tc>
          <w:tcPr>
            <w:tcW w:type="dxa" w:w="363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Consider disclosure and remediation obligations, e.g. s 912EA for personal advice licensees and ASIC RG 277 on remediation.</w:t>
            </w:r>
          </w:p>
        </w:tc>
        <w:tc>
          <w:tcPr>
            <w:tcW w:type="dxa" w:w="15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22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r>
      <w:tr>
        <w:trPr>
          <w:cantSplit/>
        </w:trPr>
        <w:tc>
          <w:tcPr>
            <w:tcW w:type="dxa" w:w="23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Other (board, auditor, insurer, contracts, other regulators)</w:t>
            </w:r>
          </w:p>
        </w:tc>
        <w:tc>
          <w:tcPr>
            <w:tcW w:type="dxa" w:w="363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e.g. board reporting policy, professional indemnity insurer notification, service provider contract terms.</w:t>
            </w:r>
          </w:p>
        </w:tc>
        <w:tc>
          <w:tcPr>
            <w:tcW w:type="dxa" w:w="15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22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rPr>
        <w:tc>
          <w:tcPr>
            <w:tcW w:type="dxa" w:w="3200"/>
            <w:tcBorders>
              <w:top w:val="single" w:color="C9D3E0" w:sz="4"/>
              <w:left w:val="single" w:color="C9D3E0" w:sz="4"/>
              <w:bottom w:val="single" w:color="C9D3E0" w:sz="4"/>
              <w:right w:val="single" w:color="C9D3E0" w:sz="4"/>
            </w:tcBorders>
            <w:shd w:fill="EEF2F7" w:color="auto" w:val="clear"/>
            <w:tcMar>
              <w:top w:type="dxa" w:w="60"/>
              <w:left w:type="dxa" w:w="100"/>
              <w:bottom w:type="dxa" w:w="60"/>
              <w:right w:type="dxa" w:w="100"/>
            </w:tcMar>
          </w:tcPr>
          <w:p>
            <w:pPr>
              <w:spacing w:after="40"/>
            </w:pPr>
            <w:r>
              <w:rPr>
                <w:rFonts w:ascii="Arial" w:cs="Arial" w:eastAsia="Arial" w:hAnsi="Arial"/>
                <w:b/>
                <w:bCs/>
                <w:i w:val="false"/>
                <w:iCs w:val="false"/>
                <w:sz w:val="19"/>
                <w:szCs w:val="19"/>
              </w:rPr>
              <w:t xml:space="preserve">Is this a breach of an obligation? Which one?</w:t>
            </w:r>
          </w:p>
        </w:tc>
        <w:tc>
          <w:tcPr>
            <w:tcW w:type="dxa" w:w="6438"/>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9"/>
                <w:szCs w:val="19"/>
              </w:rPr>
              <w:t xml:space="preserve"/>
            </w:r>
          </w:p>
        </w:tc>
      </w:tr>
      <w:tr>
        <w:trPr>
          <w:cantSplit/>
        </w:trPr>
        <w:tc>
          <w:tcPr>
            <w:tcW w:type="dxa" w:w="3200"/>
            <w:tcBorders>
              <w:top w:val="single" w:color="C9D3E0" w:sz="4"/>
              <w:left w:val="single" w:color="C9D3E0" w:sz="4"/>
              <w:bottom w:val="single" w:color="C9D3E0" w:sz="4"/>
              <w:right w:val="single" w:color="C9D3E0" w:sz="4"/>
            </w:tcBorders>
            <w:shd w:fill="EEF2F7" w:color="auto" w:val="clear"/>
            <w:tcMar>
              <w:top w:type="dxa" w:w="60"/>
              <w:left w:type="dxa" w:w="100"/>
              <w:bottom w:type="dxa" w:w="60"/>
              <w:right w:type="dxa" w:w="100"/>
            </w:tcMar>
          </w:tcPr>
          <w:p>
            <w:pPr>
              <w:spacing w:after="40"/>
            </w:pPr>
            <w:r>
              <w:rPr>
                <w:rFonts w:ascii="Arial" w:cs="Arial" w:eastAsia="Arial" w:hAnsi="Arial"/>
                <w:b/>
                <w:bCs/>
                <w:i w:val="false"/>
                <w:iCs w:val="false"/>
                <w:sz w:val="19"/>
                <w:szCs w:val="19"/>
              </w:rPr>
              <w:t xml:space="preserve">Significance assessment and reasoning</w:t>
            </w:r>
          </w:p>
        </w:tc>
        <w:tc>
          <w:tcPr>
            <w:tcW w:type="dxa" w:w="6438"/>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iCs/>
                <w:color w:val="6B7280"/>
                <w:sz w:val="17"/>
                <w:szCs w:val="17"/>
              </w:rPr>
              <w:t xml:space="preserve">Record the reasoning, especially if you decide a matter is NOT reportable</w:t>
            </w:r>
          </w:p>
        </w:tc>
      </w:tr>
      <w:tr>
        <w:trPr>
          <w:cantSplit/>
        </w:trPr>
        <w:tc>
          <w:tcPr>
            <w:tcW w:type="dxa" w:w="3200"/>
            <w:tcBorders>
              <w:top w:val="single" w:color="C9D3E0" w:sz="4"/>
              <w:left w:val="single" w:color="C9D3E0" w:sz="4"/>
              <w:bottom w:val="single" w:color="C9D3E0" w:sz="4"/>
              <w:right w:val="single" w:color="C9D3E0" w:sz="4"/>
            </w:tcBorders>
            <w:shd w:fill="EEF2F7" w:color="auto" w:val="clear"/>
            <w:tcMar>
              <w:top w:type="dxa" w:w="60"/>
              <w:left w:type="dxa" w:w="100"/>
              <w:bottom w:type="dxa" w:w="60"/>
              <w:right w:type="dxa" w:w="100"/>
            </w:tcMar>
          </w:tcPr>
          <w:p>
            <w:pPr>
              <w:spacing w:after="40"/>
            </w:pPr>
            <w:r>
              <w:rPr>
                <w:rFonts w:ascii="Arial" w:cs="Arial" w:eastAsia="Arial" w:hAnsi="Arial"/>
                <w:b/>
                <w:bCs/>
                <w:i w:val="false"/>
                <w:iCs w:val="false"/>
                <w:sz w:val="19"/>
                <w:szCs w:val="19"/>
              </w:rPr>
              <w:t xml:space="preserve">Reference numbers of notifications lodged</w:t>
            </w:r>
          </w:p>
        </w:tc>
        <w:tc>
          <w:tcPr>
            <w:tcW w:type="dxa" w:w="6438"/>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9"/>
                <w:szCs w:val="19"/>
              </w:rPr>
              <w:t xml:space="preserve"/>
            </w:r>
          </w:p>
        </w:tc>
      </w:tr>
    </w:tbl>
    <w:p>
      <w:pPr>
        <w:pStyle w:val="Heading1"/>
        <w:spacing w:after="120" w:before="280"/>
      </w:pPr>
      <w:r>
        <w:rPr>
          <w:rFonts w:ascii="Arial" w:cs="Arial" w:eastAsia="Arial" w:hAnsi="Arial"/>
        </w:rPr>
        <w:t xml:space="preserve">6. Root cause analysis</w:t>
      </w:r>
    </w:p>
    <w:p>
      <w:pPr>
        <w:spacing w:after="80"/>
      </w:pPr>
      <w:r>
        <w:rPr>
          <w:rFonts w:ascii="Arial" w:cs="Arial" w:eastAsia="Arial" w:hAnsi="Arial"/>
          <w:i/>
          <w:iCs/>
          <w:color w:val="4A5568"/>
          <w:sz w:val="18"/>
          <w:szCs w:val="18"/>
        </w:rPr>
        <w:t xml:space="preserve">Ask "why" until you reach causes you can fix. Distinguish the root cause from contributing factors. For each failed control, say whether it failed in design (it wouldn't work even if performed) or in operation (it wasn't performed as designed).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rHeight w:val="1100" w:hRule="atLeast"/>
        </w:trPr>
        <w:tc>
          <w:tcPr>
            <w:tcW w:type="dxa" w:w="3200"/>
            <w:tcBorders>
              <w:top w:val="single" w:color="C9D3E0" w:sz="4"/>
              <w:left w:val="single" w:color="C9D3E0" w:sz="4"/>
              <w:bottom w:val="single" w:color="C9D3E0" w:sz="4"/>
              <w:right w:val="single" w:color="C9D3E0" w:sz="4"/>
            </w:tcBorders>
            <w:shd w:fill="EEF2F7" w:color="auto" w:val="clear"/>
            <w:tcMar>
              <w:top w:type="dxa" w:w="60"/>
              <w:left w:type="dxa" w:w="100"/>
              <w:bottom w:type="dxa" w:w="60"/>
              <w:right w:type="dxa" w:w="100"/>
            </w:tcMar>
          </w:tcPr>
          <w:p>
            <w:pPr>
              <w:spacing w:after="40"/>
            </w:pPr>
            <w:r>
              <w:rPr>
                <w:rFonts w:ascii="Arial" w:cs="Arial" w:eastAsia="Arial" w:hAnsi="Arial"/>
                <w:b/>
                <w:bCs/>
                <w:i w:val="false"/>
                <w:iCs w:val="false"/>
                <w:sz w:val="19"/>
                <w:szCs w:val="19"/>
              </w:rPr>
              <w:t xml:space="preserve">Root cause(s)</w:t>
            </w:r>
          </w:p>
        </w:tc>
        <w:tc>
          <w:tcPr>
            <w:tcW w:type="dxa" w:w="6438"/>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9"/>
                <w:szCs w:val="19"/>
              </w:rPr>
              <w:t xml:space="preserve"/>
            </w:r>
          </w:p>
        </w:tc>
      </w:tr>
      <w:tr>
        <w:trPr>
          <w:cantSplit/>
          <w:trHeight w:val="1100" w:hRule="atLeast"/>
        </w:trPr>
        <w:tc>
          <w:tcPr>
            <w:tcW w:type="dxa" w:w="3200"/>
            <w:tcBorders>
              <w:top w:val="single" w:color="C9D3E0" w:sz="4"/>
              <w:left w:val="single" w:color="C9D3E0" w:sz="4"/>
              <w:bottom w:val="single" w:color="C9D3E0" w:sz="4"/>
              <w:right w:val="single" w:color="C9D3E0" w:sz="4"/>
            </w:tcBorders>
            <w:shd w:fill="EEF2F7" w:color="auto" w:val="clear"/>
            <w:tcMar>
              <w:top w:type="dxa" w:w="60"/>
              <w:left w:type="dxa" w:w="100"/>
              <w:bottom w:type="dxa" w:w="60"/>
              <w:right w:type="dxa" w:w="100"/>
            </w:tcMar>
          </w:tcPr>
          <w:p>
            <w:pPr>
              <w:spacing w:after="40"/>
            </w:pPr>
            <w:r>
              <w:rPr>
                <w:rFonts w:ascii="Arial" w:cs="Arial" w:eastAsia="Arial" w:hAnsi="Arial"/>
                <w:b/>
                <w:bCs/>
                <w:i w:val="false"/>
                <w:iCs w:val="false"/>
                <w:sz w:val="19"/>
                <w:szCs w:val="19"/>
              </w:rPr>
              <w:t xml:space="preserve">Contributing factors</w:t>
            </w:r>
          </w:p>
        </w:tc>
        <w:tc>
          <w:tcPr>
            <w:tcW w:type="dxa" w:w="6438"/>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9"/>
                <w:szCs w:val="19"/>
              </w:rPr>
              <w:t xml:space="preserve"/>
            </w:r>
          </w:p>
        </w:tc>
      </w:tr>
      <w:tr>
        <w:trPr>
          <w:cantSplit/>
          <w:trHeight w:val="1100" w:hRule="atLeast"/>
        </w:trPr>
        <w:tc>
          <w:tcPr>
            <w:tcW w:type="dxa" w:w="3200"/>
            <w:tcBorders>
              <w:top w:val="single" w:color="C9D3E0" w:sz="4"/>
              <w:left w:val="single" w:color="C9D3E0" w:sz="4"/>
              <w:bottom w:val="single" w:color="C9D3E0" w:sz="4"/>
              <w:right w:val="single" w:color="C9D3E0" w:sz="4"/>
            </w:tcBorders>
            <w:shd w:fill="EEF2F7" w:color="auto" w:val="clear"/>
            <w:tcMar>
              <w:top w:type="dxa" w:w="60"/>
              <w:left w:type="dxa" w:w="100"/>
              <w:bottom w:type="dxa" w:w="60"/>
              <w:right w:type="dxa" w:w="100"/>
            </w:tcMar>
          </w:tcPr>
          <w:p>
            <w:pPr>
              <w:spacing w:after="40"/>
            </w:pPr>
            <w:r>
              <w:rPr>
                <w:rFonts w:ascii="Arial" w:cs="Arial" w:eastAsia="Arial" w:hAnsi="Arial"/>
                <w:b/>
                <w:bCs/>
                <w:i w:val="false"/>
                <w:iCs w:val="false"/>
                <w:sz w:val="19"/>
                <w:szCs w:val="19"/>
              </w:rPr>
              <w:t xml:space="preserve">Controls that failed (design or operating failure)</w:t>
            </w:r>
          </w:p>
        </w:tc>
        <w:tc>
          <w:tcPr>
            <w:tcW w:type="dxa" w:w="6438"/>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9"/>
                <w:szCs w:val="19"/>
              </w:rPr>
              <w:t xml:space="preserve"/>
            </w:r>
          </w:p>
        </w:tc>
      </w:tr>
      <w:tr>
        <w:trPr>
          <w:cantSplit/>
          <w:trHeight w:val="1100" w:hRule="atLeast"/>
        </w:trPr>
        <w:tc>
          <w:tcPr>
            <w:tcW w:type="dxa" w:w="3200"/>
            <w:tcBorders>
              <w:top w:val="single" w:color="C9D3E0" w:sz="4"/>
              <w:left w:val="single" w:color="C9D3E0" w:sz="4"/>
              <w:bottom w:val="single" w:color="C9D3E0" w:sz="4"/>
              <w:right w:val="single" w:color="C9D3E0" w:sz="4"/>
            </w:tcBorders>
            <w:shd w:fill="EEF2F7" w:color="auto" w:val="clear"/>
            <w:tcMar>
              <w:top w:type="dxa" w:w="60"/>
              <w:left w:type="dxa" w:w="100"/>
              <w:bottom w:type="dxa" w:w="60"/>
              <w:right w:type="dxa" w:w="100"/>
            </w:tcMar>
          </w:tcPr>
          <w:p>
            <w:pPr>
              <w:spacing w:after="40"/>
            </w:pPr>
            <w:r>
              <w:rPr>
                <w:rFonts w:ascii="Arial" w:cs="Arial" w:eastAsia="Arial" w:hAnsi="Arial"/>
                <w:b/>
                <w:bCs/>
                <w:i w:val="false"/>
                <w:iCs w:val="false"/>
                <w:sz w:val="19"/>
                <w:szCs w:val="19"/>
              </w:rPr>
              <w:t xml:space="preserve">Could this happen elsewhere? (similar products, processes, systems)</w:t>
            </w:r>
          </w:p>
        </w:tc>
        <w:tc>
          <w:tcPr>
            <w:tcW w:type="dxa" w:w="6438"/>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9"/>
                <w:szCs w:val="19"/>
              </w:rPr>
              <w:t xml:space="preserve"/>
            </w:r>
          </w:p>
        </w:tc>
      </w:tr>
    </w:tbl>
    <w:p>
      <w:pPr>
        <w:pStyle w:val="Heading1"/>
        <w:spacing w:after="120" w:before="280"/>
      </w:pPr>
      <w:r>
        <w:rPr>
          <w:rFonts w:ascii="Arial" w:cs="Arial" w:eastAsia="Arial" w:hAnsi="Arial"/>
        </w:rPr>
        <w:t xml:space="preserve">7. Remediation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rPr>
        <w:tc>
          <w:tcPr>
            <w:tcW w:type="dxa" w:w="3200"/>
            <w:tcBorders>
              <w:top w:val="single" w:color="C9D3E0" w:sz="4"/>
              <w:left w:val="single" w:color="C9D3E0" w:sz="4"/>
              <w:bottom w:val="single" w:color="C9D3E0" w:sz="4"/>
              <w:right w:val="single" w:color="C9D3E0" w:sz="4"/>
            </w:tcBorders>
            <w:shd w:fill="EEF2F7" w:color="auto" w:val="clear"/>
            <w:tcMar>
              <w:top w:type="dxa" w:w="60"/>
              <w:left w:type="dxa" w:w="100"/>
              <w:bottom w:type="dxa" w:w="60"/>
              <w:right w:type="dxa" w:w="100"/>
            </w:tcMar>
          </w:tcPr>
          <w:p>
            <w:pPr>
              <w:spacing w:after="40"/>
            </w:pPr>
            <w:r>
              <w:rPr>
                <w:rFonts w:ascii="Arial" w:cs="Arial" w:eastAsia="Arial" w:hAnsi="Arial"/>
                <w:b/>
                <w:bCs/>
                <w:i w:val="false"/>
                <w:iCs w:val="false"/>
                <w:sz w:val="19"/>
                <w:szCs w:val="19"/>
              </w:rPr>
              <w:t xml:space="preserve">Customer / member remediation needed?</w:t>
            </w:r>
          </w:p>
        </w:tc>
        <w:tc>
          <w:tcPr>
            <w:tcW w:type="dxa" w:w="6438"/>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iCs/>
                <w:color w:val="6B7280"/>
                <w:sz w:val="17"/>
                <w:szCs w:val="17"/>
              </w:rPr>
              <w:t xml:space="preserve">Y / N. If yes: scope, method, beneficial assumptions, interest or earnings, estimated cost, timeframe</w:t>
            </w:r>
          </w:p>
        </w:tc>
      </w:tr>
      <w:tr>
        <w:trPr>
          <w:cantSplit/>
        </w:trPr>
        <w:tc>
          <w:tcPr>
            <w:tcW w:type="dxa" w:w="3200"/>
            <w:tcBorders>
              <w:top w:val="single" w:color="C9D3E0" w:sz="4"/>
              <w:left w:val="single" w:color="C9D3E0" w:sz="4"/>
              <w:bottom w:val="single" w:color="C9D3E0" w:sz="4"/>
              <w:right w:val="single" w:color="C9D3E0" w:sz="4"/>
            </w:tcBorders>
            <w:shd w:fill="EEF2F7" w:color="auto" w:val="clear"/>
            <w:tcMar>
              <w:top w:type="dxa" w:w="60"/>
              <w:left w:type="dxa" w:w="100"/>
              <w:bottom w:type="dxa" w:w="60"/>
              <w:right w:type="dxa" w:w="100"/>
            </w:tcMar>
          </w:tcPr>
          <w:p>
            <w:pPr>
              <w:spacing w:after="40"/>
            </w:pPr>
            <w:r>
              <w:rPr>
                <w:rFonts w:ascii="Arial" w:cs="Arial" w:eastAsia="Arial" w:hAnsi="Arial"/>
                <w:b/>
                <w:bCs/>
                <w:i w:val="false"/>
                <w:iCs w:val="false"/>
                <w:sz w:val="19"/>
                <w:szCs w:val="19"/>
              </w:rPr>
              <w:t xml:space="preserve">Who bears the cost?</w:t>
            </w:r>
          </w:p>
        </w:tc>
        <w:tc>
          <w:tcPr>
            <w:tcW w:type="dxa" w:w="6438"/>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iCs/>
                <w:color w:val="6B7280"/>
                <w:sz w:val="17"/>
                <w:szCs w:val="17"/>
              </w:rPr>
              <w:t xml:space="preserve">e.g. the organisation, a service provider, insurance. For super trustees, consider members' best financial interests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8"/>
        <w:gridCol w:w="1900"/>
        <w:gridCol w:w="1400"/>
        <w:gridCol w:w="1700"/>
      </w:tblGrid>
      <w:tr>
        <w:trPr>
          <w:tblHeader/>
        </w:trPr>
        <w:tc>
          <w:tcPr>
            <w:tcW w:type="dxa" w:w="4638"/>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Action to fix the root cause and strengthen controls</w:t>
            </w:r>
          </w:p>
        </w:tc>
        <w:tc>
          <w:tcPr>
            <w:tcW w:type="dxa" w:w="1900"/>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Owner</w:t>
            </w:r>
          </w:p>
        </w:tc>
        <w:tc>
          <w:tcPr>
            <w:tcW w:type="dxa" w:w="1400"/>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Due date</w:t>
            </w:r>
          </w:p>
        </w:tc>
        <w:tc>
          <w:tcPr>
            <w:tcW w:type="dxa" w:w="1700"/>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Status</w:t>
            </w:r>
          </w:p>
        </w:tc>
      </w:tr>
      <w:tr>
        <w:trPr>
          <w:cantSplit/>
        </w:trPr>
        <w:tc>
          <w:tcPr>
            <w:tcW w:type="dxa" w:w="4638"/>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19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14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17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r>
      <w:tr>
        <w:trPr>
          <w:cantSplit/>
        </w:trPr>
        <w:tc>
          <w:tcPr>
            <w:tcW w:type="dxa" w:w="4638"/>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19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14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17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r>
      <w:tr>
        <w:trPr>
          <w:cantSplit/>
        </w:trPr>
        <w:tc>
          <w:tcPr>
            <w:tcW w:type="dxa" w:w="4638"/>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19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14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17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r>
      <w:tr>
        <w:trPr>
          <w:cantSplit/>
        </w:trPr>
        <w:tc>
          <w:tcPr>
            <w:tcW w:type="dxa" w:w="4638"/>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19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14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17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r>
    </w:tbl>
    <w:p>
      <w:pPr>
        <w:pStyle w:val="Heading1"/>
        <w:spacing w:after="120" w:before="280"/>
      </w:pPr>
      <w:r>
        <w:rPr>
          <w:rFonts w:ascii="Arial" w:cs="Arial" w:eastAsia="Arial" w:hAnsi="Arial"/>
        </w:rPr>
        <w:t xml:space="preserve">8. Lessons learned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rHeight w:val="1100" w:hRule="atLeast"/>
        </w:trPr>
        <w:tc>
          <w:tcPr>
            <w:tcW w:type="dxa" w:w="3200"/>
            <w:tcBorders>
              <w:top w:val="single" w:color="C9D3E0" w:sz="4"/>
              <w:left w:val="single" w:color="C9D3E0" w:sz="4"/>
              <w:bottom w:val="single" w:color="C9D3E0" w:sz="4"/>
              <w:right w:val="single" w:color="C9D3E0" w:sz="4"/>
            </w:tcBorders>
            <w:shd w:fill="EEF2F7" w:color="auto" w:val="clear"/>
            <w:tcMar>
              <w:top w:type="dxa" w:w="60"/>
              <w:left w:type="dxa" w:w="100"/>
              <w:bottom w:type="dxa" w:w="60"/>
              <w:right w:type="dxa" w:w="100"/>
            </w:tcMar>
          </w:tcPr>
          <w:p>
            <w:pPr>
              <w:spacing w:after="40"/>
            </w:pPr>
            <w:r>
              <w:rPr>
                <w:rFonts w:ascii="Arial" w:cs="Arial" w:eastAsia="Arial" w:hAnsi="Arial"/>
                <w:b/>
                <w:bCs/>
                <w:i w:val="false"/>
                <w:iCs w:val="false"/>
                <w:sz w:val="19"/>
                <w:szCs w:val="19"/>
              </w:rPr>
              <w:t xml:space="preserve">What worked well</w:t>
            </w:r>
          </w:p>
        </w:tc>
        <w:tc>
          <w:tcPr>
            <w:tcW w:type="dxa" w:w="6438"/>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9"/>
                <w:szCs w:val="19"/>
              </w:rPr>
              <w:t xml:space="preserve"/>
            </w:r>
          </w:p>
        </w:tc>
      </w:tr>
      <w:tr>
        <w:trPr>
          <w:cantSplit/>
          <w:trHeight w:val="1100" w:hRule="atLeast"/>
        </w:trPr>
        <w:tc>
          <w:tcPr>
            <w:tcW w:type="dxa" w:w="3200"/>
            <w:tcBorders>
              <w:top w:val="single" w:color="C9D3E0" w:sz="4"/>
              <w:left w:val="single" w:color="C9D3E0" w:sz="4"/>
              <w:bottom w:val="single" w:color="C9D3E0" w:sz="4"/>
              <w:right w:val="single" w:color="C9D3E0" w:sz="4"/>
            </w:tcBorders>
            <w:shd w:fill="EEF2F7" w:color="auto" w:val="clear"/>
            <w:tcMar>
              <w:top w:type="dxa" w:w="60"/>
              <w:left w:type="dxa" w:w="100"/>
              <w:bottom w:type="dxa" w:w="60"/>
              <w:right w:type="dxa" w:w="100"/>
            </w:tcMar>
          </w:tcPr>
          <w:p>
            <w:pPr>
              <w:spacing w:after="40"/>
            </w:pPr>
            <w:r>
              <w:rPr>
                <w:rFonts w:ascii="Arial" w:cs="Arial" w:eastAsia="Arial" w:hAnsi="Arial"/>
                <w:b/>
                <w:bCs/>
                <w:i w:val="false"/>
                <w:iCs w:val="false"/>
                <w:sz w:val="19"/>
                <w:szCs w:val="19"/>
              </w:rPr>
              <w:t xml:space="preserve">What should change</w:t>
            </w:r>
          </w:p>
        </w:tc>
        <w:tc>
          <w:tcPr>
            <w:tcW w:type="dxa" w:w="6438"/>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9"/>
                <w:szCs w:val="19"/>
              </w:rPr>
              <w:t xml:space="preserve"/>
            </w:r>
          </w:p>
        </w:tc>
      </w:tr>
      <w:tr>
        <w:trPr>
          <w:cantSplit/>
          <w:trHeight w:val="1100" w:hRule="atLeast"/>
        </w:trPr>
        <w:tc>
          <w:tcPr>
            <w:tcW w:type="dxa" w:w="3200"/>
            <w:tcBorders>
              <w:top w:val="single" w:color="C9D3E0" w:sz="4"/>
              <w:left w:val="single" w:color="C9D3E0" w:sz="4"/>
              <w:bottom w:val="single" w:color="C9D3E0" w:sz="4"/>
              <w:right w:val="single" w:color="C9D3E0" w:sz="4"/>
            </w:tcBorders>
            <w:shd w:fill="EEF2F7" w:color="auto" w:val="clear"/>
            <w:tcMar>
              <w:top w:type="dxa" w:w="60"/>
              <w:left w:type="dxa" w:w="100"/>
              <w:bottom w:type="dxa" w:w="60"/>
              <w:right w:type="dxa" w:w="100"/>
            </w:tcMar>
          </w:tcPr>
          <w:p>
            <w:pPr>
              <w:spacing w:after="40"/>
            </w:pPr>
            <w:r>
              <w:rPr>
                <w:rFonts w:ascii="Arial" w:cs="Arial" w:eastAsia="Arial" w:hAnsi="Arial"/>
                <w:b/>
                <w:bCs/>
                <w:i w:val="false"/>
                <w:iCs w:val="false"/>
                <w:sz w:val="19"/>
                <w:szCs w:val="19"/>
              </w:rPr>
              <w:t xml:space="preserve">Who needs to know (training, other teams, risk register updates)</w:t>
            </w:r>
          </w:p>
        </w:tc>
        <w:tc>
          <w:tcPr>
            <w:tcW w:type="dxa" w:w="6438"/>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9"/>
                <w:szCs w:val="19"/>
              </w:rPr>
              <w:t xml:space="preserve"/>
            </w:r>
          </w:p>
        </w:tc>
      </w:tr>
    </w:tbl>
    <w:p>
      <w:pPr>
        <w:pStyle w:val="Heading1"/>
        <w:spacing w:after="120" w:before="280"/>
      </w:pPr>
      <w:r>
        <w:rPr>
          <w:rFonts w:ascii="Arial" w:cs="Arial" w:eastAsia="Arial" w:hAnsi="Arial"/>
        </w:rPr>
        <w:t xml:space="preserve">9. Review, approval and closure</w:t>
      </w:r>
    </w:p>
    <w:p>
      <w:pPr>
        <w:spacing w:after="100"/>
        <w:rPr>
          <w:b/>
          <w:bCs/>
          <w:sz w:val="20"/>
          <w:szCs w:val="20"/>
        </w:rPr>
      </w:pPr>
      <w:r>
        <w:rPr>
          <w:rFonts w:ascii="Arial" w:cs="Arial" w:eastAsia="Arial" w:hAnsi="Arial"/>
          <w:b/>
          <w:bCs/>
          <w:sz w:val="20"/>
          <w:szCs w:val="20"/>
        </w:rPr>
        <w:t xml:space="preserve">Close the incident only when:</w:t>
      </w:r>
    </w:p>
    <w:p>
      <w:pPr>
        <w:pStyle w:val="ListParagraph"/>
        <w:numPr>
          <w:ilvl w:val="0"/>
          <w:numId w:val="2"/>
        </w:numPr>
        <w:spacing w:after="60"/>
      </w:pPr>
      <w:r>
        <w:rPr>
          <w:rFonts w:ascii="Arial" w:cs="Arial" w:eastAsia="Arial" w:hAnsi="Arial"/>
          <w:sz w:val="20"/>
          <w:szCs w:val="20"/>
        </w:rPr>
        <w:t xml:space="preserve">all required notifications have been made and regulators updated</w:t>
      </w:r>
    </w:p>
    <w:p>
      <w:pPr>
        <w:pStyle w:val="ListParagraph"/>
        <w:numPr>
          <w:ilvl w:val="0"/>
          <w:numId w:val="2"/>
        </w:numPr>
        <w:spacing w:after="60"/>
      </w:pPr>
      <w:r>
        <w:rPr>
          <w:rFonts w:ascii="Arial" w:cs="Arial" w:eastAsia="Arial" w:hAnsi="Arial"/>
          <w:sz w:val="20"/>
          <w:szCs w:val="20"/>
        </w:rPr>
        <w:t xml:space="preserve">customer or member remediation is complete, or tracked as a separate program</w:t>
      </w:r>
    </w:p>
    <w:p>
      <w:pPr>
        <w:pStyle w:val="ListParagraph"/>
        <w:numPr>
          <w:ilvl w:val="0"/>
          <w:numId w:val="2"/>
        </w:numPr>
        <w:spacing w:after="60"/>
      </w:pPr>
      <w:r>
        <w:rPr>
          <w:rFonts w:ascii="Arial" w:cs="Arial" w:eastAsia="Arial" w:hAnsi="Arial"/>
          <w:sz w:val="20"/>
          <w:szCs w:val="20"/>
        </w:rPr>
        <w:t xml:space="preserve">the root cause is fixed and new or improved controls are in place and tested</w:t>
      </w:r>
    </w:p>
    <w:p>
      <w:pPr>
        <w:pStyle w:val="ListParagraph"/>
        <w:numPr>
          <w:ilvl w:val="0"/>
          <w:numId w:val="2"/>
        </w:numPr>
        <w:spacing w:after="60"/>
      </w:pPr>
      <w:r>
        <w:rPr>
          <w:rFonts w:ascii="Arial" w:cs="Arial" w:eastAsia="Arial" w:hAnsi="Arial"/>
          <w:sz w:val="20"/>
          <w:szCs w:val="20"/>
        </w:rPr>
        <w:t xml:space="preserve">the risk register and control library have been updated</w:t>
      </w:r>
    </w:p>
    <w:p>
      <w:pPr>
        <w:pStyle w:val="ListParagraph"/>
        <w:numPr>
          <w:ilvl w:val="0"/>
          <w:numId w:val="2"/>
        </w:numPr>
        <w:spacing w:after="60"/>
      </w:pPr>
      <w:r>
        <w:rPr>
          <w:rFonts w:ascii="Arial" w:cs="Arial" w:eastAsia="Arial" w:hAnsi="Arial"/>
          <w:sz w:val="20"/>
          <w:szCs w:val="20"/>
        </w:rPr>
        <w:t xml:space="preserve">the incident has been reported to the appropriate committee or board.</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2438"/>
        <w:gridCol w:w="1800"/>
      </w:tblGrid>
      <w:tr>
        <w:trPr>
          <w:tblHeader/>
        </w:trPr>
        <w:tc>
          <w:tcPr>
            <w:tcW w:type="dxa" w:w="2800"/>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Role</w:t>
            </w:r>
          </w:p>
        </w:tc>
        <w:tc>
          <w:tcPr>
            <w:tcW w:type="dxa" w:w="2600"/>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Name</w:t>
            </w:r>
          </w:p>
        </w:tc>
        <w:tc>
          <w:tcPr>
            <w:tcW w:type="dxa" w:w="2438"/>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Signature</w:t>
            </w:r>
          </w:p>
        </w:tc>
        <w:tc>
          <w:tcPr>
            <w:tcW w:type="dxa" w:w="1800"/>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Date</w:t>
            </w:r>
          </w:p>
        </w:tc>
      </w:tr>
      <w:tr>
        <w:trPr>
          <w:cantSplit/>
        </w:trPr>
        <w:tc>
          <w:tcPr>
            <w:tcW w:type="dxa" w:w="28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Prepared by</w:t>
            </w:r>
          </w:p>
        </w:tc>
        <w:tc>
          <w:tcPr>
            <w:tcW w:type="dxa" w:w="26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2438"/>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18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r>
      <w:tr>
        <w:trPr>
          <w:cantSplit/>
        </w:trPr>
        <w:tc>
          <w:tcPr>
            <w:tcW w:type="dxa" w:w="28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Reviewed by (Risk / Compliance)</w:t>
            </w:r>
          </w:p>
        </w:tc>
        <w:tc>
          <w:tcPr>
            <w:tcW w:type="dxa" w:w="26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2438"/>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18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r>
      <w:tr>
        <w:trPr>
          <w:cantSplit/>
        </w:trPr>
        <w:tc>
          <w:tcPr>
            <w:tcW w:type="dxa" w:w="28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Approved by (Incident owner)</w:t>
            </w:r>
          </w:p>
        </w:tc>
        <w:tc>
          <w:tcPr>
            <w:tcW w:type="dxa" w:w="26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2438"/>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18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r>
      <w:tr>
        <w:trPr>
          <w:cantSplit/>
        </w:trPr>
        <w:tc>
          <w:tcPr>
            <w:tcW w:type="dxa" w:w="28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Closed (date)</w:t>
            </w:r>
          </w:p>
        </w:tc>
        <w:tc>
          <w:tcPr>
            <w:tcW w:type="dxa" w:w="26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2438"/>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18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r>
    </w:tbl>
    <w:p>
      <w:pPr>
        <w:pStyle w:val="Heading1"/>
        <w:spacing w:after="120" w:before="280"/>
      </w:pPr>
      <w:r>
        <w:rPr>
          <w:rFonts w:ascii="Arial" w:cs="Arial" w:eastAsia="Arial" w:hAnsi="Arial"/>
        </w:rPr>
        <w:t xml:space="preserve">Version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5038"/>
        <w:gridCol w:w="1800"/>
      </w:tblGrid>
      <w:tr>
        <w:trPr>
          <w:tblHeader/>
        </w:trPr>
        <w:tc>
          <w:tcPr>
            <w:tcW w:type="dxa" w:w="1200"/>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Version</w:t>
            </w:r>
          </w:p>
        </w:tc>
        <w:tc>
          <w:tcPr>
            <w:tcW w:type="dxa" w:w="1600"/>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Date</w:t>
            </w:r>
          </w:p>
        </w:tc>
        <w:tc>
          <w:tcPr>
            <w:tcW w:type="dxa" w:w="5038"/>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Changes</w:t>
            </w:r>
          </w:p>
        </w:tc>
        <w:tc>
          <w:tcPr>
            <w:tcW w:type="dxa" w:w="1800"/>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By</w:t>
            </w:r>
          </w:p>
        </w:tc>
      </w:tr>
      <w:tr>
        <w:trPr>
          <w:cantSplit/>
        </w:trPr>
        <w:tc>
          <w:tcPr>
            <w:tcW w:type="dxa" w:w="12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16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5038"/>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18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r>
      <w:tr>
        <w:trPr>
          <w:cantSplit/>
        </w:trPr>
        <w:tc>
          <w:tcPr>
            <w:tcW w:type="dxa" w:w="12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16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5038"/>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18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r>
      <w:tr>
        <w:trPr>
          <w:cantSplit/>
        </w:trPr>
        <w:tc>
          <w:tcPr>
            <w:tcW w:type="dxa" w:w="12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16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5038"/>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18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4A5568"/>
        <w:sz w:val="14"/>
        <w:szCs w:val="14"/>
      </w:rPr>
      <w:t xml:space="preserve">Template from RiskLens Australia (general educational information only; not legal, financial or compliance advice). Adapt to your organisation's policies and obligations.</w:t>
    </w:r>
  </w:p>
  <w:p>
    <w:pPr>
      <w:jc w:val="right"/>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r>
      <w:rPr>
        <w:rFonts w:ascii="Arial" w:cs="Arial" w:eastAsia="Arial" w:hAnsi="Arial"/>
        <w:sz w:val="16"/>
        <w:szCs w:val="16"/>
      </w:rPr>
      <w:t xml:space="preserve"> of </w:t>
    </w:r>
    <w:r>
      <w:rPr>
        <w:rFonts w:ascii="Arial" w:cs="Arial" w:eastAsia="Arial" w:hAnsi="Arial"/>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4A5568"/>
        <w:sz w:val="16"/>
        <w:szCs w:val="16"/>
      </w:rPr>
      <w:t xml:space="preserve">CONFIDENTIAL · Incident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0F294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Incident report template</dc:title>
  <dc:creator>RiskLens Australia</dc:creator>
  <dc:description>Free incident report template from RiskLens Australia</dc:description>
  <cp:lastModifiedBy>Un-named</cp:lastModifiedBy>
  <cp:revision>1</cp:revision>
  <dcterms:created xsi:type="dcterms:W3CDTF">2026-09-27T06:41:10.187Z</dcterms:created>
  <dcterms:modified xsi:type="dcterms:W3CDTF">2026-09-27T06:41:10.188Z</dcterms:modified>
</cp:coreProperties>
</file>

<file path=docProps/custom.xml><?xml version="1.0" encoding="utf-8"?>
<Properties xmlns="http://schemas.openxmlformats.org/officeDocument/2006/custom-properties" xmlns:vt="http://schemas.openxmlformats.org/officeDocument/2006/docPropsVTypes"/>
</file>