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400"/>
              <w:left w:type="dxa" w:w="300"/>
              <w:bottom w:type="dxa" w:w="400"/>
              <w:right w:type="dxa" w:w="300"/>
            </w:tcMar>
          </w:tcPr>
          <w:p>
            <w:pPr>
              <w:jc w:val="center"/>
            </w:pPr>
            <w:r>
              <w:rPr>
                <w:rFonts w:ascii="Arial" w:cs="Arial" w:eastAsia="Arial" w:hAnsi="Arial"/>
                <w:b/>
                <w:bCs/>
                <w:color w:val="FFFFFF"/>
                <w:sz w:val="40"/>
                <w:szCs w:val="40"/>
              </w:rPr>
              <w:t xml:space="preserve">MASTER SERVICES AGREEMENT</w:t>
            </w:r>
          </w:p>
          <w:p>
            <w:pPr>
              <w:spacing w:before="150"/>
              <w:jc w:val="center"/>
            </w:pPr>
            <w:r>
              <w:rPr>
                <w:rFonts w:ascii="Arial" w:cs="Arial" w:eastAsia="Arial" w:hAnsi="Arial"/>
                <w:color w:val="319795"/>
                <w:sz w:val="28"/>
                <w:szCs w:val="28"/>
              </w:rPr>
              <w:t xml:space="preserve">SENTRAIS EVERGAME PLATFORM</w:t>
            </w:r>
          </w:p>
        </w:tc>
      </w:tr>
    </w:tbl>
    <w:p>
      <w:pPr>
        <w:spacing w:after="400"/>
      </w:pPr>
    </w:p>
    <w:p>
      <w:pPr>
        <w:jc w:val="center"/>
      </w:pPr>
      <w:r>
        <w:rPr>
          <w:color w:val="1A2744"/>
          <w:sz w:val="22"/>
          <w:szCs w:val="22"/>
        </w:rPr>
        <w:t xml:space="preserve">by and between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rPr>
                <w:b/>
                <w:bCs/>
                <w:color w:val="0A1628"/>
                <w:sz w:val="24"/>
                <w:szCs w:val="24"/>
              </w:rPr>
              <w:t xml:space="preserve">NOVATE LABS, INC.</w:t>
            </w:r>
          </w:p>
          <w:p>
            <w:pPr>
              <w:jc w:val="center"/>
            </w:pPr>
            <w:r>
              <w:rPr>
                <w:color w:val="1A2744"/>
                <w:sz w:val="20"/>
                <w:szCs w:val="20"/>
              </w:rPr>
              <w:t xml:space="preserve">("Provider")</w:t>
            </w:r>
          </w:p>
        </w:tc>
        <w:tc>
          <w:tcPr>
            <w:tcW w:type="dxa" w:w="4680"/>
            <w:tcBorders>
              <w:top w:val="none" w:color="FFFFFF" w:sz="0"/>
              <w:left w:val="none" w:color="FFFFFF" w:sz="0"/>
              <w:bottom w:val="none" w:color="FFFFFF" w:sz="0"/>
              <w:right w:val="none" w:color="FFFFFF" w:sz="0"/>
            </w:tcBorders>
          </w:tcPr>
          <w:p>
            <w:pPr>
              <w:jc w:val="center"/>
            </w:pPr>
            <w:r>
              <w:rPr>
                <w:b/>
                <w:bCs/>
                <w:color w:val="0A1628"/>
                <w:sz w:val="24"/>
                <w:szCs w:val="24"/>
              </w:rPr>
              <w:t xml:space="preserve">NATIONAL FOOTBALL LEAGUE</w:t>
            </w:r>
          </w:p>
          <w:p>
            <w:pPr>
              <w:jc w:val="center"/>
            </w:pPr>
            <w:r>
              <w:rPr>
                <w:color w:val="1A2744"/>
                <w:sz w:val="20"/>
                <w:szCs w:val="20"/>
              </w:rPr>
              <w:t xml:space="preserve">("Customer")</w:t>
            </w:r>
          </w:p>
        </w:tc>
      </w:tr>
    </w:tbl>
    <w:p>
      <w:pPr>
        <w:spacing w:after="300"/>
      </w:pPr>
    </w:p>
    <w:p>
      <w:pPr>
        <w:jc w:val="center"/>
      </w:pPr>
      <w:r>
        <w:rPr>
          <w:b/>
          <w:bCs/>
          <w:color w:val="319795"/>
          <w:sz w:val="20"/>
          <w:szCs w:val="20"/>
        </w:rPr>
        <w:t xml:space="preserve">Agreement Number: MSA-NFL-EVERGAME-2026-001</w:t>
      </w:r>
    </w:p>
    <w:p>
      <w:pPr>
        <w:spacing w:before="100"/>
        <w:jc w:val="center"/>
      </w:pPr>
      <w:r>
        <w:rPr>
          <w:color w:val="1A2744"/>
          <w:sz w:val="20"/>
          <w:szCs w:val="20"/>
        </w:rPr>
        <w:t xml:space="preserve">Effective Date: _________________, 2026</w:t>
      </w:r>
    </w:p>
    <w:p>
      <w:r>
        <w:br w:type="page"/>
      </w:r>
    </w:p>
    <w:p>
      <w:pPr>
        <w:pStyle w:val="Heading1"/>
      </w:pPr>
      <w:r>
        <w:rPr>
          <w:b/>
          <w:bCs/>
        </w:rPr>
        <w:t xml:space="preserve">ARTICLE 1: DEFINITIONS</w:t>
      </w:r>
    </w:p>
    <w:p>
      <w:pPr>
        <w:spacing w:after="100"/>
      </w:pPr>
      <w:r>
        <w:rPr>
          <w:b/>
          <w:bCs/>
          <w:sz w:val="20"/>
          <w:szCs w:val="20"/>
        </w:rPr>
        <w:t xml:space="preserve">1.1 </w:t>
      </w:r>
      <w:r>
        <w:rPr>
          <w:b/>
          <w:bCs/>
          <w:color w:val="319795"/>
          <w:sz w:val="20"/>
          <w:szCs w:val="20"/>
        </w:rPr>
        <w:t xml:space="preserve">"Agreement"</w:t>
      </w:r>
      <w:r>
        <w:rPr>
          <w:sz w:val="20"/>
          <w:szCs w:val="20"/>
        </w:rPr>
        <w:t xml:space="preserve"> means this Master Services Agreement, together with all Schedules, Exhibits, and Order Forms incorporated herein by reference.</w:t>
      </w:r>
    </w:p>
    <w:p>
      <w:pPr>
        <w:spacing w:after="100"/>
      </w:pPr>
      <w:r>
        <w:rPr>
          <w:b/>
          <w:bCs/>
          <w:sz w:val="20"/>
          <w:szCs w:val="20"/>
        </w:rPr>
        <w:t xml:space="preserve">1.2 </w:t>
      </w:r>
      <w:r>
        <w:rPr>
          <w:b/>
          <w:bCs/>
          <w:color w:val="319795"/>
          <w:sz w:val="20"/>
          <w:szCs w:val="20"/>
        </w:rPr>
        <w:t xml:space="preserve">"Authorized Users"</w:t>
      </w:r>
      <w:r>
        <w:rPr>
          <w:sz w:val="20"/>
          <w:szCs w:val="20"/>
        </w:rPr>
        <w:t xml:space="preserve"> means Customer's employees, contractors, and agents who are authorized to access and use the Platform pursuant to this Agreement, including Game Day Ambassadors (GDAs).</w:t>
      </w:r>
    </w:p>
    <w:p>
      <w:pPr>
        <w:spacing w:after="100"/>
      </w:pPr>
      <w:r>
        <w:rPr>
          <w:b/>
          <w:bCs/>
          <w:sz w:val="20"/>
          <w:szCs w:val="20"/>
        </w:rPr>
        <w:t xml:space="preserve">1.3 </w:t>
      </w:r>
      <w:r>
        <w:rPr>
          <w:b/>
          <w:bCs/>
          <w:color w:val="319795"/>
          <w:sz w:val="20"/>
          <w:szCs w:val="20"/>
        </w:rPr>
        <w:t xml:space="preserve">"Confidential Information"</w:t>
      </w:r>
      <w:r>
        <w:rPr>
          <w:sz w:val="20"/>
          <w:szCs w:val="20"/>
        </w:rPr>
        <w:t xml:space="preserve"> means any information disclosed by one party to the other that is designated as confidential or that reasonably should be understood to be confidential given the nature of the information and circumstances of disclosure.</w:t>
      </w:r>
    </w:p>
    <w:p>
      <w:pPr>
        <w:spacing w:after="100"/>
      </w:pPr>
      <w:r>
        <w:rPr>
          <w:b/>
          <w:bCs/>
          <w:sz w:val="20"/>
          <w:szCs w:val="20"/>
        </w:rPr>
        <w:t xml:space="preserve">1.4 </w:t>
      </w:r>
      <w:r>
        <w:rPr>
          <w:b/>
          <w:bCs/>
          <w:color w:val="319795"/>
          <w:sz w:val="20"/>
          <w:szCs w:val="20"/>
        </w:rPr>
        <w:t xml:space="preserve">"Customer Data"</w:t>
      </w:r>
      <w:r>
        <w:rPr>
          <w:sz w:val="20"/>
          <w:szCs w:val="20"/>
        </w:rPr>
        <w:t xml:space="preserve"> means all data, content, and information submitted by Customer or Authorized Users to the Platform, including stadium certification records, GDA compliance data, and game day operational data.</w:t>
      </w:r>
    </w:p>
    <w:p>
      <w:pPr>
        <w:spacing w:after="100"/>
      </w:pPr>
      <w:r>
        <w:rPr>
          <w:b/>
          <w:bCs/>
          <w:sz w:val="20"/>
          <w:szCs w:val="20"/>
        </w:rPr>
        <w:t xml:space="preserve">1.5 </w:t>
      </w:r>
      <w:r>
        <w:rPr>
          <w:b/>
          <w:bCs/>
          <w:color w:val="319795"/>
          <w:sz w:val="20"/>
          <w:szCs w:val="20"/>
        </w:rPr>
        <w:t xml:space="preserve">"Documentation"</w:t>
      </w:r>
      <w:r>
        <w:rPr>
          <w:sz w:val="20"/>
          <w:szCs w:val="20"/>
        </w:rPr>
        <w:t xml:space="preserve"> means the user guides, technical manuals, and online help materials provided by Provider for the Platform.</w:t>
      </w:r>
    </w:p>
    <w:p>
      <w:pPr>
        <w:spacing w:after="100"/>
      </w:pPr>
      <w:r>
        <w:rPr>
          <w:b/>
          <w:bCs/>
          <w:sz w:val="20"/>
          <w:szCs w:val="20"/>
        </w:rPr>
        <w:t xml:space="preserve">1.6 </w:t>
      </w:r>
      <w:r>
        <w:rPr>
          <w:b/>
          <w:bCs/>
          <w:color w:val="319795"/>
          <w:sz w:val="20"/>
          <w:szCs w:val="20"/>
        </w:rPr>
        <w:t xml:space="preserve">"Effective Date"</w:t>
      </w:r>
      <w:r>
        <w:rPr>
          <w:sz w:val="20"/>
          <w:szCs w:val="20"/>
        </w:rPr>
        <w:t xml:space="preserve"> means the date set forth on the signature page of this Agreement.</w:t>
      </w:r>
    </w:p>
    <w:p>
      <w:pPr>
        <w:spacing w:after="100"/>
      </w:pPr>
      <w:r>
        <w:rPr>
          <w:b/>
          <w:bCs/>
          <w:sz w:val="20"/>
          <w:szCs w:val="20"/>
        </w:rPr>
        <w:t xml:space="preserve">1.7 </w:t>
      </w:r>
      <w:r>
        <w:rPr>
          <w:b/>
          <w:bCs/>
          <w:color w:val="319795"/>
          <w:sz w:val="20"/>
          <w:szCs w:val="20"/>
        </w:rPr>
        <w:t xml:space="preserve">"EVERGAME Platform"</w:t>
      </w:r>
      <w:r>
        <w:rPr>
          <w:sz w:val="20"/>
          <w:szCs w:val="20"/>
        </w:rPr>
        <w:t xml:space="preserve"> means Provider's proprietary IT Game Day Compliance &amp; Readiness System, including all Modules described in Schedule A.</w:t>
      </w:r>
    </w:p>
    <w:p>
      <w:pPr>
        <w:spacing w:after="100"/>
      </w:pPr>
      <w:r>
        <w:rPr>
          <w:b/>
          <w:bCs/>
          <w:sz w:val="20"/>
          <w:szCs w:val="20"/>
        </w:rPr>
        <w:t xml:space="preserve">1.8 </w:t>
      </w:r>
      <w:r>
        <w:rPr>
          <w:b/>
          <w:bCs/>
          <w:color w:val="319795"/>
          <w:sz w:val="20"/>
          <w:szCs w:val="20"/>
        </w:rPr>
        <w:t xml:space="preserve">"Initial Term"</w:t>
      </w:r>
      <w:r>
        <w:rPr>
          <w:sz w:val="20"/>
          <w:szCs w:val="20"/>
        </w:rPr>
        <w:t xml:space="preserve"> means the three (3) year period commencing on the Effective Date.</w:t>
      </w:r>
    </w:p>
    <w:p>
      <w:pPr>
        <w:spacing w:after="100"/>
      </w:pPr>
      <w:r>
        <w:rPr>
          <w:b/>
          <w:bCs/>
          <w:sz w:val="20"/>
          <w:szCs w:val="20"/>
        </w:rPr>
        <w:t xml:space="preserve">1.9 </w:t>
      </w:r>
      <w:r>
        <w:rPr>
          <w:b/>
          <w:bCs/>
          <w:color w:val="319795"/>
          <w:sz w:val="20"/>
          <w:szCs w:val="20"/>
        </w:rPr>
        <w:t xml:space="preserve">"Intellectual Property Rights"</w:t>
      </w:r>
      <w:r>
        <w:rPr>
          <w:sz w:val="20"/>
          <w:szCs w:val="20"/>
        </w:rPr>
        <w:t xml:space="preserve"> means all patents, copyrights, trademarks, trade secrets, and other intellectual property rights.</w:t>
      </w:r>
    </w:p>
    <w:p>
      <w:pPr>
        <w:spacing w:after="100"/>
      </w:pPr>
      <w:r>
        <w:rPr>
          <w:b/>
          <w:bCs/>
          <w:sz w:val="20"/>
          <w:szCs w:val="20"/>
        </w:rPr>
        <w:t xml:space="preserve">1.10 </w:t>
      </w:r>
      <w:r>
        <w:rPr>
          <w:b/>
          <w:bCs/>
          <w:color w:val="319795"/>
          <w:sz w:val="20"/>
          <w:szCs w:val="20"/>
        </w:rPr>
        <w:t xml:space="preserve">"Modules"</w:t>
      </w:r>
      <w:r>
        <w:rPr>
          <w:sz w:val="20"/>
          <w:szCs w:val="20"/>
        </w:rPr>
        <w:t xml:space="preserve"> means the individual functional components of the EVERGAME Platform as described in Schedule A (Subscription Services).</w:t>
      </w:r>
    </w:p>
    <w:p>
      <w:pPr>
        <w:spacing w:after="100"/>
      </w:pPr>
      <w:r>
        <w:rPr>
          <w:b/>
          <w:bCs/>
          <w:sz w:val="20"/>
          <w:szCs w:val="20"/>
        </w:rPr>
        <w:t xml:space="preserve">1.11 </w:t>
      </w:r>
      <w:r>
        <w:rPr>
          <w:b/>
          <w:bCs/>
          <w:color w:val="319795"/>
          <w:sz w:val="20"/>
          <w:szCs w:val="20"/>
        </w:rPr>
        <w:t xml:space="preserve">"Order Form"</w:t>
      </w:r>
      <w:r>
        <w:rPr>
          <w:sz w:val="20"/>
          <w:szCs w:val="20"/>
        </w:rPr>
        <w:t xml:space="preserve"> means an ordering document specifying the Subscription Services, Professional Services, and associated Fees, executed by both parties.</w:t>
      </w:r>
    </w:p>
    <w:p>
      <w:pPr>
        <w:spacing w:after="100"/>
      </w:pPr>
      <w:r>
        <w:rPr>
          <w:b/>
          <w:bCs/>
          <w:sz w:val="20"/>
          <w:szCs w:val="20"/>
        </w:rPr>
        <w:t xml:space="preserve">1.12 </w:t>
      </w:r>
      <w:r>
        <w:rPr>
          <w:b/>
          <w:bCs/>
          <w:color w:val="319795"/>
          <w:sz w:val="20"/>
          <w:szCs w:val="20"/>
        </w:rPr>
        <w:t xml:space="preserve">"Platform"</w:t>
      </w:r>
      <w:r>
        <w:rPr>
          <w:sz w:val="20"/>
          <w:szCs w:val="20"/>
        </w:rPr>
        <w:t xml:space="preserve"> means the EVERGAME Platform and all related components, updates, and enhancements provided by Provider.</w:t>
      </w:r>
    </w:p>
    <w:p>
      <w:pPr>
        <w:spacing w:after="100"/>
      </w:pPr>
      <w:r>
        <w:rPr>
          <w:b/>
          <w:bCs/>
          <w:sz w:val="20"/>
          <w:szCs w:val="20"/>
        </w:rPr>
        <w:t xml:space="preserve">1.13 </w:t>
      </w:r>
      <w:r>
        <w:rPr>
          <w:b/>
          <w:bCs/>
          <w:color w:val="319795"/>
          <w:sz w:val="20"/>
          <w:szCs w:val="20"/>
        </w:rPr>
        <w:t xml:space="preserve">"Professional Services"</w:t>
      </w:r>
      <w:r>
        <w:rPr>
          <w:sz w:val="20"/>
          <w:szCs w:val="20"/>
        </w:rPr>
        <w:t xml:space="preserve"> means the implementation, configuration, training, and consulting services described in Schedule B.</w:t>
      </w:r>
    </w:p>
    <w:p>
      <w:pPr>
        <w:spacing w:after="100"/>
      </w:pPr>
      <w:r>
        <w:rPr>
          <w:b/>
          <w:bCs/>
          <w:sz w:val="20"/>
          <w:szCs w:val="20"/>
        </w:rPr>
        <w:t xml:space="preserve">1.14 </w:t>
      </w:r>
      <w:r>
        <w:rPr>
          <w:b/>
          <w:bCs/>
          <w:color w:val="319795"/>
          <w:sz w:val="20"/>
          <w:szCs w:val="20"/>
        </w:rPr>
        <w:t xml:space="preserve">"Renewal Term"</w:t>
      </w:r>
      <w:r>
        <w:rPr>
          <w:sz w:val="20"/>
          <w:szCs w:val="20"/>
        </w:rPr>
        <w:t xml:space="preserve"> means each successive one (1) year period following the Initial Term.</w:t>
      </w:r>
    </w:p>
    <w:p>
      <w:pPr>
        <w:spacing w:after="100"/>
      </w:pPr>
      <w:r>
        <w:rPr>
          <w:b/>
          <w:bCs/>
          <w:sz w:val="20"/>
          <w:szCs w:val="20"/>
        </w:rPr>
        <w:t xml:space="preserve">1.15 </w:t>
      </w:r>
      <w:r>
        <w:rPr>
          <w:b/>
          <w:bCs/>
          <w:color w:val="319795"/>
          <w:sz w:val="20"/>
          <w:szCs w:val="20"/>
        </w:rPr>
        <w:t xml:space="preserve">"SLA"</w:t>
      </w:r>
      <w:r>
        <w:rPr>
          <w:sz w:val="20"/>
          <w:szCs w:val="20"/>
        </w:rPr>
        <w:t xml:space="preserve"> means the Service Level Agreement set forth in Schedule C.</w:t>
      </w:r>
    </w:p>
    <w:p>
      <w:pPr>
        <w:spacing w:after="100"/>
      </w:pPr>
      <w:r>
        <w:rPr>
          <w:b/>
          <w:bCs/>
          <w:sz w:val="20"/>
          <w:szCs w:val="20"/>
        </w:rPr>
        <w:t xml:space="preserve">1.16 </w:t>
      </w:r>
      <w:r>
        <w:rPr>
          <w:b/>
          <w:bCs/>
          <w:color w:val="319795"/>
          <w:sz w:val="20"/>
          <w:szCs w:val="20"/>
        </w:rPr>
        <w:t xml:space="preserve">"Subscription Fees"</w:t>
      </w:r>
      <w:r>
        <w:rPr>
          <w:sz w:val="20"/>
          <w:szCs w:val="20"/>
        </w:rPr>
        <w:t xml:space="preserve"> means the fees for Subscription Services as set forth in Schedule D (Fees and Payment).</w:t>
      </w:r>
    </w:p>
    <w:p>
      <w:pPr>
        <w:spacing w:after="100"/>
      </w:pPr>
      <w:r>
        <w:rPr>
          <w:b/>
          <w:bCs/>
          <w:sz w:val="20"/>
          <w:szCs w:val="20"/>
        </w:rPr>
        <w:t xml:space="preserve">1.17 </w:t>
      </w:r>
      <w:r>
        <w:rPr>
          <w:b/>
          <w:bCs/>
          <w:color w:val="319795"/>
          <w:sz w:val="20"/>
          <w:szCs w:val="20"/>
        </w:rPr>
        <w:t xml:space="preserve">"Subscription Services"</w:t>
      </w:r>
      <w:r>
        <w:rPr>
          <w:sz w:val="20"/>
          <w:szCs w:val="20"/>
        </w:rPr>
        <w:t xml:space="preserve"> means access to and use of the Platform and Modules as described in Schedule A.</w:t>
      </w:r>
    </w:p>
    <w:p>
      <w:pPr>
        <w:spacing w:after="100"/>
      </w:pPr>
      <w:r>
        <w:rPr>
          <w:b/>
          <w:bCs/>
          <w:sz w:val="20"/>
          <w:szCs w:val="20"/>
        </w:rPr>
        <w:t xml:space="preserve">1.18 </w:t>
      </w:r>
      <w:r>
        <w:rPr>
          <w:b/>
          <w:bCs/>
          <w:color w:val="319795"/>
          <w:sz w:val="20"/>
          <w:szCs w:val="20"/>
        </w:rPr>
        <w:t xml:space="preserve">"Support Services"</w:t>
      </w:r>
      <w:r>
        <w:rPr>
          <w:sz w:val="20"/>
          <w:szCs w:val="20"/>
        </w:rPr>
        <w:t xml:space="preserve"> means the maintenance and support services described in Schedule C.</w:t>
      </w:r>
    </w:p>
    <w:p>
      <w:r>
        <w:br w:type="page"/>
      </w:r>
    </w:p>
    <w:p>
      <w:pPr>
        <w:pStyle w:val="Heading1"/>
      </w:pPr>
      <w:r>
        <w:rPr>
          <w:b/>
          <w:bCs/>
        </w:rPr>
        <w:t xml:space="preserve">ARTICLE 2: SUBSCRIPTION SERVICES</w:t>
      </w:r>
    </w:p>
    <w:p>
      <w:pPr>
        <w:pStyle w:val="Heading2"/>
      </w:pPr>
      <w:r>
        <w:rPr>
          <w:b/>
          <w:bCs/>
        </w:rPr>
        <w:t xml:space="preserve">2.1 Grant of Rights</w:t>
      </w:r>
    </w:p>
    <w:p>
      <w:pPr>
        <w:spacing w:after="150"/>
      </w:pPr>
      <w:r>
        <w:rPr>
          <w:sz w:val="20"/>
          <w:szCs w:val="20"/>
        </w:rPr>
        <w:t xml:space="preserve">Subject to the terms of this Agreement and payment of all applicable Fees, Provider grants Customer a non-exclusive, non-transferable, limited right during the Subscription Term to:</w:t>
      </w:r>
    </w:p>
    <w:p>
      <w:pPr>
        <w:pStyle w:val="ListParagraph"/>
        <w:numPr>
          <w:ilvl w:val="1"/>
          <w:numId w:val="2"/>
        </w:numPr>
        <w:spacing w:after="80"/>
      </w:pPr>
      <w:r>
        <w:rPr>
          <w:sz w:val="20"/>
          <w:szCs w:val="20"/>
        </w:rPr>
        <w:t xml:space="preserve">Access and use the Platform and Modules described in Schedule A;</w:t>
      </w:r>
    </w:p>
    <w:p>
      <w:pPr>
        <w:pStyle w:val="ListParagraph"/>
        <w:numPr>
          <w:ilvl w:val="1"/>
          <w:numId w:val="2"/>
        </w:numPr>
        <w:spacing w:after="80"/>
      </w:pPr>
      <w:r>
        <w:rPr>
          <w:sz w:val="20"/>
          <w:szCs w:val="20"/>
        </w:rPr>
        <w:t xml:space="preserve">Permit Authorized Users to access and use the Platform in accordance with this Agreement;</w:t>
      </w:r>
    </w:p>
    <w:p>
      <w:pPr>
        <w:pStyle w:val="ListParagraph"/>
        <w:numPr>
          <w:ilvl w:val="1"/>
          <w:numId w:val="2"/>
        </w:numPr>
        <w:spacing w:after="150"/>
      </w:pPr>
      <w:r>
        <w:rPr>
          <w:sz w:val="20"/>
          <w:szCs w:val="20"/>
        </w:rPr>
        <w:t xml:space="preserve">Use the Documentation in connection with permitted use of the Platform.</w:t>
      </w:r>
    </w:p>
    <w:p>
      <w:pPr>
        <w:pStyle w:val="Heading2"/>
      </w:pPr>
      <w:r>
        <w:rPr>
          <w:b/>
          <w:bCs/>
        </w:rPr>
        <w:t xml:space="preserve">2.2 Restrictions</w:t>
      </w:r>
    </w:p>
    <w:p>
      <w:pPr>
        <w:spacing w:after="150"/>
      </w:pPr>
      <w:r>
        <w:rPr>
          <w:sz w:val="20"/>
          <w:szCs w:val="20"/>
        </w:rPr>
        <w:t xml:space="preserve">Customer shall not, and shall not permit any third party to:</w:t>
      </w:r>
    </w:p>
    <w:p>
      <w:pPr>
        <w:pStyle w:val="ListParagraph"/>
        <w:numPr>
          <w:ilvl w:val="1"/>
          <w:numId w:val="2"/>
        </w:numPr>
        <w:spacing w:after="80"/>
      </w:pPr>
      <w:r>
        <w:rPr>
          <w:sz w:val="20"/>
          <w:szCs w:val="20"/>
        </w:rPr>
        <w:t xml:space="preserve">License, sublicense, sell, resell, rent, lease, transfer, assign, or distribute the Platform;</w:t>
      </w:r>
    </w:p>
    <w:p>
      <w:pPr>
        <w:pStyle w:val="ListParagraph"/>
        <w:numPr>
          <w:ilvl w:val="1"/>
          <w:numId w:val="2"/>
        </w:numPr>
        <w:spacing w:after="80"/>
      </w:pPr>
      <w:r>
        <w:rPr>
          <w:sz w:val="20"/>
          <w:szCs w:val="20"/>
        </w:rPr>
        <w:t xml:space="preserve">Modify, copy, or create derivative works based on the Platform;</w:t>
      </w:r>
    </w:p>
    <w:p>
      <w:pPr>
        <w:pStyle w:val="ListParagraph"/>
        <w:numPr>
          <w:ilvl w:val="1"/>
          <w:numId w:val="2"/>
        </w:numPr>
        <w:spacing w:after="80"/>
      </w:pPr>
      <w:r>
        <w:rPr>
          <w:sz w:val="20"/>
          <w:szCs w:val="20"/>
        </w:rPr>
        <w:t xml:space="preserve">Reverse engineer, disassemble, or decompile the Platform;</w:t>
      </w:r>
    </w:p>
    <w:p>
      <w:pPr>
        <w:pStyle w:val="ListParagraph"/>
        <w:numPr>
          <w:ilvl w:val="1"/>
          <w:numId w:val="2"/>
        </w:numPr>
        <w:spacing w:after="80"/>
      </w:pPr>
      <w:r>
        <w:rPr>
          <w:sz w:val="20"/>
          <w:szCs w:val="20"/>
        </w:rPr>
        <w:t xml:space="preserve">Access the Platform to build a competitive product or service;</w:t>
      </w:r>
    </w:p>
    <w:p>
      <w:pPr>
        <w:pStyle w:val="ListParagraph"/>
        <w:numPr>
          <w:ilvl w:val="1"/>
          <w:numId w:val="2"/>
        </w:numPr>
        <w:spacing w:after="150"/>
      </w:pPr>
      <w:r>
        <w:rPr>
          <w:sz w:val="20"/>
          <w:szCs w:val="20"/>
        </w:rPr>
        <w:t xml:space="preserve">Use the Platform in violation of applicable laws or regulations.</w:t>
      </w:r>
    </w:p>
    <w:p>
      <w:pPr>
        <w:pStyle w:val="Heading2"/>
      </w:pPr>
      <w:r>
        <w:rPr>
          <w:b/>
          <w:bCs/>
        </w:rPr>
        <w:t xml:space="preserve">2.3 Authorized Users</w:t>
      </w:r>
    </w:p>
    <w:p>
      <w:pPr>
        <w:spacing w:after="150"/>
      </w:pPr>
      <w:r>
        <w:rPr>
          <w:sz w:val="20"/>
          <w:szCs w:val="20"/>
        </w:rPr>
        <w:t xml:space="preserve">Customer may permit up to the number of Authorized Users specified in the applicable Order Form to access and use the Platform. Customer is responsible for all activities conducted under Authorized User accounts and shall ensure that Authorized Users comply with this Agreement. The initial subscription includes up to One Thousand (1,000) Game Day Ambassador user licenses.</w:t>
      </w:r>
    </w:p>
    <w:p>
      <w:pPr>
        <w:pStyle w:val="Heading2"/>
      </w:pPr>
      <w:r>
        <w:rPr>
          <w:b/>
          <w:bCs/>
        </w:rPr>
        <w:t xml:space="preserve">2.4 Platform Availability</w:t>
      </w:r>
    </w:p>
    <w:p>
      <w:pPr>
        <w:spacing w:after="150"/>
      </w:pPr>
      <w:r>
        <w:rPr>
          <w:sz w:val="20"/>
          <w:szCs w:val="20"/>
        </w:rPr>
        <w:t xml:space="preserve">Provider shall make the Platform available in accordance with the SLA set forth in Schedule C. Provider may perform scheduled maintenance with reasonable advance notice to Customer.</w:t>
      </w:r>
    </w:p>
    <w:p>
      <w:r>
        <w:br w:type="page"/>
      </w:r>
    </w:p>
    <w:p>
      <w:pPr>
        <w:pStyle w:val="Heading1"/>
      </w:pPr>
      <w:r>
        <w:rPr>
          <w:b/>
          <w:bCs/>
        </w:rPr>
        <w:t xml:space="preserve">ARTICLE 3: PROFESSIONAL SERVICES</w:t>
      </w:r>
    </w:p>
    <w:p>
      <w:pPr>
        <w:pStyle w:val="Heading2"/>
      </w:pPr>
      <w:r>
        <w:rPr>
          <w:b/>
          <w:bCs/>
        </w:rPr>
        <w:t xml:space="preserve">3.1 Scope of Professional Services</w:t>
      </w:r>
    </w:p>
    <w:p>
      <w:pPr>
        <w:spacing w:after="150"/>
      </w:pPr>
      <w:r>
        <w:rPr>
          <w:sz w:val="20"/>
          <w:szCs w:val="20"/>
        </w:rPr>
        <w:t xml:space="preserve">Provider shall perform the Professional Services described in Schedule B (Professional Services) in accordance with the timelines and milestones set forth therein. Professional Services include implementation, configuration, integration, training, and enablement services.</w:t>
      </w:r>
    </w:p>
    <w:p>
      <w:pPr>
        <w:pStyle w:val="Heading2"/>
      </w:pPr>
      <w:r>
        <w:rPr>
          <w:b/>
          <w:bCs/>
        </w:rPr>
        <w:t xml:space="preserve">3.2 Customer Responsibilities</w:t>
      </w:r>
    </w:p>
    <w:p>
      <w:pPr>
        <w:spacing w:after="150"/>
      </w:pPr>
      <w:r>
        <w:rPr>
          <w:sz w:val="20"/>
          <w:szCs w:val="20"/>
        </w:rPr>
        <w:t xml:space="preserve">Customer shall:</w:t>
      </w:r>
    </w:p>
    <w:p>
      <w:pPr>
        <w:pStyle w:val="ListParagraph"/>
        <w:numPr>
          <w:ilvl w:val="1"/>
          <w:numId w:val="2"/>
        </w:numPr>
        <w:spacing w:after="80"/>
      </w:pPr>
      <w:r>
        <w:rPr>
          <w:sz w:val="20"/>
          <w:szCs w:val="20"/>
        </w:rPr>
        <w:t xml:space="preserve">Provide timely access to Customer personnel, systems, and facilities as reasonably required;</w:t>
      </w:r>
    </w:p>
    <w:p>
      <w:pPr>
        <w:pStyle w:val="ListParagraph"/>
        <w:numPr>
          <w:ilvl w:val="1"/>
          <w:numId w:val="2"/>
        </w:numPr>
        <w:spacing w:after="80"/>
      </w:pPr>
      <w:r>
        <w:rPr>
          <w:sz w:val="20"/>
          <w:szCs w:val="20"/>
        </w:rPr>
        <w:t xml:space="preserve">Designate a project manager with authority to make decisions on Customer's behalf;</w:t>
      </w:r>
    </w:p>
    <w:p>
      <w:pPr>
        <w:pStyle w:val="ListParagraph"/>
        <w:numPr>
          <w:ilvl w:val="1"/>
          <w:numId w:val="2"/>
        </w:numPr>
        <w:spacing w:after="80"/>
      </w:pPr>
      <w:r>
        <w:rPr>
          <w:sz w:val="20"/>
          <w:szCs w:val="20"/>
        </w:rPr>
        <w:t xml:space="preserve">Provide accurate and complete information required for implementation;</w:t>
      </w:r>
    </w:p>
    <w:p>
      <w:pPr>
        <w:pStyle w:val="ListParagraph"/>
        <w:numPr>
          <w:ilvl w:val="1"/>
          <w:numId w:val="2"/>
        </w:numPr>
        <w:spacing w:after="150"/>
      </w:pPr>
      <w:r>
        <w:rPr>
          <w:sz w:val="20"/>
          <w:szCs w:val="20"/>
        </w:rPr>
        <w:t xml:space="preserve">Review and provide feedback on deliverables within agreed timeframes.</w:t>
      </w:r>
    </w:p>
    <w:p>
      <w:pPr>
        <w:pStyle w:val="Heading2"/>
      </w:pPr>
      <w:r>
        <w:rPr>
          <w:b/>
          <w:bCs/>
        </w:rPr>
        <w:t xml:space="preserve">3.3 Change Orders</w:t>
      </w:r>
    </w:p>
    <w:p>
      <w:pPr>
        <w:spacing w:after="150"/>
      </w:pPr>
      <w:r>
        <w:rPr>
          <w:sz w:val="20"/>
          <w:szCs w:val="20"/>
        </w:rPr>
        <w:t xml:space="preserve">Any changes to the scope, timeline, or fees for Professional Services must be documented in a written Change Order signed by both parties. Provider is not obligated to perform work outside the agreed scope without an executed Change Order.</w:t>
      </w:r>
    </w:p>
    <w:p>
      <w:pPr>
        <w:pStyle w:val="Heading2"/>
      </w:pPr>
      <w:r>
        <w:rPr>
          <w:b/>
          <w:bCs/>
        </w:rPr>
        <w:t xml:space="preserve">3.4 Acceptance</w:t>
      </w:r>
    </w:p>
    <w:p>
      <w:pPr>
        <w:spacing w:after="150"/>
      </w:pPr>
      <w:r>
        <w:rPr>
          <w:sz w:val="20"/>
          <w:szCs w:val="20"/>
        </w:rPr>
        <w:t xml:space="preserve">Upon completion of each deliverable or milestone, Provider shall notify Customer. Customer shall have ten (10) business days to review and either accept the deliverable or provide written notice of material deficiencies. If Customer does not respond within such period, the deliverable shall be deemed accepted.</w:t>
      </w:r>
    </w:p>
    <w:p>
      <w:r>
        <w:br w:type="page"/>
      </w:r>
    </w:p>
    <w:p>
      <w:pPr>
        <w:pStyle w:val="Heading1"/>
      </w:pPr>
      <w:r>
        <w:rPr>
          <w:b/>
          <w:bCs/>
        </w:rPr>
        <w:t xml:space="preserve">ARTICLE 4: FEES AND PAYMENT</w:t>
      </w:r>
    </w:p>
    <w:p>
      <w:pPr>
        <w:pStyle w:val="Heading2"/>
      </w:pPr>
      <w:r>
        <w:rPr>
          <w:b/>
          <w:bCs/>
        </w:rPr>
        <w:t xml:space="preserve">4.1 Fees</w:t>
      </w:r>
    </w:p>
    <w:p>
      <w:pPr>
        <w:spacing w:after="150"/>
      </w:pPr>
      <w:r>
        <w:rPr>
          <w:sz w:val="20"/>
          <w:szCs w:val="20"/>
        </w:rPr>
        <w:t xml:space="preserve">Customer shall pay the Fees set forth in Schedule D (Fees and Payment) and any applicable Order Forms. All Fees are stated in United States Dollars and are non-refundable except as expressly provided in this Agreement.</w:t>
      </w:r>
    </w:p>
    <w:p>
      <w:pPr>
        <w:pStyle w:val="Heading2"/>
      </w:pPr>
      <w:r>
        <w:rPr>
          <w:b/>
          <w:bCs/>
        </w:rPr>
        <w:t xml:space="preserve">4.2 Invoicing and Payment</w:t>
      </w:r>
    </w:p>
    <w:p>
      <w:pPr>
        <w:spacing w:after="150"/>
      </w:pPr>
      <w:r>
        <w:rPr>
          <w:sz w:val="20"/>
          <w:szCs w:val="20"/>
        </w:rPr>
        <w:t xml:space="preserve">Provider shall invoice Customer in accordance with the payment schedule set forth in Schedule D. Customer shall pay all undisputed invoices within thirty (30) days of receipt. Late payments shall accrue interest at the rate of one and one-half percent (1.5%) per month or the maximum rate permitted by law, whichever is less.</w:t>
      </w:r>
    </w:p>
    <w:p>
      <w:pPr>
        <w:pStyle w:val="Heading2"/>
      </w:pPr>
      <w:r>
        <w:rPr>
          <w:b/>
          <w:bCs/>
        </w:rPr>
        <w:t xml:space="preserve">4.3 Taxes</w:t>
      </w:r>
    </w:p>
    <w:p>
      <w:pPr>
        <w:spacing w:after="150"/>
      </w:pPr>
      <w:r>
        <w:rPr>
          <w:sz w:val="20"/>
          <w:szCs w:val="20"/>
        </w:rPr>
        <w:t xml:space="preserve">All Fees are exclusive of taxes. Customer is responsible for all sales, use, and similar taxes, excluding taxes based on Provider's income. If Provider is required to collect or pay any taxes on behalf of Customer, such taxes shall be invoiced to Customer.</w:t>
      </w:r>
    </w:p>
    <w:p>
      <w:pPr>
        <w:pStyle w:val="Heading2"/>
      </w:pPr>
      <w:r>
        <w:rPr>
          <w:b/>
          <w:bCs/>
        </w:rPr>
        <w:t xml:space="preserve">4.4 Fee Adjustments</w:t>
      </w:r>
    </w:p>
    <w:p>
      <w:pPr>
        <w:spacing w:after="150"/>
      </w:pPr>
      <w:r>
        <w:rPr>
          <w:sz w:val="20"/>
          <w:szCs w:val="20"/>
        </w:rPr>
        <w:t xml:space="preserve">Fees for any Renewal Term may be increased by Provider upon sixty (60) days' written notice prior to the commencement of such Renewal Term, provided that any increase shall not exceed five percent (5%) of the prior year's Fees.</w:t>
      </w:r>
    </w:p>
    <w:p>
      <w:r>
        <w:br w:type="page"/>
      </w:r>
    </w:p>
    <w:p>
      <w:pPr>
        <w:pStyle w:val="Heading1"/>
      </w:pPr>
      <w:r>
        <w:rPr>
          <w:b/>
          <w:bCs/>
        </w:rPr>
        <w:t xml:space="preserve">ARTICLE 5: TERM AND TERMINATION</w:t>
      </w:r>
    </w:p>
    <w:p>
      <w:pPr>
        <w:pStyle w:val="Heading2"/>
      </w:pPr>
      <w:r>
        <w:rPr>
          <w:b/>
          <w:bCs/>
        </w:rPr>
        <w:t xml:space="preserve">5.1 Term</w:t>
      </w:r>
    </w:p>
    <w:p>
      <w:pPr>
        <w:spacing w:after="150"/>
      </w:pPr>
      <w:r>
        <w:rPr>
          <w:sz w:val="20"/>
          <w:szCs w:val="20"/>
        </w:rPr>
        <w:t xml:space="preserve">This Agreement commences on the Effective Date and continues for the Initial Term of three (3) years. Thereafter, this Agreement shall automatically renew for successive Renewal Terms of one (1) year each, unless either party provides written notice of non-renewal at least ninety (90) days prior to the end of the then-current term.</w:t>
      </w:r>
    </w:p>
    <w:p>
      <w:pPr>
        <w:pStyle w:val="Heading2"/>
      </w:pPr>
      <w:r>
        <w:rPr>
          <w:b/>
          <w:bCs/>
        </w:rPr>
        <w:t xml:space="preserve">5.2 Termination for Cause</w:t>
      </w:r>
    </w:p>
    <w:p>
      <w:pPr>
        <w:spacing w:after="150"/>
      </w:pPr>
      <w:r>
        <w:rPr>
          <w:sz w:val="20"/>
          <w:szCs w:val="20"/>
        </w:rPr>
        <w:t xml:space="preserve">Either party may terminate this Agreement upon written notice if:</w:t>
      </w:r>
    </w:p>
    <w:p>
      <w:pPr>
        <w:pStyle w:val="ListParagraph"/>
        <w:numPr>
          <w:ilvl w:val="1"/>
          <w:numId w:val="2"/>
        </w:numPr>
        <w:spacing w:after="80"/>
      </w:pPr>
      <w:r>
        <w:rPr>
          <w:sz w:val="20"/>
          <w:szCs w:val="20"/>
        </w:rPr>
        <w:t xml:space="preserve">The other party materially breaches this Agreement and fails to cure such breach within thirty (30) days after receipt of written notice; or</w:t>
      </w:r>
    </w:p>
    <w:p>
      <w:pPr>
        <w:pStyle w:val="ListParagraph"/>
        <w:numPr>
          <w:ilvl w:val="1"/>
          <w:numId w:val="2"/>
        </w:numPr>
        <w:spacing w:after="150"/>
      </w:pPr>
      <w:r>
        <w:rPr>
          <w:sz w:val="20"/>
          <w:szCs w:val="20"/>
        </w:rPr>
        <w:t xml:space="preserve">The other party becomes insolvent, makes an assignment for the benefit of creditors, or becomes subject to bankruptcy proceedings.</w:t>
      </w:r>
    </w:p>
    <w:p>
      <w:pPr>
        <w:pStyle w:val="Heading2"/>
      </w:pPr>
      <w:r>
        <w:rPr>
          <w:b/>
          <w:bCs/>
        </w:rPr>
        <w:t xml:space="preserve">5.3 Effect of Termination</w:t>
      </w:r>
    </w:p>
    <w:p>
      <w:pPr>
        <w:spacing w:after="150"/>
      </w:pPr>
      <w:r>
        <w:rPr>
          <w:sz w:val="20"/>
          <w:szCs w:val="20"/>
        </w:rPr>
        <w:t xml:space="preserve">Upon termination or expiration of this Agreement:</w:t>
      </w:r>
    </w:p>
    <w:p>
      <w:pPr>
        <w:pStyle w:val="ListParagraph"/>
        <w:numPr>
          <w:ilvl w:val="1"/>
          <w:numId w:val="2"/>
        </w:numPr>
        <w:spacing w:after="80"/>
      </w:pPr>
      <w:r>
        <w:rPr>
          <w:sz w:val="20"/>
          <w:szCs w:val="20"/>
        </w:rPr>
        <w:t xml:space="preserve">Customer's right to access and use the Platform shall immediately cease;</w:t>
      </w:r>
    </w:p>
    <w:p>
      <w:pPr>
        <w:pStyle w:val="ListParagraph"/>
        <w:numPr>
          <w:ilvl w:val="1"/>
          <w:numId w:val="2"/>
        </w:numPr>
        <w:spacing w:after="80"/>
      </w:pPr>
      <w:r>
        <w:rPr>
          <w:sz w:val="20"/>
          <w:szCs w:val="20"/>
        </w:rPr>
        <w:t xml:space="preserve">Customer shall pay all Fees for services rendered through the effective date of termination;</w:t>
      </w:r>
    </w:p>
    <w:p>
      <w:pPr>
        <w:pStyle w:val="ListParagraph"/>
        <w:numPr>
          <w:ilvl w:val="1"/>
          <w:numId w:val="2"/>
        </w:numPr>
        <w:spacing w:after="80"/>
      </w:pPr>
      <w:r>
        <w:rPr>
          <w:sz w:val="20"/>
          <w:szCs w:val="20"/>
        </w:rPr>
        <w:t xml:space="preserve">Upon Customer's written request within thirty (30) days of termination, Provider shall make Customer Data available for export in a standard format;</w:t>
      </w:r>
    </w:p>
    <w:p>
      <w:pPr>
        <w:pStyle w:val="ListParagraph"/>
        <w:numPr>
          <w:ilvl w:val="1"/>
          <w:numId w:val="2"/>
        </w:numPr>
        <w:spacing w:after="150"/>
      </w:pPr>
      <w:r>
        <w:rPr>
          <w:sz w:val="20"/>
          <w:szCs w:val="20"/>
        </w:rPr>
        <w:t xml:space="preserve">Each party shall return or destroy all Confidential Information of the other party.</w:t>
      </w:r>
    </w:p>
    <w:p>
      <w:pPr>
        <w:pStyle w:val="Heading2"/>
      </w:pPr>
      <w:r>
        <w:rPr>
          <w:b/>
          <w:bCs/>
        </w:rPr>
        <w:t xml:space="preserve">5.4 Survival</w:t>
      </w:r>
    </w:p>
    <w:p>
      <w:pPr>
        <w:spacing w:after="150"/>
      </w:pPr>
      <w:r>
        <w:rPr>
          <w:sz w:val="20"/>
          <w:szCs w:val="20"/>
        </w:rPr>
        <w:t xml:space="preserve">The following provisions shall survive termination or expiration of this Agreement: Articles 1, 4 (for amounts due), 5.3, 5.4, 6, 7, 8, 9, and 11.</w:t>
      </w:r>
    </w:p>
    <w:p>
      <w:r>
        <w:br w:type="page"/>
      </w:r>
    </w:p>
    <w:p>
      <w:pPr>
        <w:pStyle w:val="Heading1"/>
      </w:pPr>
      <w:r>
        <w:rPr>
          <w:b/>
          <w:bCs/>
        </w:rPr>
        <w:t xml:space="preserve">ARTICLE 6: CONFIDENTIALITY</w:t>
      </w:r>
    </w:p>
    <w:p>
      <w:pPr>
        <w:pStyle w:val="Heading2"/>
      </w:pPr>
      <w:r>
        <w:rPr>
          <w:b/>
          <w:bCs/>
        </w:rPr>
        <w:t xml:space="preserve">6.1 Protection of Confidential Information</w:t>
      </w:r>
    </w:p>
    <w:p>
      <w:pPr>
        <w:spacing w:after="150"/>
      </w:pPr>
      <w:r>
        <w:rPr>
          <w:sz w:val="20"/>
          <w:szCs w:val="20"/>
        </w:rPr>
        <w:t xml:space="preserve">Each party agrees to: (a) maintain the confidentiality of the other party's Confidential Information using at least the same degree of care it uses to protect its own confidential information, but in no event less than reasonable care; (b) not disclose Confidential Information to any third party except as permitted under this Agreement; and (c) use Confidential Information only for purposes of performing its obligations or exercising its rights under this Agreement.</w:t>
      </w:r>
    </w:p>
    <w:p>
      <w:pPr>
        <w:pStyle w:val="Heading2"/>
      </w:pPr>
      <w:r>
        <w:rPr>
          <w:b/>
          <w:bCs/>
        </w:rPr>
        <w:t xml:space="preserve">6.2 Exceptions</w:t>
      </w:r>
    </w:p>
    <w:p>
      <w:pPr>
        <w:spacing w:after="150"/>
      </w:pPr>
      <w:r>
        <w:rPr>
          <w:sz w:val="20"/>
          <w:szCs w:val="20"/>
        </w:rPr>
        <w:t xml:space="preserve">Confidential Information does not include information that: (a) is or becomes publicly available without breach of this Agreement; (b) was rightfully known to the receiving party prior to disclosure; (c) is independently developed by the receiving party without use of Confidential Information; or (d) is rightfully obtained from a third party without restriction.</w:t>
      </w:r>
    </w:p>
    <w:p>
      <w:pPr>
        <w:pStyle w:val="Heading2"/>
      </w:pPr>
      <w:r>
        <w:rPr>
          <w:b/>
          <w:bCs/>
        </w:rPr>
        <w:t xml:space="preserve">6.3 Required Disclosure</w:t>
      </w:r>
    </w:p>
    <w:p>
      <w:pPr>
        <w:spacing w:after="150"/>
      </w:pPr>
      <w:r>
        <w:rPr>
          <w:sz w:val="20"/>
          <w:szCs w:val="20"/>
        </w:rPr>
        <w:t xml:space="preserve">A party may disclose Confidential Information if required by law, regulation, or court order, provided that the disclosing party gives the other party prompt notice (to the extent legally permitted) to enable the other party to seek a protective order or other remedy.</w:t>
      </w:r>
    </w:p>
    <w:p>
      <w:r>
        <w:br w:type="page"/>
      </w:r>
    </w:p>
    <w:p>
      <w:pPr>
        <w:pStyle w:val="Heading1"/>
      </w:pPr>
      <w:r>
        <w:rPr>
          <w:b/>
          <w:bCs/>
        </w:rPr>
        <w:t xml:space="preserve">ARTICLE 7: DATA PROTECTION AND SECURITY</w:t>
      </w:r>
    </w:p>
    <w:p>
      <w:pPr>
        <w:pStyle w:val="Heading2"/>
      </w:pPr>
      <w:r>
        <w:rPr>
          <w:b/>
          <w:bCs/>
        </w:rPr>
        <w:t xml:space="preserve">7.1 Customer Data Ownership</w:t>
      </w:r>
    </w:p>
    <w:p>
      <w:pPr>
        <w:spacing w:after="150"/>
      </w:pPr>
      <w:r>
        <w:rPr>
          <w:sz w:val="20"/>
          <w:szCs w:val="20"/>
        </w:rPr>
        <w:t xml:space="preserve">As between the parties, Customer owns all Customer Data. Customer grants Provider a limited, non-exclusive license to use, process, and store Customer Data solely for the purpose of providing the Subscription Services and Professional Services.</w:t>
      </w:r>
    </w:p>
    <w:p>
      <w:pPr>
        <w:pStyle w:val="Heading2"/>
      </w:pPr>
      <w:r>
        <w:rPr>
          <w:b/>
          <w:bCs/>
        </w:rPr>
        <w:t xml:space="preserve">7.2 Security Measures</w:t>
      </w:r>
    </w:p>
    <w:p>
      <w:pPr>
        <w:spacing w:after="150"/>
      </w:pPr>
      <w:r>
        <w:rPr>
          <w:sz w:val="20"/>
          <w:szCs w:val="20"/>
        </w:rPr>
        <w:t xml:space="preserve">Provider shall implement and maintain appropriate administrative, technical, and physical safeguards to protect Customer Data, including:</w:t>
      </w:r>
    </w:p>
    <w:p>
      <w:pPr>
        <w:pStyle w:val="ListParagraph"/>
        <w:numPr>
          <w:ilvl w:val="1"/>
          <w:numId w:val="2"/>
        </w:numPr>
        <w:spacing w:after="80"/>
      </w:pPr>
      <w:r>
        <w:rPr>
          <w:sz w:val="20"/>
          <w:szCs w:val="20"/>
        </w:rPr>
        <w:t xml:space="preserve">Encryption of data in transit and at rest;</w:t>
      </w:r>
    </w:p>
    <w:p>
      <w:pPr>
        <w:pStyle w:val="ListParagraph"/>
        <w:numPr>
          <w:ilvl w:val="1"/>
          <w:numId w:val="2"/>
        </w:numPr>
        <w:spacing w:after="80"/>
      </w:pPr>
      <w:r>
        <w:rPr>
          <w:sz w:val="20"/>
          <w:szCs w:val="20"/>
        </w:rPr>
        <w:t xml:space="preserve">Access controls and authentication mechanisms;</w:t>
      </w:r>
    </w:p>
    <w:p>
      <w:pPr>
        <w:pStyle w:val="ListParagraph"/>
        <w:numPr>
          <w:ilvl w:val="1"/>
          <w:numId w:val="2"/>
        </w:numPr>
        <w:spacing w:after="80"/>
      </w:pPr>
      <w:r>
        <w:rPr>
          <w:sz w:val="20"/>
          <w:szCs w:val="20"/>
        </w:rPr>
        <w:t xml:space="preserve">Regular security assessments and penetration testing;</w:t>
      </w:r>
    </w:p>
    <w:p>
      <w:pPr>
        <w:pStyle w:val="ListParagraph"/>
        <w:numPr>
          <w:ilvl w:val="1"/>
          <w:numId w:val="2"/>
        </w:numPr>
        <w:spacing w:after="150"/>
      </w:pPr>
      <w:r>
        <w:rPr>
          <w:sz w:val="20"/>
          <w:szCs w:val="20"/>
        </w:rPr>
        <w:t xml:space="preserve">Incident response procedures.</w:t>
      </w:r>
    </w:p>
    <w:p>
      <w:pPr>
        <w:pStyle w:val="Heading2"/>
      </w:pPr>
      <w:r>
        <w:rPr>
          <w:b/>
          <w:bCs/>
        </w:rPr>
        <w:t xml:space="preserve">7.3 Data Processing</w:t>
      </w:r>
    </w:p>
    <w:p>
      <w:pPr>
        <w:spacing w:after="150"/>
      </w:pPr>
      <w:r>
        <w:rPr>
          <w:sz w:val="20"/>
          <w:szCs w:val="20"/>
        </w:rPr>
        <w:t xml:space="preserve">To the extent Provider processes personal data on behalf of Customer, the parties shall execute a Data Processing Addendum setting forth the terms and conditions of such processing.</w:t>
      </w:r>
    </w:p>
    <w:p>
      <w:pPr>
        <w:pStyle w:val="Heading2"/>
      </w:pPr>
      <w:r>
        <w:rPr>
          <w:b/>
          <w:bCs/>
        </w:rPr>
        <w:t xml:space="preserve">7.4 Security Incident Notification</w:t>
      </w:r>
    </w:p>
    <w:p>
      <w:pPr>
        <w:spacing w:after="150"/>
      </w:pPr>
      <w:r>
        <w:rPr>
          <w:sz w:val="20"/>
          <w:szCs w:val="20"/>
        </w:rPr>
        <w:t xml:space="preserve">Provider shall notify Customer without undue delay (and in no event later than seventy-two (72) hours) upon becoming aware of any actual or reasonably suspected unauthorized access to Customer Data.</w:t>
      </w:r>
    </w:p>
    <w:p>
      <w:r>
        <w:br w:type="page"/>
      </w:r>
    </w:p>
    <w:p>
      <w:pPr>
        <w:pStyle w:val="Heading1"/>
      </w:pPr>
      <w:r>
        <w:rPr>
          <w:b/>
          <w:bCs/>
        </w:rPr>
        <w:t xml:space="preserve">ARTICLE 8: INTELLECTUAL PROPERTY</w:t>
      </w:r>
    </w:p>
    <w:p>
      <w:pPr>
        <w:pStyle w:val="Heading2"/>
      </w:pPr>
      <w:r>
        <w:rPr>
          <w:b/>
          <w:bCs/>
        </w:rPr>
        <w:t xml:space="preserve">8.1 Provider IP</w:t>
      </w:r>
    </w:p>
    <w:p>
      <w:pPr>
        <w:spacing w:after="150"/>
      </w:pPr>
      <w:r>
        <w:rPr>
          <w:sz w:val="20"/>
          <w:szCs w:val="20"/>
        </w:rPr>
        <w:t xml:space="preserve">Provider retains all right, title, and interest in and to the Platform, Documentation, and all related Intellectual Property Rights. This Agreement does not grant Customer any rights to Provider's Intellectual Property except as expressly set forth herein.</w:t>
      </w:r>
    </w:p>
    <w:p>
      <w:pPr>
        <w:pStyle w:val="Heading2"/>
      </w:pPr>
      <w:r>
        <w:rPr>
          <w:b/>
          <w:bCs/>
        </w:rPr>
        <w:t xml:space="preserve">8.2 Customer IP</w:t>
      </w:r>
    </w:p>
    <w:p>
      <w:pPr>
        <w:spacing w:after="150"/>
      </w:pPr>
      <w:r>
        <w:rPr>
          <w:sz w:val="20"/>
          <w:szCs w:val="20"/>
        </w:rPr>
        <w:t xml:space="preserve">Customer retains all right, title, and interest in and to Customer Data and any materials provided by Customer to Provider for use in connection with the Services.</w:t>
      </w:r>
    </w:p>
    <w:p>
      <w:pPr>
        <w:pStyle w:val="Heading2"/>
      </w:pPr>
      <w:r>
        <w:rPr>
          <w:b/>
          <w:bCs/>
        </w:rPr>
        <w:t xml:space="preserve">8.3 Feedback</w:t>
      </w:r>
    </w:p>
    <w:p>
      <w:pPr>
        <w:spacing w:after="150"/>
      </w:pPr>
      <w:r>
        <w:rPr>
          <w:sz w:val="20"/>
          <w:szCs w:val="20"/>
        </w:rPr>
        <w:t xml:space="preserve">If Customer provides suggestions, enhancement requests, or other feedback regarding the Platform, Provider may use such feedback without restriction or compensation to Customer.</w:t>
      </w:r>
    </w:p>
    <w:p>
      <w:r>
        <w:br w:type="page"/>
      </w:r>
    </w:p>
    <w:p>
      <w:pPr>
        <w:pStyle w:val="Heading1"/>
      </w:pPr>
      <w:r>
        <w:rPr>
          <w:b/>
          <w:bCs/>
        </w:rPr>
        <w:t xml:space="preserve">ARTICLE 9: WARRANTIES AND DISCLAIMERS</w:t>
      </w:r>
    </w:p>
    <w:p>
      <w:pPr>
        <w:pStyle w:val="Heading2"/>
      </w:pPr>
      <w:r>
        <w:rPr>
          <w:b/>
          <w:bCs/>
        </w:rPr>
        <w:t xml:space="preserve">9.1 Provider Warranties</w:t>
      </w:r>
    </w:p>
    <w:p>
      <w:pPr>
        <w:spacing w:after="150"/>
      </w:pPr>
      <w:r>
        <w:rPr>
          <w:sz w:val="20"/>
          <w:szCs w:val="20"/>
        </w:rPr>
        <w:t xml:space="preserve">Provider warrants that:</w:t>
      </w:r>
    </w:p>
    <w:p>
      <w:pPr>
        <w:pStyle w:val="ListParagraph"/>
        <w:numPr>
          <w:ilvl w:val="1"/>
          <w:numId w:val="2"/>
        </w:numPr>
        <w:spacing w:after="80"/>
      </w:pPr>
      <w:r>
        <w:rPr>
          <w:sz w:val="20"/>
          <w:szCs w:val="20"/>
        </w:rPr>
        <w:t xml:space="preserve">The Platform will perform substantially in accordance with the Documentation;</w:t>
      </w:r>
    </w:p>
    <w:p>
      <w:pPr>
        <w:pStyle w:val="ListParagraph"/>
        <w:numPr>
          <w:ilvl w:val="1"/>
          <w:numId w:val="2"/>
        </w:numPr>
        <w:spacing w:after="80"/>
      </w:pPr>
      <w:r>
        <w:rPr>
          <w:sz w:val="20"/>
          <w:szCs w:val="20"/>
        </w:rPr>
        <w:t xml:space="preserve">Professional Services will be performed in a professional and workmanlike manner;</w:t>
      </w:r>
    </w:p>
    <w:p>
      <w:pPr>
        <w:pStyle w:val="ListParagraph"/>
        <w:numPr>
          <w:ilvl w:val="1"/>
          <w:numId w:val="2"/>
        </w:numPr>
        <w:spacing w:after="150"/>
      </w:pPr>
      <w:r>
        <w:rPr>
          <w:sz w:val="20"/>
          <w:szCs w:val="20"/>
        </w:rPr>
        <w:t xml:space="preserve">Provider has the authority to enter into this Agreement and grant the rights set forth herein.</w:t>
      </w:r>
    </w:p>
    <w:p>
      <w:pPr>
        <w:pStyle w:val="Heading2"/>
      </w:pPr>
      <w:r>
        <w:rPr>
          <w:b/>
          <w:bCs/>
        </w:rPr>
        <w:t xml:space="preserve">9.2 Disclaimer</w:t>
      </w:r>
    </w:p>
    <w:p>
      <w:pPr>
        <w:spacing w:after="150"/>
      </w:pPr>
      <w:r>
        <w:rPr>
          <w:b/>
          <w:bCs/>
          <w:sz w:val="20"/>
          <w:szCs w:val="20"/>
        </w:rPr>
        <w:t xml:space="preserve">EXCEPT AS EXPRESSLY SET FORTH IN THIS AGREEMENT, PROVIDER MAKES NO WARRANTIES OF ANY KIND, WHETHER EXPRESS, IMPLIED, STATUTORY, OR OTHERWISE, AND SPECIFICALLY DISCLAIMS ALL IMPLIED WARRANTIES, INCLUDING WARRANTIES OF MERCHANTABILITY, FITNESS FOR A PARTICULAR PURPOSE, AND NON-INFRINGEMENT.</w:t>
      </w:r>
    </w:p>
    <w:p>
      <w:r>
        <w:br w:type="page"/>
      </w:r>
    </w:p>
    <w:p>
      <w:pPr>
        <w:pStyle w:val="Heading1"/>
      </w:pPr>
      <w:r>
        <w:rPr>
          <w:b/>
          <w:bCs/>
        </w:rPr>
        <w:t xml:space="preserve">ARTICLE 10: LIMITATION OF LIABILITY</w:t>
      </w:r>
    </w:p>
    <w:p>
      <w:pPr>
        <w:pStyle w:val="Heading2"/>
      </w:pPr>
      <w:r>
        <w:rPr>
          <w:b/>
          <w:bCs/>
        </w:rPr>
        <w:t xml:space="preserve">10.1 Exclusion of Damages</w:t>
      </w:r>
    </w:p>
    <w:p>
      <w:pPr>
        <w:spacing w:after="150"/>
      </w:pPr>
      <w:r>
        <w:rPr>
          <w:b/>
          <w:bCs/>
          <w:sz w:val="20"/>
          <w:szCs w:val="20"/>
        </w:rPr>
        <w:t xml:space="preserve">IN NO EVENT SHALL EITHER PARTY BE LIABLE FOR ANY INDIRECT, INCIDENTAL, SPECIAL, CONSEQUENTIAL, OR PUNITIVE DAMAGES, INCLUDING LOSS OF PROFITS, REVENUE, DATA, OR BUSINESS OPPORTUNITIES, ARISING OUT OF OR RELATED TO THIS AGREEMENT, REGARDLESS OF THE THEORY OF LIABILITY.</w:t>
      </w:r>
    </w:p>
    <w:p>
      <w:pPr>
        <w:pStyle w:val="Heading2"/>
      </w:pPr>
      <w:r>
        <w:rPr>
          <w:b/>
          <w:bCs/>
        </w:rPr>
        <w:t xml:space="preserve">10.2 Cap on Liability</w:t>
      </w:r>
    </w:p>
    <w:p>
      <w:pPr>
        <w:spacing w:after="150"/>
      </w:pPr>
      <w:r>
        <w:rPr>
          <w:b/>
          <w:bCs/>
          <w:sz w:val="20"/>
          <w:szCs w:val="20"/>
        </w:rPr>
        <w:t xml:space="preserve">EXCEPT FOR BREACHES OF ARTICLE 6 (CONFIDENTIALITY) OR A PARTY'S INDEMNIFICATION OBLIGATIONS, EACH PARTY'S TOTAL CUMULATIVE LIABILITY ARISING OUT OF OR RELATED TO THIS AGREEMENT SHALL NOT EXCEED THE TOTAL FEES PAID OR PAYABLE BY CUSTOMER DURING THE TWELVE (12) MONTH PERIOD IMMEDIATELY PRECEDING THE EVENT GIVING RISE TO THE CLAIM.</w:t>
      </w:r>
    </w:p>
    <w:p>
      <w:r>
        <w:br w:type="page"/>
      </w:r>
    </w:p>
    <w:p>
      <w:pPr>
        <w:pStyle w:val="Heading1"/>
      </w:pPr>
      <w:r>
        <w:rPr>
          <w:b/>
          <w:bCs/>
        </w:rPr>
        <w:t xml:space="preserve">ARTICLE 11: INDEMNIFICATION</w:t>
      </w:r>
    </w:p>
    <w:p>
      <w:pPr>
        <w:pStyle w:val="Heading2"/>
      </w:pPr>
      <w:r>
        <w:rPr>
          <w:b/>
          <w:bCs/>
        </w:rPr>
        <w:t xml:space="preserve">11.1 Provider Indemnification</w:t>
      </w:r>
    </w:p>
    <w:p>
      <w:pPr>
        <w:spacing w:after="150"/>
      </w:pPr>
      <w:r>
        <w:rPr>
          <w:sz w:val="20"/>
          <w:szCs w:val="20"/>
        </w:rPr>
        <w:t xml:space="preserve">Provider shall defend, indemnify, and hold harmless Customer from any third-party claims alleging that Customer's use of the Platform in accordance with this Agreement infringes such third party's Intellectual Property Rights.</w:t>
      </w:r>
    </w:p>
    <w:p>
      <w:pPr>
        <w:pStyle w:val="Heading2"/>
      </w:pPr>
      <w:r>
        <w:rPr>
          <w:b/>
          <w:bCs/>
        </w:rPr>
        <w:t xml:space="preserve">11.2 Customer Indemnification</w:t>
      </w:r>
    </w:p>
    <w:p>
      <w:pPr>
        <w:spacing w:after="150"/>
      </w:pPr>
      <w:r>
        <w:rPr>
          <w:sz w:val="20"/>
          <w:szCs w:val="20"/>
        </w:rPr>
        <w:t xml:space="preserve">Customer shall defend, indemnify, and hold harmless Provider from any third-party claims arising from: (a) Customer Data; (b) Customer's breach of this Agreement; or (c) Customer's violation of applicable laws.</w:t>
      </w:r>
    </w:p>
    <w:p>
      <w:pPr>
        <w:pStyle w:val="Heading2"/>
      </w:pPr>
      <w:r>
        <w:rPr>
          <w:b/>
          <w:bCs/>
        </w:rPr>
        <w:t xml:space="preserve">11.3 Indemnification Procedures</w:t>
      </w:r>
    </w:p>
    <w:p>
      <w:pPr>
        <w:spacing w:after="150"/>
      </w:pPr>
      <w:r>
        <w:rPr>
          <w:sz w:val="20"/>
          <w:szCs w:val="20"/>
        </w:rPr>
        <w:t xml:space="preserve">The indemnified party shall: (a) promptly notify the indemnifying party of the claim; (b) give the indemnifying party sole control of the defense and settlement; and (c) provide reasonable cooperation in the defense.</w:t>
      </w:r>
    </w:p>
    <w:p>
      <w:r>
        <w:br w:type="page"/>
      </w:r>
    </w:p>
    <w:p>
      <w:pPr>
        <w:pStyle w:val="Heading1"/>
      </w:pPr>
      <w:r>
        <w:rPr>
          <w:b/>
          <w:bCs/>
        </w:rPr>
        <w:t xml:space="preserve">ARTICLE 12: GENERAL PROVISIONS</w:t>
      </w:r>
    </w:p>
    <w:p>
      <w:pPr>
        <w:pStyle w:val="Heading2"/>
      </w:pPr>
      <w:r>
        <w:rPr>
          <w:b/>
          <w:bCs/>
        </w:rPr>
        <w:t xml:space="preserve">12.1 Notices</w:t>
      </w:r>
    </w:p>
    <w:p>
      <w:pPr>
        <w:spacing w:after="150"/>
      </w:pPr>
      <w:r>
        <w:rPr>
          <w:sz w:val="20"/>
          <w:szCs w:val="20"/>
        </w:rPr>
        <w:t xml:space="preserve">All notices shall be in writing and sent to the addresses set forth below or such other address as a party may designate in writing.</w:t>
      </w:r>
    </w:p>
    <w:p>
      <w:pPr>
        <w:pStyle w:val="Heading2"/>
      </w:pPr>
      <w:r>
        <w:rPr>
          <w:b/>
          <w:bCs/>
        </w:rPr>
        <w:t xml:space="preserve">12.2 Governing Law</w:t>
      </w:r>
    </w:p>
    <w:p>
      <w:pPr>
        <w:spacing w:after="150"/>
      </w:pPr>
      <w:r>
        <w:rPr>
          <w:sz w:val="20"/>
          <w:szCs w:val="20"/>
        </w:rPr>
        <w:t xml:space="preserve">This Agreement shall be governed by and construed in accordance with the laws of the State of Delaware, without regard to its conflict of laws principles.</w:t>
      </w:r>
    </w:p>
    <w:p>
      <w:pPr>
        <w:pStyle w:val="Heading2"/>
      </w:pPr>
      <w:r>
        <w:rPr>
          <w:b/>
          <w:bCs/>
        </w:rPr>
        <w:t xml:space="preserve">12.3 Dispute Resolution</w:t>
      </w:r>
    </w:p>
    <w:p>
      <w:pPr>
        <w:spacing w:after="150"/>
      </w:pPr>
      <w:r>
        <w:rPr>
          <w:sz w:val="20"/>
          <w:szCs w:val="20"/>
        </w:rPr>
        <w:t xml:space="preserve">Any dispute arising out of or relating to this Agreement shall be resolved through binding arbitration administered by JAMS in accordance with its Commercial Arbitration Rules. The arbitration shall be conducted in New York, New York. The arbitrator's decision shall be final and binding.</w:t>
      </w:r>
    </w:p>
    <w:p>
      <w:pPr>
        <w:pStyle w:val="Heading2"/>
      </w:pPr>
      <w:r>
        <w:rPr>
          <w:b/>
          <w:bCs/>
        </w:rPr>
        <w:t xml:space="preserve">12.4 Assignment</w:t>
      </w:r>
    </w:p>
    <w:p>
      <w:pPr>
        <w:spacing w:after="150"/>
      </w:pPr>
      <w:r>
        <w:rPr>
          <w:sz w:val="20"/>
          <w:szCs w:val="20"/>
        </w:rPr>
        <w:t xml:space="preserve">Neither party may assign this Agreement without the prior written consent of the other party, except that either party may assign this Agreement to an affiliate or in connection with a merger, acquisition, or sale of substantially all of its assets.</w:t>
      </w:r>
    </w:p>
    <w:p>
      <w:pPr>
        <w:pStyle w:val="Heading2"/>
      </w:pPr>
      <w:r>
        <w:rPr>
          <w:b/>
          <w:bCs/>
        </w:rPr>
        <w:t xml:space="preserve">12.5 Force Majeure</w:t>
      </w:r>
    </w:p>
    <w:p>
      <w:pPr>
        <w:spacing w:after="150"/>
      </w:pPr>
      <w:r>
        <w:rPr>
          <w:sz w:val="20"/>
          <w:szCs w:val="20"/>
        </w:rPr>
        <w:t xml:space="preserve">Neither party shall be liable for any failure or delay in performance due to causes beyond its reasonable control, including acts of God, natural disasters, war, terrorism, labor disputes, or government actions.</w:t>
      </w:r>
    </w:p>
    <w:p>
      <w:pPr>
        <w:pStyle w:val="Heading2"/>
      </w:pPr>
      <w:r>
        <w:rPr>
          <w:b/>
          <w:bCs/>
        </w:rPr>
        <w:t xml:space="preserve">12.6 Entire Agreement</w:t>
      </w:r>
    </w:p>
    <w:p>
      <w:pPr>
        <w:spacing w:after="150"/>
      </w:pPr>
      <w:r>
        <w:rPr>
          <w:sz w:val="20"/>
          <w:szCs w:val="20"/>
        </w:rPr>
        <w:t xml:space="preserve">This Agreement, including all Schedules, Exhibits, and Order Forms, constitutes the entire agreement between the parties and supersedes all prior agreements, understandings, and representations.</w:t>
      </w:r>
    </w:p>
    <w:p>
      <w:pPr>
        <w:pStyle w:val="Heading2"/>
      </w:pPr>
      <w:r>
        <w:rPr>
          <w:b/>
          <w:bCs/>
        </w:rPr>
        <w:t xml:space="preserve">12.7 Amendments</w:t>
      </w:r>
    </w:p>
    <w:p>
      <w:pPr>
        <w:spacing w:after="150"/>
      </w:pPr>
      <w:r>
        <w:rPr>
          <w:sz w:val="20"/>
          <w:szCs w:val="20"/>
        </w:rPr>
        <w:t xml:space="preserve">This Agreement may only be amended by a written instrument signed by authorized representatives of both parties.</w:t>
      </w:r>
    </w:p>
    <w:p>
      <w:pPr>
        <w:pStyle w:val="Heading2"/>
      </w:pPr>
      <w:r>
        <w:rPr>
          <w:b/>
          <w:bCs/>
        </w:rPr>
        <w:t xml:space="preserve">12.8 Severability</w:t>
      </w:r>
    </w:p>
    <w:p>
      <w:pPr>
        <w:spacing w:after="150"/>
      </w:pPr>
      <w:r>
        <w:rPr>
          <w:sz w:val="20"/>
          <w:szCs w:val="20"/>
        </w:rPr>
        <w:t xml:space="preserve">If any provision of this Agreement is held to be invalid or unenforceable, such provision shall be modified to the minimum extent necessary, and the remaining provisions shall remain in full force and effect.</w:t>
      </w:r>
    </w:p>
    <w:p>
      <w:pPr>
        <w:pStyle w:val="Heading2"/>
      </w:pPr>
      <w:r>
        <w:rPr>
          <w:b/>
          <w:bCs/>
        </w:rPr>
        <w:t xml:space="preserve">12.9 Waiver</w:t>
      </w:r>
    </w:p>
    <w:p>
      <w:pPr>
        <w:spacing w:after="150"/>
      </w:pPr>
      <w:r>
        <w:rPr>
          <w:sz w:val="20"/>
          <w:szCs w:val="20"/>
        </w:rPr>
        <w:t xml:space="preserve">No failure or delay by either party in exercising any right under this Agreement shall constitute a waiver of that right.</w:t>
      </w:r>
    </w:p>
    <w:p>
      <w:pPr>
        <w:pStyle w:val="Heading2"/>
      </w:pPr>
      <w:r>
        <w:rPr>
          <w:b/>
          <w:bCs/>
        </w:rPr>
        <w:t xml:space="preserve">12.10 Independent Contractors</w:t>
      </w:r>
    </w:p>
    <w:p>
      <w:pPr>
        <w:spacing w:after="150"/>
      </w:pPr>
      <w:r>
        <w:rPr>
          <w:sz w:val="20"/>
          <w:szCs w:val="20"/>
        </w:rPr>
        <w:t xml:space="preserve">The parties are independent contractors. Nothing in this Agreement creates a partnership, joint venture, agency, or employment relationship.</w:t>
      </w:r>
    </w:p>
    <w:p>
      <w:r>
        <w:br w:type="page"/>
      </w:r>
    </w:p>
    <w:p>
      <w:pPr>
        <w:pStyle w:val="Heading1"/>
      </w:pPr>
      <w:r>
        <w:rPr>
          <w:b/>
          <w:bCs/>
        </w:rPr>
        <w:t xml:space="preserve">SIGNATURE PAGE</w:t>
      </w:r>
    </w:p>
    <w:p>
      <w:pPr>
        <w:spacing w:after="200"/>
      </w:pPr>
      <w:r>
        <w:rPr>
          <w:sz w:val="20"/>
          <w:szCs w:val="20"/>
        </w:rPr>
        <w:t xml:space="preserve">IN WITNESS WHEREOF, the parties have executed this Master Services Agreement as of the Effective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100"/>
            </w:pPr>
            <w:r>
              <w:rPr>
                <w:b/>
                <w:bCs/>
                <w:sz w:val="22"/>
                <w:szCs w:val="22"/>
              </w:rPr>
              <w:t xml:space="preserve">NOVATE LABS, INC.</w:t>
            </w:r>
          </w:p>
          <w:p>
            <w:pPr>
              <w:spacing w:after="300"/>
            </w:pPr>
            <w:r>
              <w:rPr>
                <w:sz w:val="20"/>
                <w:szCs w:val="20"/>
              </w:rPr>
              <w:t xml:space="preserve">Signature: _______________________________</w:t>
            </w:r>
          </w:p>
          <w:p>
            <w:pPr>
              <w:spacing w:after="100"/>
            </w:pPr>
            <w:r>
              <w:rPr>
                <w:sz w:val="20"/>
                <w:szCs w:val="20"/>
              </w:rPr>
              <w:t xml:space="preserve">Name: ___________________________________</w:t>
            </w:r>
          </w:p>
          <w:p>
            <w:pPr>
              <w:spacing w:after="100"/>
            </w:pPr>
            <w:r>
              <w:rPr>
                <w:sz w:val="20"/>
                <w:szCs w:val="20"/>
              </w:rPr>
              <w:t xml:space="preserve">Title: ____________________________________</w:t>
            </w:r>
          </w:p>
          <w:p>
            <w:r>
              <w:rPr>
                <w:sz w:val="20"/>
                <w:szCs w:val="20"/>
              </w:rPr>
              <w:t xml:space="preserve">Date: ____________________________________</w:t>
            </w:r>
          </w:p>
        </w:tc>
        <w:tc>
          <w:tcPr>
            <w:tcW w:type="dxa" w:w="4680"/>
            <w:tcBorders>
              <w:top w:val="none" w:color="FFFFFF" w:sz="0"/>
              <w:left w:val="none" w:color="FFFFFF" w:sz="0"/>
              <w:bottom w:val="none" w:color="FFFFFF" w:sz="0"/>
              <w:right w:val="none" w:color="FFFFFF" w:sz="0"/>
            </w:tcBorders>
          </w:tcPr>
          <w:p>
            <w:pPr>
              <w:spacing w:after="100"/>
            </w:pPr>
            <w:r>
              <w:rPr>
                <w:b/>
                <w:bCs/>
                <w:sz w:val="22"/>
                <w:szCs w:val="22"/>
              </w:rPr>
              <w:t xml:space="preserve">NATIONAL FOOTBALL LEAGUE</w:t>
            </w:r>
          </w:p>
          <w:p>
            <w:pPr>
              <w:spacing w:after="300"/>
            </w:pPr>
            <w:r>
              <w:rPr>
                <w:sz w:val="20"/>
                <w:szCs w:val="20"/>
              </w:rPr>
              <w:t xml:space="preserve">Signature: _______________________________</w:t>
            </w:r>
          </w:p>
          <w:p>
            <w:pPr>
              <w:spacing w:after="100"/>
            </w:pPr>
            <w:r>
              <w:rPr>
                <w:sz w:val="20"/>
                <w:szCs w:val="20"/>
              </w:rPr>
              <w:t xml:space="preserve">Name: ___________________________________</w:t>
            </w:r>
          </w:p>
          <w:p>
            <w:pPr>
              <w:spacing w:after="100"/>
            </w:pPr>
            <w:r>
              <w:rPr>
                <w:sz w:val="20"/>
                <w:szCs w:val="20"/>
              </w:rPr>
              <w:t xml:space="preserve">Title: ____________________________________</w:t>
            </w:r>
          </w:p>
          <w:p>
            <w:r>
              <w:rPr>
                <w:sz w:val="20"/>
                <w:szCs w:val="20"/>
              </w:rPr>
              <w:t xml:space="preserve">Date: ____________________________________</w:t>
            </w:r>
          </w:p>
        </w:tc>
      </w:tr>
    </w:tbl>
    <w:p>
      <w:pPr>
        <w:spacing w:after="400"/>
      </w:pPr>
    </w:p>
    <w:p>
      <w:pPr>
        <w:pStyle w:val="Heading2"/>
      </w:pPr>
      <w:r>
        <w:rPr>
          <w:b/>
          <w:bCs/>
        </w:rPr>
        <w:t xml:space="preserve">SCHEDULES AND EXHIBITS</w:t>
      </w:r>
    </w:p>
    <w:p>
      <w:pPr>
        <w:spacing w:after="100"/>
      </w:pPr>
      <w:r>
        <w:rPr>
          <w:sz w:val="20"/>
          <w:szCs w:val="20"/>
        </w:rPr>
        <w:t xml:space="preserve">The following Schedules and Exhibits are incorporated into and made part of this Agreement:</w:t>
      </w:r>
    </w:p>
    <w:p>
      <w:pPr>
        <w:pStyle w:val="ListParagraph"/>
        <w:numPr>
          <w:ilvl w:val="0"/>
          <w:numId w:val="3"/>
        </w:numPr>
        <w:spacing w:after="80"/>
      </w:pPr>
      <w:r>
        <w:rPr>
          <w:sz w:val="20"/>
          <w:szCs w:val="20"/>
        </w:rPr>
        <w:t xml:space="preserve">Schedule A: Subscription Services</w:t>
      </w:r>
    </w:p>
    <w:p>
      <w:pPr>
        <w:pStyle w:val="ListParagraph"/>
        <w:numPr>
          <w:ilvl w:val="0"/>
          <w:numId w:val="3"/>
        </w:numPr>
        <w:spacing w:after="80"/>
      </w:pPr>
      <w:r>
        <w:rPr>
          <w:sz w:val="20"/>
          <w:szCs w:val="20"/>
        </w:rPr>
        <w:t xml:space="preserve">Schedule B: Professional Services (Statement of Work)</w:t>
      </w:r>
    </w:p>
    <w:p>
      <w:pPr>
        <w:pStyle w:val="ListParagraph"/>
        <w:numPr>
          <w:ilvl w:val="0"/>
          <w:numId w:val="3"/>
        </w:numPr>
        <w:spacing w:after="80"/>
      </w:pPr>
      <w:r>
        <w:rPr>
          <w:sz w:val="20"/>
          <w:szCs w:val="20"/>
        </w:rPr>
        <w:t xml:space="preserve">Schedule C: Service Level Agreement (SLA)</w:t>
      </w:r>
    </w:p>
    <w:p>
      <w:pPr>
        <w:pStyle w:val="ListParagraph"/>
        <w:numPr>
          <w:ilvl w:val="0"/>
          <w:numId w:val="3"/>
        </w:numPr>
        <w:spacing w:after="80"/>
      </w:pPr>
      <w:r>
        <w:rPr>
          <w:sz w:val="20"/>
          <w:szCs w:val="20"/>
        </w:rPr>
        <w:t xml:space="preserve">Schedule D: Fees and Payment</w:t>
      </w:r>
    </w:p>
    <w:p>
      <w:pPr>
        <w:pStyle w:val="ListParagraph"/>
        <w:numPr>
          <w:ilvl w:val="0"/>
          <w:numId w:val="3"/>
        </w:numPr>
        <w:spacing w:after="80"/>
      </w:pPr>
      <w:r>
        <w:rPr>
          <w:sz w:val="20"/>
          <w:szCs w:val="20"/>
        </w:rPr>
        <w:t xml:space="preserve">Schedule E: Support Services</w:t>
      </w:r>
    </w:p>
    <w:p>
      <w:pPr>
        <w:pStyle w:val="ListParagraph"/>
        <w:numPr>
          <w:ilvl w:val="0"/>
          <w:numId w:val="3"/>
        </w:numPr>
        <w:spacing w:after="80"/>
      </w:pPr>
      <w:r>
        <w:rPr>
          <w:sz w:val="20"/>
          <w:szCs w:val="20"/>
        </w:rPr>
        <w:t xml:space="preserve">Exhibit 1: Data Processing Addendum</w:t>
      </w:r>
    </w:p>
    <w:p>
      <w:pPr>
        <w:pStyle w:val="ListParagraph"/>
        <w:numPr>
          <w:ilvl w:val="0"/>
          <w:numId w:val="3"/>
        </w:numPr>
        <w:spacing w:after="200"/>
      </w:pPr>
      <w:r>
        <w:rPr>
          <w:sz w:val="20"/>
          <w:szCs w:val="20"/>
        </w:rPr>
        <w:t xml:space="preserve">Exhibit 2: Security Requirements</w:t>
      </w:r>
    </w:p>
    <w:p>
      <w:pPr>
        <w:spacing w:before="300"/>
        <w:jc w:val="center"/>
      </w:pPr>
      <w:r>
        <w:rPr>
          <w:b/>
          <w:bCs/>
          <w:color w:val="1A2744"/>
          <w:sz w:val="20"/>
          <w:szCs w:val="20"/>
        </w:rPr>
        <w:t xml:space="preserve">[END OF MASTER SERVICES AGREEMENT]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19795" w:sz="4"/>
      </w:pBd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color w:val="1A2744"/>
              <w:sz w:val="16"/>
              <w:szCs w:val="16"/>
            </w:rPr>
            <w:t xml:space="preserve">MSA-NFL-EVERGAME-2026-001</w:t>
          </w:r>
        </w:p>
      </w:tc>
      <w:tc>
        <w:tcPr>
          <w:tcW w:type="dxa" w:w="4680"/>
          <w:tcBorders>
            <w:top w:val="none" w:color="FFFFFF" w:sz="0"/>
            <w:left w:val="none" w:color="FFFFFF" w:sz="0"/>
            <w:bottom w:val="none" w:color="FFFFFF" w:sz="0"/>
            <w:right w:val="none" w:color="FFFFFF" w:sz="0"/>
          </w:tcBorders>
        </w:tcPr>
        <w:p>
          <w:pPr>
            <w:jc w:val="right"/>
          </w:pPr>
          <w:r>
            <w:rPr>
              <w:color w:val="1A2744"/>
              <w:sz w:val="16"/>
              <w:szCs w:val="16"/>
            </w:rPr>
            <w:t xml:space="preserve">Page </w:t>
          </w:r>
          <w:r>
            <w:rPr>
              <w:color w:val="1A2744"/>
              <w:sz w:val="16"/>
              <w:szCs w:val="16"/>
            </w:rPr>
            <w:fldChar w:fldCharType="begin"/>
            <w:instrText xml:space="preserve">PAGE</w:instrText>
            <w:fldChar w:fldCharType="separate"/>
            <w:fldChar w:fldCharType="end"/>
          </w:r>
          <w:r>
            <w:rPr>
              <w:color w:val="1A2744"/>
              <w:sz w:val="16"/>
              <w:szCs w:val="16"/>
            </w:rPr>
            <w:t xml:space="preserve"> of </w:t>
          </w:r>
          <w:r>
            <w:rPr>
              <w:color w:val="1A2744"/>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0A1628"/>
        <w:sz w:val="18"/>
        <w:szCs w:val="18"/>
      </w:rPr>
      <w:t xml:space="preserve">MASTER SERVICES AGREEMENT</w:t>
    </w:r>
    <w:r>
      <w:rPr>
        <w:rFonts w:ascii="Arial" w:cs="Arial" w:eastAsia="Arial" w:hAnsi="Arial"/>
        <w:color w:val="2C5282"/>
        <w:sz w:val="16"/>
        <w:szCs w:val="16"/>
      </w:rPr>
      <w:t xml:space="preserve">  |  NFL EVERGAME  |  CONFIDENTIAL</w:t>
    </w:r>
  </w:p>
  <w:p>
    <w:pPr>
      <w:pBdr>
        <w:bottom w:val="single" w:color="319795" w:sz="8"/>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2744"/>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2026-01-27T07:30:47.955Z</dcterms:created>
  <dcterms:modified xsi:type="dcterms:W3CDTF">2026-01-27T07:30:47.956Z</dcterms:modified>
</cp:coreProperties>
</file>

<file path=docProps/custom.xml><?xml version="1.0" encoding="utf-8"?>
<Properties xmlns="http://schemas.openxmlformats.org/officeDocument/2006/custom-properties" xmlns:vt="http://schemas.openxmlformats.org/officeDocument/2006/docPropsVTypes"/>
</file>