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rFonts w:ascii="Arial" w:cs="Arial" w:eastAsia="Arial" w:hAnsi="Arial"/>
          <w:b/>
          <w:bCs/>
          <w:color w:val="1B2B3D"/>
          <w:sz w:val="56"/>
          <w:szCs w:val="56"/>
        </w:rPr>
        <w:t xml:space="preserve">SENTRAIS</w:t>
      </w:r>
    </w:p>
    <w:p>
      <w:pPr>
        <w:spacing w:after="400"/>
        <w:jc w:val="center"/>
      </w:pPr>
      <w:r>
        <w:rPr>
          <w:rFonts w:ascii="Arial" w:cs="Arial" w:eastAsia="Arial" w:hAnsi="Arial"/>
          <w:color w:val="2B6B7D"/>
          <w:sz w:val="24"/>
          <w:szCs w:val="24"/>
        </w:rPr>
        <w:t xml:space="preserve">Powered by NOVATE</w:t>
      </w:r>
    </w:p>
    <w:p>
      <w:pPr>
        <w:spacing w:after="8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A5B5" w:val="clear"/>
          </w:tcPr>
          <w:p/>
        </w:tc>
        <w:tc>
          <w:tcPr>
            <w:tcW w:type="dxa" w:w="9160"/>
            <w:tcBorders>
              <w:top w:val="none" w:color="FFFFFF" w:sz="0"/>
              <w:left w:val="none" w:color="FFFFFF" w:sz="0"/>
              <w:bottom w:val="none" w:color="FFFFFF" w:sz="0"/>
              <w:right w:val="none" w:color="FFFFFF" w:sz="0"/>
            </w:tcBorders>
            <w:tcMar>
              <w:top w:type="dxa" w:w="200"/>
              <w:left w:type="dxa" w:w="300"/>
              <w:bottom w:type="dxa" w:w="200"/>
            </w:tcMar>
          </w:tcPr>
          <w:p>
            <w:r>
              <w:rPr>
                <w:rFonts w:ascii="Arial" w:cs="Arial" w:eastAsia="Arial" w:hAnsi="Arial"/>
                <w:b/>
                <w:bCs/>
                <w:color w:val="1B2B3D"/>
                <w:sz w:val="52"/>
                <w:szCs w:val="52"/>
              </w:rPr>
              <w:t xml:space="preserve">NFL EVERGAME</w:t>
            </w:r>
          </w:p>
          <w:p>
            <w:r>
              <w:rPr>
                <w:rFonts w:ascii="Arial" w:cs="Arial" w:eastAsia="Arial" w:hAnsi="Arial"/>
                <w:color w:val="2B6B7D"/>
                <w:sz w:val="36"/>
                <w:szCs w:val="36"/>
              </w:rPr>
              <w:t xml:space="preserve">Phase II Implementation Proposal</w:t>
            </w:r>
          </w:p>
          <w:p>
            <w:pPr>
              <w:spacing w:before="200"/>
            </w:pPr>
            <w:r>
              <w:rPr>
                <w:rFonts w:ascii="Arial" w:cs="Arial" w:eastAsia="Arial" w:hAnsi="Arial"/>
                <w:color w:val="2B4156"/>
                <w:sz w:val="24"/>
                <w:szCs w:val="24"/>
              </w:rPr>
              <w:t xml:space="preserve">IT Game Day Compliance &amp; Readiness System</w:t>
            </w:r>
          </w:p>
        </w:tc>
      </w:tr>
    </w:tbl>
    <w:p>
      <w:pPr>
        <w:spacing w:after="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color w:val="1B2B3D"/>
                <w:sz w:val="20"/>
                <w:szCs w:val="20"/>
              </w:rPr>
              <w:t xml:space="preserve">Document ID</w:t>
            </w:r>
          </w:p>
        </w:tc>
        <w:tc>
          <w:tcPr>
            <w:tcW w:type="dxa" w:w="6360"/>
            <w:tcBorders>
              <w:top w:val="single" w:color="E8ECF0" w:sz="1"/>
              <w:left w:val="single" w:color="E8ECF0" w:sz="1"/>
              <w:bottom w:val="single" w:color="E8ECF0" w:sz="1"/>
              <w:right w:val="single" w:color="E8ECF0" w:sz="1"/>
            </w:tcBorders>
            <w:tcMar>
              <w:top w:type="dxa" w:w="100"/>
              <w:left w:type="dxa" w:w="150"/>
              <w:bottom w:type="dxa" w:w="100"/>
              <w:right w:type="dxa" w:w="150"/>
            </w:tcMar>
          </w:tcPr>
          <w:p>
            <w:r>
              <w:rPr>
                <w:rFonts w:ascii="Arial" w:cs="Arial" w:eastAsia="Arial" w:hAnsi="Arial"/>
                <w:color w:val="1B2B3D"/>
                <w:sz w:val="20"/>
                <w:szCs w:val="20"/>
              </w:rPr>
              <w:t xml:space="preserve">SIPE-NFL-EVERGAME-PROPOSAL-v1.0</w:t>
            </w:r>
          </w:p>
        </w:tc>
      </w:tr>
      <w:tr>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color w:val="1B2B3D"/>
                <w:sz w:val="20"/>
                <w:szCs w:val="20"/>
              </w:rPr>
              <w:t xml:space="preserve">Classification</w:t>
            </w:r>
          </w:p>
        </w:tc>
        <w:tc>
          <w:tcPr>
            <w:tcW w:type="dxa" w:w="6360"/>
            <w:tcBorders>
              <w:top w:val="single" w:color="E8ECF0" w:sz="1"/>
              <w:left w:val="single" w:color="E8ECF0" w:sz="1"/>
              <w:bottom w:val="single" w:color="E8ECF0" w:sz="1"/>
              <w:right w:val="single" w:color="E8ECF0" w:sz="1"/>
            </w:tcBorders>
            <w:tcMar>
              <w:top w:type="dxa" w:w="100"/>
              <w:left w:type="dxa" w:w="150"/>
              <w:bottom w:type="dxa" w:w="100"/>
              <w:right w:type="dxa" w:w="150"/>
            </w:tcMar>
          </w:tcPr>
          <w:p>
            <w:r>
              <w:rPr>
                <w:rFonts w:ascii="Arial" w:cs="Arial" w:eastAsia="Arial" w:hAnsi="Arial"/>
                <w:b/>
                <w:bCs/>
                <w:color w:val="00A5B5"/>
                <w:sz w:val="20"/>
                <w:szCs w:val="20"/>
              </w:rPr>
              <w:t xml:space="preserve">NOVATE PROPRIETARY - CLIENT CONFIDENTIAL</w:t>
            </w:r>
          </w:p>
        </w:tc>
      </w:tr>
      <w:tr>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color w:val="1B2B3D"/>
                <w:sz w:val="20"/>
                <w:szCs w:val="20"/>
              </w:rPr>
              <w:t xml:space="preserve">SIPE Tag</w:t>
            </w:r>
          </w:p>
        </w:tc>
        <w:tc>
          <w:tcPr>
            <w:tcW w:type="dxa" w:w="6360"/>
            <w:tcBorders>
              <w:top w:val="single" w:color="E8ECF0" w:sz="1"/>
              <w:left w:val="single" w:color="E8ECF0" w:sz="1"/>
              <w:bottom w:val="single" w:color="E8ECF0" w:sz="1"/>
              <w:right w:val="single" w:color="E8ECF0" w:sz="1"/>
            </w:tcBorders>
            <w:tcMar>
              <w:top w:type="dxa" w:w="100"/>
              <w:left w:type="dxa" w:w="150"/>
              <w:bottom w:type="dxa" w:w="100"/>
              <w:right w:type="dxa" w:w="150"/>
            </w:tcMar>
          </w:tcPr>
          <w:p>
            <w:r>
              <w:rPr>
                <w:rFonts w:ascii="Arial" w:cs="Arial" w:eastAsia="Arial" w:hAnsi="Arial"/>
                <w:color w:val="1B2B3D"/>
                <w:sz w:val="20"/>
                <w:szCs w:val="20"/>
              </w:rPr>
              <w:t xml:space="preserve">TRANSFORMATION-CHALLENGE-FULL</w:t>
            </w:r>
          </w:p>
        </w:tc>
      </w:tr>
      <w:tr>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color w:val="1B2B3D"/>
                <w:sz w:val="20"/>
                <w:szCs w:val="20"/>
              </w:rPr>
              <w:t xml:space="preserve">Version</w:t>
            </w:r>
          </w:p>
        </w:tc>
        <w:tc>
          <w:tcPr>
            <w:tcW w:type="dxa" w:w="6360"/>
            <w:tcBorders>
              <w:top w:val="single" w:color="E8ECF0" w:sz="1"/>
              <w:left w:val="single" w:color="E8ECF0" w:sz="1"/>
              <w:bottom w:val="single" w:color="E8ECF0" w:sz="1"/>
              <w:right w:val="single" w:color="E8ECF0" w:sz="1"/>
            </w:tcBorders>
            <w:tcMar>
              <w:top w:type="dxa" w:w="100"/>
              <w:left w:type="dxa" w:w="150"/>
              <w:bottom w:type="dxa" w:w="100"/>
              <w:right w:type="dxa" w:w="150"/>
            </w:tcMar>
          </w:tcPr>
          <w:p>
            <w:r>
              <w:rPr>
                <w:rFonts w:ascii="Arial" w:cs="Arial" w:eastAsia="Arial" w:hAnsi="Arial"/>
                <w:color w:val="1B2B3D"/>
                <w:sz w:val="20"/>
                <w:szCs w:val="20"/>
              </w:rPr>
              <w:t xml:space="preserve">1.0 | January 2026</w:t>
            </w:r>
          </w:p>
        </w:tc>
      </w:tr>
      <w:tr>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color w:val="1B2B3D"/>
                <w:sz w:val="20"/>
                <w:szCs w:val="20"/>
              </w:rPr>
              <w:t xml:space="preserve">Target Start</w:t>
            </w:r>
          </w:p>
        </w:tc>
        <w:tc>
          <w:tcPr>
            <w:tcW w:type="dxa" w:w="6360"/>
            <w:tcBorders>
              <w:top w:val="single" w:color="E8ECF0" w:sz="1"/>
              <w:left w:val="single" w:color="E8ECF0" w:sz="1"/>
              <w:bottom w:val="single" w:color="E8ECF0" w:sz="1"/>
              <w:right w:val="single" w:color="E8ECF0" w:sz="1"/>
            </w:tcBorders>
            <w:tcMar>
              <w:top w:type="dxa" w:w="100"/>
              <w:left w:type="dxa" w:w="150"/>
              <w:bottom w:type="dxa" w:w="100"/>
              <w:right w:type="dxa" w:w="150"/>
            </w:tcMar>
          </w:tcPr>
          <w:p>
            <w:r>
              <w:rPr>
                <w:rFonts w:ascii="Arial" w:cs="Arial" w:eastAsia="Arial" w:hAnsi="Arial"/>
                <w:color w:val="1B2B3D"/>
                <w:sz w:val="20"/>
                <w:szCs w:val="20"/>
              </w:rPr>
              <w:t xml:space="preserve">March 2026</w:t>
            </w:r>
          </w:p>
        </w:tc>
      </w:tr>
      <w:tr>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color w:val="1B2B3D"/>
                <w:sz w:val="20"/>
                <w:szCs w:val="20"/>
              </w:rPr>
              <w:t xml:space="preserve">Target Completion</w:t>
            </w:r>
          </w:p>
        </w:tc>
        <w:tc>
          <w:tcPr>
            <w:tcW w:type="dxa" w:w="6360"/>
            <w:tcBorders>
              <w:top w:val="single" w:color="E8ECF0" w:sz="1"/>
              <w:left w:val="single" w:color="E8ECF0" w:sz="1"/>
              <w:bottom w:val="single" w:color="E8ECF0" w:sz="1"/>
              <w:right w:val="single" w:color="E8ECF0" w:sz="1"/>
            </w:tcBorders>
            <w:tcMar>
              <w:top w:type="dxa" w:w="100"/>
              <w:left w:type="dxa" w:w="150"/>
              <w:bottom w:type="dxa" w:w="100"/>
              <w:right w:type="dxa" w:w="150"/>
            </w:tcMar>
          </w:tcPr>
          <w:p>
            <w:r>
              <w:rPr>
                <w:rFonts w:ascii="Arial" w:cs="Arial" w:eastAsia="Arial" w:hAnsi="Arial"/>
                <w:color w:val="1B2B3D"/>
                <w:sz w:val="20"/>
                <w:szCs w:val="20"/>
              </w:rPr>
              <w:t xml:space="preserve">2026 Preseason Ready (August 2026)</w:t>
            </w:r>
          </w:p>
        </w:tc>
      </w:tr>
    </w:tbl>
    <w:p>
      <w:pPr>
        <w:spacing w:after="600"/>
      </w:pPr>
    </w:p>
    <w:p>
      <w:pPr>
        <w:jc w:val="center"/>
      </w:pPr>
      <w:r>
        <w:rPr>
          <w:rFonts w:ascii="Arial" w:cs="Arial" w:eastAsia="Arial" w:hAnsi="Arial"/>
          <w:color w:val="2B4156"/>
          <w:sz w:val="22"/>
          <w:szCs w:val="22"/>
        </w:rPr>
        <w:t xml:space="preserve">Prepared for: NFL IT Operations</w:t>
      </w:r>
    </w:p>
    <w:p>
      <w:pPr>
        <w:jc w:val="center"/>
      </w:pPr>
      <w:r>
        <w:rPr>
          <w:rFonts w:ascii="Arial" w:cs="Arial" w:eastAsia="Arial" w:hAnsi="Arial"/>
          <w:color w:val="2B4156"/>
          <w:sz w:val="22"/>
          <w:szCs w:val="22"/>
        </w:rPr>
        <w:t xml:space="preserve">Prepared by: NOVATE Labs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Engagement Overview</w:t>
      </w:r>
    </w:p>
    <w:p>
      <w:pPr>
        <w:spacing w:after="200"/>
      </w:pPr>
      <w:r>
        <w:rPr>
          <w:rFonts w:ascii="Arial" w:cs="Arial" w:eastAsia="Arial" w:hAnsi="Arial"/>
          <w:sz w:val="22"/>
          <w:szCs w:val="22"/>
        </w:rPr>
        <w:t xml:space="preserve">Following the successful completion of the EVERGAME Proof of Concept, NOVATE is pleased to present this comprehensive implementation proposal for Phase II of the NFL IT Game Day Compliance and Readiness System. This proposal outlines the full implementation journey from Discovery through Operationalization, leveraging the SIPE (Sentrais Innovation Playbook Engine) methodology to ensure forensic rigor, evidence-based decision making, and measurable outcomes.</w:t>
      </w:r>
    </w:p>
    <w:p>
      <w:pPr>
        <w:spacing w:after="200"/>
      </w:pPr>
      <w:r>
        <w:rPr>
          <w:rFonts w:ascii="Arial" w:cs="Arial" w:eastAsia="Arial" w:hAnsi="Arial"/>
          <w:sz w:val="22"/>
          <w:szCs w:val="22"/>
        </w:rPr>
        <w:t xml:space="preserve">This engagement is designed as a three-year partnership, ensuring long-term platform evolution and continuous improvement. The Phase II implementation will deliver a production-ready system targeting the 2026 NFL Preseason, with core deliverables including certified Stadium and GDA processes, validated playbooks, and a centralized Game Day Dashboard.</w:t>
      </w:r>
    </w:p>
    <w:p>
      <w:pPr>
        <w:pStyle w:val="Heading2"/>
      </w:pPr>
      <w:r>
        <w:t xml:space="preserve">1.2 Problem Statement</w:t>
      </w:r>
    </w:p>
    <w:p>
      <w:pPr>
        <w:spacing w:after="200"/>
      </w:pPr>
      <w:r>
        <w:rPr>
          <w:rFonts w:ascii="Arial" w:cs="Arial" w:eastAsia="Arial" w:hAnsi="Arial"/>
          <w:sz w:val="22"/>
          <w:szCs w:val="22"/>
        </w:rPr>
        <w:t xml:space="preserve">The NFL currently faces significant operational challenges in managing IT readiness across venues, cities, and league operations:</w:t>
      </w:r>
    </w:p>
    <w:p>
      <w:pPr>
        <w:pStyle w:val="ListParagraph"/>
        <w:numPr>
          <w:ilvl w:val="0"/>
          <w:numId w:val="2"/>
        </w:numPr>
      </w:pPr>
      <w:r>
        <w:rPr>
          <w:rFonts w:ascii="Arial" w:cs="Arial" w:eastAsia="Arial" w:hAnsi="Arial"/>
          <w:sz w:val="22"/>
          <w:szCs w:val="22"/>
        </w:rPr>
        <w:t xml:space="preserve">Lack of visibility into operational preparedness for critical events</w:t>
      </w:r>
    </w:p>
    <w:p>
      <w:pPr>
        <w:pStyle w:val="ListParagraph"/>
        <w:numPr>
          <w:ilvl w:val="0"/>
          <w:numId w:val="2"/>
        </w:numPr>
      </w:pPr>
      <w:r>
        <w:rPr>
          <w:rFonts w:ascii="Arial" w:cs="Arial" w:eastAsia="Arial" w:hAnsi="Arial"/>
          <w:sz w:val="22"/>
          <w:szCs w:val="22"/>
        </w:rPr>
        <w:t xml:space="preserve">Reliance on unsecured tools (Google Sheets, WhatsApp) creating security and compliance risks</w:t>
      </w:r>
    </w:p>
    <w:p>
      <w:pPr>
        <w:pStyle w:val="ListParagraph"/>
        <w:numPr>
          <w:ilvl w:val="0"/>
          <w:numId w:val="2"/>
        </w:numPr>
      </w:pPr>
      <w:r>
        <w:rPr>
          <w:rFonts w:ascii="Arial" w:cs="Arial" w:eastAsia="Arial" w:hAnsi="Arial"/>
          <w:sz w:val="22"/>
          <w:szCs w:val="22"/>
        </w:rPr>
        <w:t xml:space="preserve">Inconsistent reporting leading to delayed issue resolution</w:t>
      </w:r>
    </w:p>
    <w:p>
      <w:pPr>
        <w:pStyle w:val="ListParagraph"/>
        <w:numPr>
          <w:ilvl w:val="0"/>
          <w:numId w:val="2"/>
        </w:numPr>
      </w:pPr>
      <w:r>
        <w:rPr>
          <w:rFonts w:ascii="Arial" w:cs="Arial" w:eastAsia="Arial" w:hAnsi="Arial"/>
          <w:sz w:val="22"/>
          <w:szCs w:val="22"/>
        </w:rPr>
        <w:t xml:space="preserve">No standardized processes for Stadium Certification or GDA workflows</w:t>
      </w:r>
    </w:p>
    <w:p>
      <w:pPr>
        <w:pStyle w:val="ListParagraph"/>
        <w:numPr>
          <w:ilvl w:val="0"/>
          <w:numId w:val="2"/>
        </w:numPr>
        <w:spacing w:after="200"/>
      </w:pPr>
      <w:r>
        <w:rPr>
          <w:rFonts w:ascii="Arial" w:cs="Arial" w:eastAsia="Arial" w:hAnsi="Arial"/>
          <w:sz w:val="22"/>
          <w:szCs w:val="22"/>
        </w:rPr>
        <w:t xml:space="preserve">Manual coordination bottlenecks preventing continuous optimization</w:t>
      </w:r>
    </w:p>
    <w:p>
      <w:pPr>
        <w:pStyle w:val="Heading2"/>
      </w:pPr>
      <w:r>
        <w:t xml:space="preserve">1.3 Solution Strategy</w:t>
      </w:r>
    </w:p>
    <w:p>
      <w:pPr>
        <w:spacing w:after="200"/>
      </w:pPr>
      <w:r>
        <w:rPr>
          <w:rFonts w:ascii="Arial" w:cs="Arial" w:eastAsia="Arial" w:hAnsi="Arial"/>
          <w:sz w:val="22"/>
          <w:szCs w:val="22"/>
        </w:rPr>
        <w:t xml:space="preserve">NOVATE will implement the EVERGAME platform through the proven NIN (N-Ovate Innovation Nexus) 5D methodology, unifying, standardizing, and analyzing operational data to create a comprehensive readiness ecosystem. The solution encompasses: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Deliverable</w:t>
            </w:r>
          </w:p>
        </w:tc>
        <w:tc>
          <w:tcPr>
            <w:tcW w:type="dxa" w:w="586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35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Centralized System of Record</w:t>
            </w:r>
          </w:p>
        </w:tc>
        <w:tc>
          <w:tcPr>
            <w:tcW w:type="dxa" w:w="58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Unified tracking, reporting, and operational silo elimination through Sentrais platform</w:t>
            </w:r>
          </w:p>
        </w:tc>
      </w:tr>
      <w:tr>
        <w:tc>
          <w:tcPr>
            <w:tcW w:type="dxa" w:w="3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Game Day Dashboard</w:t>
            </w:r>
          </w:p>
        </w:tc>
        <w:tc>
          <w:tcPr>
            <w:tcW w:type="dxa" w:w="58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Real-time status tracking, prioritization, alerts, and escalation management</w:t>
            </w:r>
          </w:p>
        </w:tc>
      </w:tr>
      <w:tr>
        <w:tc>
          <w:tcPr>
            <w:tcW w:type="dxa" w:w="35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Enhanced GDA Tools</w:t>
            </w:r>
          </w:p>
        </w:tc>
        <w:tc>
          <w:tcPr>
            <w:tcW w:type="dxa" w:w="58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Streamlined checklists for improved accountability and task tracking</w:t>
            </w:r>
          </w:p>
        </w:tc>
      </w:tr>
      <w:tr>
        <w:tc>
          <w:tcPr>
            <w:tcW w:type="dxa" w:w="3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Vendor-Supported Framework</w:t>
            </w:r>
          </w:p>
        </w:tc>
        <w:tc>
          <w:tcPr>
            <w:tcW w:type="dxa" w:w="58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Defined structure for vendor collaboration and technology standards</w:t>
            </w:r>
          </w:p>
        </w:tc>
      </w:tr>
      <w:tr>
        <w:tc>
          <w:tcPr>
            <w:tcW w:type="dxa" w:w="35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Evidence Capture System</w:t>
            </w:r>
          </w:p>
        </w:tc>
        <w:tc>
          <w:tcPr>
            <w:tcW w:type="dxa" w:w="58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Comprehensive audit trail and compliance documentation</w:t>
            </w:r>
          </w:p>
        </w:tc>
      </w:tr>
      <w:tr>
        <w:tc>
          <w:tcPr>
            <w:tcW w:type="dxa" w:w="3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IT Master Calendar</w:t>
            </w:r>
          </w:p>
        </w:tc>
        <w:tc>
          <w:tcPr>
            <w:tcW w:type="dxa" w:w="58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Integrated scheduling for all IT-related game day activities</w:t>
            </w:r>
          </w:p>
        </w:tc>
      </w:tr>
      <w:tr>
        <w:tc>
          <w:tcPr>
            <w:tcW w:type="dxa" w:w="35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Stadium Certification</w:t>
            </w:r>
          </w:p>
        </w:tc>
        <w:tc>
          <w:tcPr>
            <w:tcW w:type="dxa" w:w="58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Standardized certification process for all NFL venues</w:t>
            </w:r>
          </w:p>
        </w:tc>
      </w:tr>
    </w:tbl>
    <w:p>
      <w:r>
        <w:br w:type="page"/>
      </w:r>
    </w:p>
    <w:p>
      <w:pPr>
        <w:pStyle w:val="Heading1"/>
      </w:pPr>
      <w:r>
        <w:t xml:space="preserve">2. Implementation Methodology: The 5D Framework</w:t>
      </w:r>
    </w:p>
    <w:p>
      <w:pPr>
        <w:spacing w:after="200"/>
      </w:pPr>
      <w:r>
        <w:rPr>
          <w:rFonts w:ascii="Arial" w:cs="Arial" w:eastAsia="Arial" w:hAnsi="Arial"/>
          <w:sz w:val="22"/>
          <w:szCs w:val="22"/>
        </w:rPr>
        <w:t xml:space="preserve">The NFL EVERGAME Phase II implementation follows the NIN 5D methodology, a proven framework for delivering complex transformation engagements with forensic rigor and measurable outcomes.</w:t>
      </w:r>
    </w:p>
    <w:p>
      <w:pPr>
        <w:pStyle w:val="Heading2"/>
      </w:pPr>
      <w:r>
        <w:t xml:space="preserve">2.1 Phase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Phase</w:t>
            </w:r>
          </w:p>
        </w:tc>
        <w:tc>
          <w:tcPr>
            <w:tcW w:type="dxa" w:w="25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Duration</w:t>
            </w:r>
          </w:p>
        </w:tc>
        <w:tc>
          <w:tcPr>
            <w:tcW w:type="dxa" w:w="25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Focus</w:t>
            </w:r>
          </w:p>
        </w:tc>
        <w:tc>
          <w:tcPr>
            <w:tcW w:type="dxa" w:w="256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Key Milestone</w:t>
            </w:r>
          </w:p>
        </w:tc>
      </w:tr>
      <w:tr>
        <w:tc>
          <w:tcPr>
            <w:tcW w:type="dxa" w:w="18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D1: Discover</w:t>
            </w:r>
          </w:p>
        </w:tc>
        <w:tc>
          <w:tcPr>
            <w:tcW w:type="dxa" w:w="25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3 Weeks</w:t>
            </w:r>
          </w:p>
        </w:tc>
        <w:tc>
          <w:tcPr>
            <w:tcW w:type="dxa" w:w="25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360 Modeling &amp; Stakeholder Mapping</w:t>
            </w:r>
          </w:p>
        </w:tc>
        <w:tc>
          <w:tcPr>
            <w:tcW w:type="dxa" w:w="25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Problem Validation</w:t>
            </w:r>
          </w:p>
        </w:tc>
      </w:tr>
      <w:tr>
        <w:tc>
          <w:tcPr>
            <w:tcW w:type="dxa" w:w="18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D2: Diagnose</w:t>
            </w:r>
          </w:p>
        </w:tc>
        <w:tc>
          <w:tcPr>
            <w:tcW w:type="dxa" w:w="2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4 Weeks</w:t>
            </w:r>
          </w:p>
        </w:tc>
        <w:tc>
          <w:tcPr>
            <w:tcW w:type="dxa" w:w="2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Current State Forensics &amp; Blueprinting</w:t>
            </w:r>
          </w:p>
        </w:tc>
        <w:tc>
          <w:tcPr>
            <w:tcW w:type="dxa" w:w="25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Gap Analysis Complete</w:t>
            </w:r>
          </w:p>
        </w:tc>
      </w:tr>
      <w:tr>
        <w:tc>
          <w:tcPr>
            <w:tcW w:type="dxa" w:w="18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D3: Design</w:t>
            </w:r>
          </w:p>
        </w:tc>
        <w:tc>
          <w:tcPr>
            <w:tcW w:type="dxa" w:w="25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5 Weeks</w:t>
            </w:r>
          </w:p>
        </w:tc>
        <w:tc>
          <w:tcPr>
            <w:tcW w:type="dxa" w:w="25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To-Be Process Design &amp; Certification</w:t>
            </w:r>
          </w:p>
        </w:tc>
        <w:tc>
          <w:tcPr>
            <w:tcW w:type="dxa" w:w="25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Process Certification</w:t>
            </w:r>
          </w:p>
        </w:tc>
      </w:tr>
      <w:tr>
        <w:tc>
          <w:tcPr>
            <w:tcW w:type="dxa" w:w="18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D4: Develop</w:t>
            </w:r>
          </w:p>
        </w:tc>
        <w:tc>
          <w:tcPr>
            <w:tcW w:type="dxa" w:w="2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8 Weeks</w:t>
            </w:r>
          </w:p>
        </w:tc>
        <w:tc>
          <w:tcPr>
            <w:tcW w:type="dxa" w:w="2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Platform Build &amp; Integration</w:t>
            </w:r>
          </w:p>
        </w:tc>
        <w:tc>
          <w:tcPr>
            <w:tcW w:type="dxa" w:w="25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System Ready</w:t>
            </w:r>
          </w:p>
        </w:tc>
      </w:tr>
      <w:tr>
        <w:tc>
          <w:tcPr>
            <w:tcW w:type="dxa" w:w="18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D5: Deploy</w:t>
            </w:r>
          </w:p>
        </w:tc>
        <w:tc>
          <w:tcPr>
            <w:tcW w:type="dxa" w:w="25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4 Weeks</w:t>
            </w:r>
          </w:p>
        </w:tc>
        <w:tc>
          <w:tcPr>
            <w:tcW w:type="dxa" w:w="25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Operationalization &amp; Measurement</w:t>
            </w:r>
          </w:p>
        </w:tc>
        <w:tc>
          <w:tcPr>
            <w:tcW w:type="dxa" w:w="25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Preseason Ready</w:t>
            </w:r>
          </w:p>
        </w:tc>
      </w:tr>
    </w:tbl>
    <w:p>
      <w:pPr>
        <w:spacing w:after="400"/>
      </w:pPr>
    </w:p>
    <w:p>
      <w:pPr>
        <w:pStyle w:val="Heading2"/>
      </w:pPr>
      <w:r>
        <w:t xml:space="preserve">2.2 Phase 1: DISCOVER (Weeks 1-3)</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Establish forensic foundation through comprehensive 360 Modeling and stakeholder alignment.</w:t>
      </w:r>
    </w:p>
    <w:p>
      <w:pPr>
        <w:pStyle w:val="Heading3"/>
      </w:pPr>
      <w:r>
        <w:t xml:space="preserve">360 Modeling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Dimension</w:t>
            </w:r>
          </w:p>
        </w:tc>
        <w:tc>
          <w:tcPr>
            <w:tcW w:type="dxa" w:w="716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Data Collection Focus</w:t>
            </w:r>
          </w:p>
        </w:tc>
      </w:tr>
      <w:tr>
        <w:tc>
          <w:tcPr>
            <w:tcW w:type="dxa" w:w="2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Strategic</w:t>
            </w:r>
          </w:p>
        </w:tc>
        <w:tc>
          <w:tcPr>
            <w:tcW w:type="dxa" w:w="7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NFL IT strategic priorities, league-wide objectives, 3-year roadmap alignment</w:t>
            </w:r>
          </w:p>
        </w:tc>
      </w:tr>
      <w:tr>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Operational</w:t>
            </w:r>
          </w:p>
        </w:tc>
        <w:tc>
          <w:tcPr>
            <w:tcW w:type="dxa" w:w="7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Current GDA workflows, stadium certification processes, task tracking methods</w:t>
            </w:r>
          </w:p>
        </w:tc>
      </w:tr>
      <w:tr>
        <w:tc>
          <w:tcPr>
            <w:tcW w:type="dxa" w:w="2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Technical</w:t>
            </w:r>
          </w:p>
        </w:tc>
        <w:tc>
          <w:tcPr>
            <w:tcW w:type="dxa" w:w="7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Existing systems architecture, data flows, integration requirements, security posture</w:t>
            </w:r>
          </w:p>
        </w:tc>
      </w:tr>
      <w:tr>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Cultural</w:t>
            </w:r>
          </w:p>
        </w:tc>
        <w:tc>
          <w:tcPr>
            <w:tcW w:type="dxa" w:w="7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Change readiness, stakeholder adoption history, training requirements</w:t>
            </w:r>
          </w:p>
        </w:tc>
      </w:tr>
      <w:tr>
        <w:tc>
          <w:tcPr>
            <w:tcW w:type="dxa" w:w="2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Financial</w:t>
            </w:r>
          </w:p>
        </w:tc>
        <w:tc>
          <w:tcPr>
            <w:tcW w:type="dxa" w:w="7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Budget allocation, ROI expectations, cost optimization opportunities</w:t>
            </w:r>
          </w:p>
        </w:tc>
      </w:tr>
      <w:tr>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Ecosystem</w:t>
            </w:r>
          </w:p>
        </w:tc>
        <w:tc>
          <w:tcPr>
            <w:tcW w:type="dxa" w:w="7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Vendor relationships, stadium partnerships, third-party dependencies</w:t>
            </w:r>
          </w:p>
        </w:tc>
      </w:tr>
    </w:tbl>
    <w:p>
      <w:pPr>
        <w:spacing w:after="200"/>
      </w:pPr>
    </w:p>
    <w:p>
      <w:pPr>
        <w:pStyle w:val="Heading3"/>
      </w:pPr>
      <w:r>
        <w:t xml:space="preserve">Key Activities</w:t>
      </w:r>
    </w:p>
    <w:p>
      <w:pPr>
        <w:pStyle w:val="ListParagraph"/>
        <w:numPr>
          <w:ilvl w:val="0"/>
          <w:numId w:val="2"/>
        </w:numPr>
      </w:pPr>
      <w:r>
        <w:rPr>
          <w:rFonts w:ascii="Arial" w:cs="Arial" w:eastAsia="Arial" w:hAnsi="Arial"/>
          <w:sz w:val="22"/>
          <w:szCs w:val="22"/>
        </w:rPr>
        <w:t xml:space="preserve">Executive sponsor interviews and strategic alignment</w:t>
      </w:r>
    </w:p>
    <w:p>
      <w:pPr>
        <w:pStyle w:val="ListParagraph"/>
        <w:numPr>
          <w:ilvl w:val="0"/>
          <w:numId w:val="2"/>
        </w:numPr>
      </w:pPr>
      <w:r>
        <w:rPr>
          <w:rFonts w:ascii="Arial" w:cs="Arial" w:eastAsia="Arial" w:hAnsi="Arial"/>
          <w:sz w:val="22"/>
          <w:szCs w:val="22"/>
        </w:rPr>
        <w:t xml:space="preserve">Document collection across all 360 dimensions</w:t>
      </w:r>
    </w:p>
    <w:p>
      <w:pPr>
        <w:pStyle w:val="ListParagraph"/>
        <w:numPr>
          <w:ilvl w:val="0"/>
          <w:numId w:val="2"/>
        </w:numPr>
      </w:pPr>
      <w:r>
        <w:rPr>
          <w:rFonts w:ascii="Arial" w:cs="Arial" w:eastAsia="Arial" w:hAnsi="Arial"/>
          <w:sz w:val="22"/>
          <w:szCs w:val="22"/>
        </w:rPr>
        <w:t xml:space="preserve">Stakeholder mapping with influence/interest matrix</w:t>
      </w:r>
    </w:p>
    <w:p>
      <w:pPr>
        <w:pStyle w:val="ListParagraph"/>
        <w:numPr>
          <w:ilvl w:val="0"/>
          <w:numId w:val="2"/>
        </w:numPr>
      </w:pPr>
      <w:r>
        <w:rPr>
          <w:rFonts w:ascii="Arial" w:cs="Arial" w:eastAsia="Arial" w:hAnsi="Arial"/>
          <w:sz w:val="22"/>
          <w:szCs w:val="22"/>
        </w:rPr>
        <w:t xml:space="preserve">Problem statement validation with 3+ stakeholder sign-offs</w:t>
      </w:r>
    </w:p>
    <w:p>
      <w:pPr>
        <w:pStyle w:val="ListParagraph"/>
        <w:numPr>
          <w:ilvl w:val="0"/>
          <w:numId w:val="2"/>
        </w:numPr>
      </w:pPr>
      <w:r>
        <w:rPr>
          <w:rFonts w:ascii="Arial" w:cs="Arial" w:eastAsia="Arial" w:hAnsi="Arial"/>
          <w:sz w:val="22"/>
          <w:szCs w:val="22"/>
        </w:rPr>
        <w:t xml:space="preserve">KPI baseline establishment for success measurement</w:t>
      </w:r>
    </w:p>
    <w:p>
      <w:pPr>
        <w:pStyle w:val="ListParagraph"/>
        <w:numPr>
          <w:ilvl w:val="0"/>
          <w:numId w:val="2"/>
        </w:numPr>
        <w:spacing w:after="200"/>
      </w:pPr>
      <w:r>
        <w:rPr>
          <w:rFonts w:ascii="Arial" w:cs="Arial" w:eastAsia="Arial" w:hAnsi="Arial"/>
          <w:sz w:val="22"/>
          <w:szCs w:val="22"/>
        </w:rPr>
        <w:t xml:space="preserve">Sentrais project initialization and Evidence Ledger activation</w:t>
      </w:r>
    </w:p>
    <w:p>
      <w:pPr>
        <w:pStyle w:val="Heading3"/>
      </w:pPr>
      <w:r>
        <w:t xml:space="preserve">Stage Gate 1 Exit Criteria</w:t>
      </w:r>
    </w:p>
    <w:p>
      <w:pPr>
        <w:pStyle w:val="ListParagraph"/>
        <w:numPr>
          <w:ilvl w:val="0"/>
          <w:numId w:val="2"/>
        </w:numPr>
      </w:pPr>
      <w:r>
        <w:rPr>
          <w:rFonts w:ascii="Arial" w:cs="Arial" w:eastAsia="Arial" w:hAnsi="Arial"/>
          <w:sz w:val="22"/>
          <w:szCs w:val="22"/>
        </w:rPr>
        <w:t xml:space="preserve">360 Model Report complete (all 6 dimensions documented)</w:t>
      </w:r>
    </w:p>
    <w:p>
      <w:pPr>
        <w:pStyle w:val="ListParagraph"/>
        <w:numPr>
          <w:ilvl w:val="0"/>
          <w:numId w:val="2"/>
        </w:numPr>
      </w:pPr>
      <w:r>
        <w:rPr>
          <w:rFonts w:ascii="Arial" w:cs="Arial" w:eastAsia="Arial" w:hAnsi="Arial"/>
          <w:sz w:val="22"/>
          <w:szCs w:val="22"/>
        </w:rPr>
        <w:t xml:space="preserve">Stakeholder Engagement Index (SEI) ≥ 75</w:t>
      </w:r>
    </w:p>
    <w:p>
      <w:pPr>
        <w:pStyle w:val="ListParagraph"/>
        <w:numPr>
          <w:ilvl w:val="0"/>
          <w:numId w:val="2"/>
        </w:numPr>
      </w:pPr>
      <w:r>
        <w:rPr>
          <w:rFonts w:ascii="Arial" w:cs="Arial" w:eastAsia="Arial" w:hAnsi="Arial"/>
          <w:sz w:val="22"/>
          <w:szCs w:val="22"/>
        </w:rPr>
        <w:t xml:space="preserve">Evidence Quality Rating ≥ 80</w:t>
      </w:r>
    </w:p>
    <w:p>
      <w:pPr>
        <w:pStyle w:val="ListParagraph"/>
        <w:numPr>
          <w:ilvl w:val="0"/>
          <w:numId w:val="2"/>
        </w:numPr>
        <w:spacing w:after="200"/>
      </w:pPr>
      <w:r>
        <w:rPr>
          <w:rFonts w:ascii="Arial" w:cs="Arial" w:eastAsia="Arial" w:hAnsi="Arial"/>
          <w:sz w:val="22"/>
          <w:szCs w:val="22"/>
        </w:rPr>
        <w:t xml:space="preserve">Market research minimum 5 data sources validated</w:t>
      </w:r>
    </w:p>
    <w:p>
      <w:r>
        <w:br w:type="page"/>
      </w:r>
    </w:p>
    <w:p>
      <w:pPr>
        <w:pStyle w:val="Heading2"/>
      </w:pPr>
      <w:r>
        <w:t xml:space="preserve">2.3 Phase 2: DIAGNOSE (Weeks 4-7)</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Deep-dive forensics on current state processes, systems, and workflows to establish comprehensive gap analysis.</w:t>
      </w:r>
    </w:p>
    <w:p>
      <w:pPr>
        <w:spacing w:after="100"/>
      </w:pPr>
      <w:r>
        <w:rPr>
          <w:rFonts w:ascii="Arial" w:cs="Arial" w:eastAsia="Arial" w:hAnsi="Arial"/>
          <w:b/>
          <w:bCs/>
          <w:color w:val="00A5B5"/>
          <w:sz w:val="22"/>
          <w:szCs w:val="22"/>
        </w:rPr>
        <w:t xml:space="preserve">CRITICAL CHURN ZONE: </w:t>
      </w:r>
      <w:r>
        <w:rPr>
          <w:rFonts w:ascii="Arial" w:cs="Arial" w:eastAsia="Arial" w:hAnsi="Arial"/>
          <w:sz w:val="22"/>
          <w:szCs w:val="22"/>
        </w:rPr>
        <w:t xml:space="preserve">This phase represents the highest risk period for engagement delays. SIPE churn prevention protocols will be active with enhanced monitoring.</w:t>
      </w:r>
    </w:p>
    <w:p>
      <w:pPr>
        <w:pStyle w:val="Heading3"/>
      </w:pPr>
      <w:r>
        <w:t xml:space="preserve">Current State Analysis</w:t>
      </w:r>
    </w:p>
    <w:p>
      <w:pPr>
        <w:pStyle w:val="ListParagraph"/>
        <w:numPr>
          <w:ilvl w:val="0"/>
          <w:numId w:val="2"/>
        </w:numPr>
      </w:pPr>
      <w:r>
        <w:rPr>
          <w:rFonts w:ascii="Arial" w:cs="Arial" w:eastAsia="Arial" w:hAnsi="Arial"/>
          <w:sz w:val="22"/>
          <w:szCs w:val="22"/>
        </w:rPr>
        <w:t xml:space="preserve">Stadium Certification Process: Complete audit of existing certification workflows, documentation, and approval chains</w:t>
      </w:r>
    </w:p>
    <w:p>
      <w:pPr>
        <w:pStyle w:val="ListParagraph"/>
        <w:numPr>
          <w:ilvl w:val="0"/>
          <w:numId w:val="2"/>
        </w:numPr>
      </w:pPr>
      <w:r>
        <w:rPr>
          <w:rFonts w:ascii="Arial" w:cs="Arial" w:eastAsia="Arial" w:hAnsi="Arial"/>
          <w:sz w:val="22"/>
          <w:szCs w:val="22"/>
        </w:rPr>
        <w:t xml:space="preserve">GDA Workflows: Detailed mapping of Game Day Ambassador tasks, checklists, and accountability structures</w:t>
      </w:r>
    </w:p>
    <w:p>
      <w:pPr>
        <w:pStyle w:val="ListParagraph"/>
        <w:numPr>
          <w:ilvl w:val="0"/>
          <w:numId w:val="2"/>
        </w:numPr>
      </w:pPr>
      <w:r>
        <w:rPr>
          <w:rFonts w:ascii="Arial" w:cs="Arial" w:eastAsia="Arial" w:hAnsi="Arial"/>
          <w:sz w:val="22"/>
          <w:szCs w:val="22"/>
        </w:rPr>
        <w:t xml:space="preserve">Data Architecture: Assessment of current data flows, integration points, and system dependencies</w:t>
      </w:r>
    </w:p>
    <w:p>
      <w:pPr>
        <w:pStyle w:val="ListParagraph"/>
        <w:numPr>
          <w:ilvl w:val="0"/>
          <w:numId w:val="2"/>
        </w:numPr>
        <w:spacing w:after="200"/>
      </w:pPr>
      <w:r>
        <w:rPr>
          <w:rFonts w:ascii="Arial" w:cs="Arial" w:eastAsia="Arial" w:hAnsi="Arial"/>
          <w:sz w:val="22"/>
          <w:szCs w:val="22"/>
        </w:rPr>
        <w:t xml:space="preserve">Evidence Capture Gap: Analysis of current audit trail capabilities vs. requirements</w:t>
      </w:r>
    </w:p>
    <w:p>
      <w:pPr>
        <w:pStyle w:val="Heading3"/>
      </w:pPr>
      <w:r>
        <w:t xml:space="preserve">Key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Deliverable</w:t>
            </w:r>
          </w:p>
        </w:tc>
        <w:tc>
          <w:tcPr>
            <w:tcW w:type="dxa" w:w="536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40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Current State Process Maps</w:t>
            </w:r>
          </w:p>
        </w:tc>
        <w:tc>
          <w:tcPr>
            <w:tcW w:type="dxa" w:w="53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Visual documentation of all existing workflows with pain points identified</w:t>
            </w:r>
          </w:p>
        </w:tc>
      </w:tr>
      <w:tr>
        <w:tc>
          <w:tcPr>
            <w:tcW w:type="dxa" w:w="4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Gap Analysis Report</w:t>
            </w:r>
          </w:p>
        </w:tc>
        <w:tc>
          <w:tcPr>
            <w:tcW w:type="dxa" w:w="53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Comprehensive gap identification between current and required capabilities</w:t>
            </w:r>
          </w:p>
        </w:tc>
      </w:tr>
      <w:tr>
        <w:tc>
          <w:tcPr>
            <w:tcW w:type="dxa" w:w="40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Risk Register</w:t>
            </w:r>
          </w:p>
        </w:tc>
        <w:tc>
          <w:tcPr>
            <w:tcW w:type="dxa" w:w="53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Prioritized risk assessment with mitigation strategies for HIGH/CRITICAL items</w:t>
            </w:r>
          </w:p>
        </w:tc>
      </w:tr>
      <w:tr>
        <w:tc>
          <w:tcPr>
            <w:tcW w:type="dxa" w:w="4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Technology Assessment</w:t>
            </w:r>
          </w:p>
        </w:tc>
        <w:tc>
          <w:tcPr>
            <w:tcW w:type="dxa" w:w="53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Technical feasibility analysis with integration requirements</w:t>
            </w:r>
          </w:p>
        </w:tc>
      </w:tr>
      <w:tr>
        <w:tc>
          <w:tcPr>
            <w:tcW w:type="dxa" w:w="40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Opportunity ROI Matrix</w:t>
            </w:r>
          </w:p>
        </w:tc>
        <w:tc>
          <w:tcPr>
            <w:tcW w:type="dxa" w:w="53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Quantified improvement opportunities with expected ROI</w:t>
            </w:r>
          </w:p>
        </w:tc>
      </w:tr>
    </w:tbl>
    <w:p>
      <w:pPr>
        <w:spacing w:after="200"/>
      </w:pPr>
    </w:p>
    <w:p>
      <w:pPr>
        <w:pStyle w:val="Heading3"/>
      </w:pPr>
      <w:r>
        <w:t xml:space="preserve">Stage Gate 2 Exit Criteria</w:t>
      </w:r>
    </w:p>
    <w:p>
      <w:pPr>
        <w:pStyle w:val="ListParagraph"/>
        <w:numPr>
          <w:ilvl w:val="0"/>
          <w:numId w:val="2"/>
        </w:numPr>
      </w:pPr>
      <w:r>
        <w:rPr>
          <w:rFonts w:ascii="Arial" w:cs="Arial" w:eastAsia="Arial" w:hAnsi="Arial"/>
          <w:sz w:val="22"/>
          <w:szCs w:val="22"/>
        </w:rPr>
        <w:t xml:space="preserve">Workflow forensics completed with 95%+ accuracy</w:t>
      </w:r>
    </w:p>
    <w:p>
      <w:pPr>
        <w:pStyle w:val="ListParagraph"/>
        <w:numPr>
          <w:ilvl w:val="0"/>
          <w:numId w:val="2"/>
        </w:numPr>
      </w:pPr>
      <w:r>
        <w:rPr>
          <w:rFonts w:ascii="Arial" w:cs="Arial" w:eastAsia="Arial" w:hAnsi="Arial"/>
          <w:sz w:val="22"/>
          <w:szCs w:val="22"/>
        </w:rPr>
        <w:t xml:space="preserve">All HIGH risks in register have documented mitigation plans</w:t>
      </w:r>
    </w:p>
    <w:p>
      <w:pPr>
        <w:pStyle w:val="ListParagraph"/>
        <w:numPr>
          <w:ilvl w:val="0"/>
          <w:numId w:val="2"/>
        </w:numPr>
      </w:pPr>
      <w:r>
        <w:rPr>
          <w:rFonts w:ascii="Arial" w:cs="Arial" w:eastAsia="Arial" w:hAnsi="Arial"/>
          <w:sz w:val="22"/>
          <w:szCs w:val="22"/>
        </w:rPr>
        <w:t xml:space="preserve">Scope Stability Score ≥ 85</w:t>
      </w:r>
    </w:p>
    <w:p>
      <w:pPr>
        <w:pStyle w:val="ListParagraph"/>
        <w:numPr>
          <w:ilvl w:val="0"/>
          <w:numId w:val="2"/>
        </w:numPr>
      </w:pPr>
      <w:r>
        <w:rPr>
          <w:rFonts w:ascii="Arial" w:cs="Arial" w:eastAsia="Arial" w:hAnsi="Arial"/>
          <w:sz w:val="22"/>
          <w:szCs w:val="22"/>
        </w:rPr>
        <w:t xml:space="preserve">Requirements Ambiguity Score ≤ 20</w:t>
      </w:r>
    </w:p>
    <w:p>
      <w:pPr>
        <w:pStyle w:val="ListParagraph"/>
        <w:numPr>
          <w:ilvl w:val="0"/>
          <w:numId w:val="2"/>
        </w:numPr>
        <w:spacing w:after="200"/>
      </w:pPr>
      <w:r>
        <w:rPr>
          <w:rFonts w:ascii="Arial" w:cs="Arial" w:eastAsia="Arial" w:hAnsi="Arial"/>
          <w:sz w:val="22"/>
          <w:szCs w:val="22"/>
        </w:rPr>
        <w:t xml:space="preserve">Executive checkpoint completed with approval to proceed</w:t>
      </w:r>
    </w:p>
    <w:p>
      <w:r>
        <w:br w:type="page"/>
      </w:r>
    </w:p>
    <w:p>
      <w:pPr>
        <w:pStyle w:val="Heading2"/>
      </w:pPr>
      <w:r>
        <w:t xml:space="preserve">2.4 Phase 3: DESIGN (Weeks 8-12)</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Create and certify To-Be processes for Stadium Certification, GDA workflows, and 2026 GDA Checklist validation.</w:t>
      </w:r>
    </w:p>
    <w:p>
      <w:pPr>
        <w:pStyle w:val="Heading3"/>
      </w:pPr>
      <w:r>
        <w:t xml:space="preserve">Core Design Workstreams</w:t>
      </w:r>
    </w:p>
    <w:p>
      <w:pPr>
        <w:spacing w:before="100" w:after="100"/>
      </w:pPr>
      <w:r>
        <w:rPr>
          <w:rFonts w:ascii="Arial" w:cs="Arial" w:eastAsia="Arial" w:hAnsi="Arial"/>
          <w:b/>
          <w:bCs/>
          <w:color w:val="2B6B7D"/>
          <w:sz w:val="22"/>
          <w:szCs w:val="22"/>
        </w:rPr>
        <w:t xml:space="preserve">Workstream 1: Stadium Certification Process Design</w:t>
      </w:r>
    </w:p>
    <w:p>
      <w:pPr>
        <w:pStyle w:val="ListParagraph"/>
        <w:numPr>
          <w:ilvl w:val="0"/>
          <w:numId w:val="2"/>
        </w:numPr>
      </w:pPr>
      <w:r>
        <w:rPr>
          <w:rFonts w:ascii="Arial" w:cs="Arial" w:eastAsia="Arial" w:hAnsi="Arial"/>
          <w:sz w:val="22"/>
          <w:szCs w:val="22"/>
        </w:rPr>
        <w:t xml:space="preserve">Define standardized certification criteria across all 30+ NFL venues</w:t>
      </w:r>
    </w:p>
    <w:p>
      <w:pPr>
        <w:pStyle w:val="ListParagraph"/>
        <w:numPr>
          <w:ilvl w:val="0"/>
          <w:numId w:val="2"/>
        </w:numPr>
      </w:pPr>
      <w:r>
        <w:rPr>
          <w:rFonts w:ascii="Arial" w:cs="Arial" w:eastAsia="Arial" w:hAnsi="Arial"/>
          <w:sz w:val="22"/>
          <w:szCs w:val="22"/>
        </w:rPr>
        <w:t xml:space="preserve">Design certification workflow with approval gates and evidence requirements</w:t>
      </w:r>
    </w:p>
    <w:p>
      <w:pPr>
        <w:pStyle w:val="ListParagraph"/>
        <w:numPr>
          <w:ilvl w:val="0"/>
          <w:numId w:val="2"/>
        </w:numPr>
      </w:pPr>
      <w:r>
        <w:rPr>
          <w:rFonts w:ascii="Arial" w:cs="Arial" w:eastAsia="Arial" w:hAnsi="Arial"/>
          <w:sz w:val="22"/>
          <w:szCs w:val="22"/>
        </w:rPr>
        <w:t xml:space="preserve">Create certification dashboard specifications for real-time status tracking</w:t>
      </w:r>
    </w:p>
    <w:p>
      <w:pPr>
        <w:pStyle w:val="ListParagraph"/>
        <w:numPr>
          <w:ilvl w:val="0"/>
          <w:numId w:val="2"/>
        </w:numPr>
        <w:spacing w:after="200"/>
      </w:pPr>
      <w:r>
        <w:rPr>
          <w:rFonts w:ascii="Arial" w:cs="Arial" w:eastAsia="Arial" w:hAnsi="Arial"/>
          <w:sz w:val="22"/>
          <w:szCs w:val="22"/>
        </w:rPr>
        <w:t xml:space="preserve">Establish recertification cadence and compliance monitoring</w:t>
      </w:r>
    </w:p>
    <w:p>
      <w:pPr>
        <w:spacing w:before="100" w:after="100"/>
      </w:pPr>
      <w:r>
        <w:rPr>
          <w:rFonts w:ascii="Arial" w:cs="Arial" w:eastAsia="Arial" w:hAnsi="Arial"/>
          <w:b/>
          <w:bCs/>
          <w:color w:val="2B6B7D"/>
          <w:sz w:val="22"/>
          <w:szCs w:val="22"/>
        </w:rPr>
        <w:t xml:space="preserve">Workstream 2: GDA Certification Process Design</w:t>
      </w:r>
    </w:p>
    <w:p>
      <w:pPr>
        <w:pStyle w:val="ListParagraph"/>
        <w:numPr>
          <w:ilvl w:val="0"/>
          <w:numId w:val="2"/>
        </w:numPr>
      </w:pPr>
      <w:r>
        <w:rPr>
          <w:rFonts w:ascii="Arial" w:cs="Arial" w:eastAsia="Arial" w:hAnsi="Arial"/>
          <w:sz w:val="22"/>
          <w:szCs w:val="22"/>
        </w:rPr>
        <w:t xml:space="preserve">Define GDA competency requirements and certification levels</w:t>
      </w:r>
    </w:p>
    <w:p>
      <w:pPr>
        <w:pStyle w:val="ListParagraph"/>
        <w:numPr>
          <w:ilvl w:val="0"/>
          <w:numId w:val="2"/>
        </w:numPr>
      </w:pPr>
      <w:r>
        <w:rPr>
          <w:rFonts w:ascii="Arial" w:cs="Arial" w:eastAsia="Arial" w:hAnsi="Arial"/>
          <w:sz w:val="22"/>
          <w:szCs w:val="22"/>
        </w:rPr>
        <w:t xml:space="preserve">Design training curriculum with assessment checkpoints</w:t>
      </w:r>
    </w:p>
    <w:p>
      <w:pPr>
        <w:pStyle w:val="ListParagraph"/>
        <w:numPr>
          <w:ilvl w:val="0"/>
          <w:numId w:val="2"/>
        </w:numPr>
      </w:pPr>
      <w:r>
        <w:rPr>
          <w:rFonts w:ascii="Arial" w:cs="Arial" w:eastAsia="Arial" w:hAnsi="Arial"/>
          <w:sz w:val="22"/>
          <w:szCs w:val="22"/>
        </w:rPr>
        <w:t xml:space="preserve">Create GDA assignment workflow based on certification status</w:t>
      </w:r>
    </w:p>
    <w:p>
      <w:pPr>
        <w:pStyle w:val="ListParagraph"/>
        <w:numPr>
          <w:ilvl w:val="0"/>
          <w:numId w:val="2"/>
        </w:numPr>
        <w:spacing w:after="200"/>
      </w:pPr>
      <w:r>
        <w:rPr>
          <w:rFonts w:ascii="Arial" w:cs="Arial" w:eastAsia="Arial" w:hAnsi="Arial"/>
          <w:sz w:val="22"/>
          <w:szCs w:val="22"/>
        </w:rPr>
        <w:t xml:space="preserve">Establish ongoing certification maintenance requirements</w:t>
      </w:r>
    </w:p>
    <w:p>
      <w:pPr>
        <w:spacing w:before="100" w:after="100"/>
      </w:pPr>
      <w:r>
        <w:rPr>
          <w:rFonts w:ascii="Arial" w:cs="Arial" w:eastAsia="Arial" w:hAnsi="Arial"/>
          <w:b/>
          <w:bCs/>
          <w:color w:val="2B6B7D"/>
          <w:sz w:val="22"/>
          <w:szCs w:val="22"/>
        </w:rPr>
        <w:t xml:space="preserve">Workstream 3: 2026 GDA Checklist Playbook</w:t>
      </w:r>
    </w:p>
    <w:p>
      <w:pPr>
        <w:pStyle w:val="ListParagraph"/>
        <w:numPr>
          <w:ilvl w:val="0"/>
          <w:numId w:val="2"/>
        </w:numPr>
      </w:pPr>
      <w:r>
        <w:rPr>
          <w:rFonts w:ascii="Arial" w:cs="Arial" w:eastAsia="Arial" w:hAnsi="Arial"/>
          <w:sz w:val="22"/>
          <w:szCs w:val="22"/>
        </w:rPr>
        <w:t xml:space="preserve">Design comprehensive game day checklist with task sequencing</w:t>
      </w:r>
    </w:p>
    <w:p>
      <w:pPr>
        <w:pStyle w:val="ListParagraph"/>
        <w:numPr>
          <w:ilvl w:val="0"/>
          <w:numId w:val="2"/>
        </w:numPr>
      </w:pPr>
      <w:r>
        <w:rPr>
          <w:rFonts w:ascii="Arial" w:cs="Arial" w:eastAsia="Arial" w:hAnsi="Arial"/>
          <w:sz w:val="22"/>
          <w:szCs w:val="22"/>
        </w:rPr>
        <w:t xml:space="preserve">Create escalation protocols with trigger conditions and response SLAs</w:t>
      </w:r>
    </w:p>
    <w:p>
      <w:pPr>
        <w:pStyle w:val="ListParagraph"/>
        <w:numPr>
          <w:ilvl w:val="0"/>
          <w:numId w:val="2"/>
        </w:numPr>
      </w:pPr>
      <w:r>
        <w:rPr>
          <w:rFonts w:ascii="Arial" w:cs="Arial" w:eastAsia="Arial" w:hAnsi="Arial"/>
          <w:sz w:val="22"/>
          <w:szCs w:val="22"/>
        </w:rPr>
        <w:t xml:space="preserve">Design evidence capture requirements for each checklist item</w:t>
      </w:r>
    </w:p>
    <w:p>
      <w:pPr>
        <w:pStyle w:val="ListParagraph"/>
        <w:numPr>
          <w:ilvl w:val="0"/>
          <w:numId w:val="2"/>
        </w:numPr>
        <w:spacing w:after="200"/>
      </w:pPr>
      <w:r>
        <w:rPr>
          <w:rFonts w:ascii="Arial" w:cs="Arial" w:eastAsia="Arial" w:hAnsi="Arial"/>
          <w:sz w:val="22"/>
          <w:szCs w:val="22"/>
        </w:rPr>
        <w:t xml:space="preserve">Validate playbook with pilot GDA team for usability</w:t>
      </w:r>
    </w:p>
    <w:p>
      <w:pPr>
        <w:pStyle w:val="Heading3"/>
      </w:pPr>
      <w:r>
        <w:t xml:space="preserve">Stage Gate 3 Exit Criteria</w:t>
      </w:r>
    </w:p>
    <w:p>
      <w:pPr>
        <w:pStyle w:val="ListParagraph"/>
        <w:numPr>
          <w:ilvl w:val="0"/>
          <w:numId w:val="2"/>
        </w:numPr>
      </w:pPr>
      <w:r>
        <w:rPr>
          <w:rFonts w:ascii="Arial" w:cs="Arial" w:eastAsia="Arial" w:hAnsi="Arial"/>
          <w:sz w:val="22"/>
          <w:szCs w:val="22"/>
        </w:rPr>
        <w:t xml:space="preserve">All 3 To-Be processes documented and client-approved</w:t>
      </w:r>
    </w:p>
    <w:p>
      <w:pPr>
        <w:pStyle w:val="ListParagraph"/>
        <w:numPr>
          <w:ilvl w:val="0"/>
          <w:numId w:val="2"/>
        </w:numPr>
      </w:pPr>
      <w:r>
        <w:rPr>
          <w:rFonts w:ascii="Arial" w:cs="Arial" w:eastAsia="Arial" w:hAnsi="Arial"/>
          <w:sz w:val="22"/>
          <w:szCs w:val="22"/>
        </w:rPr>
        <w:t xml:space="preserve">Technical Feasibility Confidence ≥ 80%</w:t>
      </w:r>
    </w:p>
    <w:p>
      <w:pPr>
        <w:pStyle w:val="ListParagraph"/>
        <w:numPr>
          <w:ilvl w:val="0"/>
          <w:numId w:val="2"/>
        </w:numPr>
      </w:pPr>
      <w:r>
        <w:rPr>
          <w:rFonts w:ascii="Arial" w:cs="Arial" w:eastAsia="Arial" w:hAnsi="Arial"/>
          <w:sz w:val="22"/>
          <w:szCs w:val="22"/>
        </w:rPr>
        <w:t xml:space="preserve">Stakeholder Alignment Index ≥ 85</w:t>
      </w:r>
    </w:p>
    <w:p>
      <w:pPr>
        <w:pStyle w:val="ListParagraph"/>
        <w:numPr>
          <w:ilvl w:val="0"/>
          <w:numId w:val="2"/>
        </w:numPr>
      </w:pPr>
      <w:r>
        <w:rPr>
          <w:rFonts w:ascii="Arial" w:cs="Arial" w:eastAsia="Arial" w:hAnsi="Arial"/>
          <w:sz w:val="22"/>
          <w:szCs w:val="22"/>
        </w:rPr>
        <w:t xml:space="preserve">Resource plan validated and committed for Development phase</w:t>
      </w:r>
    </w:p>
    <w:p>
      <w:pPr>
        <w:pStyle w:val="ListParagraph"/>
        <w:numPr>
          <w:ilvl w:val="0"/>
          <w:numId w:val="2"/>
        </w:numPr>
        <w:spacing w:after="200"/>
      </w:pPr>
      <w:r>
        <w:rPr>
          <w:rFonts w:ascii="Arial" w:cs="Arial" w:eastAsia="Arial" w:hAnsi="Arial"/>
          <w:sz w:val="22"/>
          <w:szCs w:val="22"/>
        </w:rPr>
        <w:t xml:space="preserve">Innovation Coefficient ≥ 60 (novel solutions documented)</w:t>
      </w:r>
    </w:p>
    <w:p>
      <w:r>
        <w:br w:type="page"/>
      </w:r>
    </w:p>
    <w:p>
      <w:pPr>
        <w:pStyle w:val="Heading2"/>
      </w:pPr>
      <w:r>
        <w:t xml:space="preserve">2.5 Phase 4: DEVELOP (Weeks 13-20)</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Build and integrate the EVERGAME platform components based on certified designs.</w:t>
      </w:r>
    </w:p>
    <w:p>
      <w:pPr>
        <w:pStyle w:val="Heading3"/>
      </w:pPr>
      <w:r>
        <w:t xml:space="preserve">Development Sprints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Sprint</w:t>
            </w:r>
          </w:p>
        </w:tc>
        <w:tc>
          <w:tcPr>
            <w:tcW w:type="dxa" w:w="30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Duration</w:t>
            </w:r>
          </w:p>
        </w:tc>
        <w:tc>
          <w:tcPr>
            <w:tcW w:type="dxa" w:w="486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Deliverables</w:t>
            </w:r>
          </w:p>
        </w:tc>
      </w:tr>
      <w:tr>
        <w:tc>
          <w:tcPr>
            <w:tcW w:type="dxa" w:w="15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Sprint 1</w:t>
            </w:r>
          </w:p>
        </w:tc>
        <w:tc>
          <w:tcPr>
            <w:tcW w:type="dxa" w:w="3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Weeks 13-14</w:t>
            </w:r>
          </w:p>
        </w:tc>
        <w:tc>
          <w:tcPr>
            <w:tcW w:type="dxa" w:w="48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Sentrais Core Configuration, User Management, Authentication</w:t>
            </w:r>
          </w:p>
        </w:tc>
      </w:tr>
      <w:tr>
        <w:tc>
          <w:tcPr>
            <w:tcW w:type="dxa" w:w="1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Sprint 2</w:t>
            </w:r>
          </w:p>
        </w:tc>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Weeks 15-16</w:t>
            </w:r>
          </w:p>
        </w:tc>
        <w:tc>
          <w:tcPr>
            <w:tcW w:type="dxa" w:w="48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Stadium Certification Module, Certification Workflow Engine</w:t>
            </w:r>
          </w:p>
        </w:tc>
      </w:tr>
      <w:tr>
        <w:tc>
          <w:tcPr>
            <w:tcW w:type="dxa" w:w="15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Sprint 3</w:t>
            </w:r>
          </w:p>
        </w:tc>
        <w:tc>
          <w:tcPr>
            <w:tcW w:type="dxa" w:w="3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Weeks 17-18</w:t>
            </w:r>
          </w:p>
        </w:tc>
        <w:tc>
          <w:tcPr>
            <w:tcW w:type="dxa" w:w="48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GDA Tools Module, Checklist Engine, Evidence Capture</w:t>
            </w:r>
          </w:p>
        </w:tc>
      </w:tr>
      <w:tr>
        <w:tc>
          <w:tcPr>
            <w:tcW w:type="dxa" w:w="1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Sprint 4</w:t>
            </w:r>
          </w:p>
        </w:tc>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Weeks 19-20</w:t>
            </w:r>
          </w:p>
        </w:tc>
        <w:tc>
          <w:tcPr>
            <w:tcW w:type="dxa" w:w="48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Game Day Dashboard, Real-Time Monitoring, Alerts/Escalation</w:t>
            </w:r>
          </w:p>
        </w:tc>
      </w:tr>
    </w:tbl>
    <w:p>
      <w:pPr>
        <w:spacing w:after="200"/>
      </w:pPr>
    </w:p>
    <w:p>
      <w:pPr>
        <w:pStyle w:val="Heading3"/>
      </w:pPr>
      <w:r>
        <w:t xml:space="preserve">Platform Components</w:t>
      </w:r>
    </w:p>
    <w:p>
      <w:pPr>
        <w:pStyle w:val="ListParagraph"/>
        <w:numPr>
          <w:ilvl w:val="0"/>
          <w:numId w:val="2"/>
        </w:numPr>
      </w:pPr>
      <w:r>
        <w:rPr>
          <w:rFonts w:ascii="Arial" w:cs="Arial" w:eastAsia="Arial" w:hAnsi="Arial"/>
          <w:sz w:val="22"/>
          <w:szCs w:val="22"/>
        </w:rPr>
        <w:t xml:space="preserve">Centralized System of Record: Unified data model for all IT readiness tracking</w:t>
      </w:r>
    </w:p>
    <w:p>
      <w:pPr>
        <w:pStyle w:val="ListParagraph"/>
        <w:numPr>
          <w:ilvl w:val="0"/>
          <w:numId w:val="2"/>
        </w:numPr>
      </w:pPr>
      <w:r>
        <w:rPr>
          <w:rFonts w:ascii="Arial" w:cs="Arial" w:eastAsia="Arial" w:hAnsi="Arial"/>
          <w:sz w:val="22"/>
          <w:szCs w:val="22"/>
        </w:rPr>
        <w:t xml:space="preserve">Game Day Dashboard: Real-time status, alerts, escalation, and executive visibility</w:t>
      </w:r>
    </w:p>
    <w:p>
      <w:pPr>
        <w:pStyle w:val="ListParagraph"/>
        <w:numPr>
          <w:ilvl w:val="0"/>
          <w:numId w:val="2"/>
        </w:numPr>
      </w:pPr>
      <w:r>
        <w:rPr>
          <w:rFonts w:ascii="Arial" w:cs="Arial" w:eastAsia="Arial" w:hAnsi="Arial"/>
          <w:sz w:val="22"/>
          <w:szCs w:val="22"/>
        </w:rPr>
        <w:t xml:space="preserve">GDA Mobile Tools: Field-ready checklist application with offline capability</w:t>
      </w:r>
    </w:p>
    <w:p>
      <w:pPr>
        <w:pStyle w:val="ListParagraph"/>
        <w:numPr>
          <w:ilvl w:val="0"/>
          <w:numId w:val="2"/>
        </w:numPr>
      </w:pPr>
      <w:r>
        <w:rPr>
          <w:rFonts w:ascii="Arial" w:cs="Arial" w:eastAsia="Arial" w:hAnsi="Arial"/>
          <w:sz w:val="22"/>
          <w:szCs w:val="22"/>
        </w:rPr>
        <w:t xml:space="preserve">Evidence Capture System: Photo, document, and audit trail management</w:t>
      </w:r>
    </w:p>
    <w:p>
      <w:pPr>
        <w:pStyle w:val="ListParagraph"/>
        <w:numPr>
          <w:ilvl w:val="0"/>
          <w:numId w:val="2"/>
        </w:numPr>
      </w:pPr>
      <w:r>
        <w:rPr>
          <w:rFonts w:ascii="Arial" w:cs="Arial" w:eastAsia="Arial" w:hAnsi="Arial"/>
          <w:sz w:val="22"/>
          <w:szCs w:val="22"/>
        </w:rPr>
        <w:t xml:space="preserve">IT Master Calendar: Integrated scheduling with dependency management</w:t>
      </w:r>
    </w:p>
    <w:p>
      <w:pPr>
        <w:pStyle w:val="ListParagraph"/>
        <w:numPr>
          <w:ilvl w:val="0"/>
          <w:numId w:val="2"/>
        </w:numPr>
        <w:spacing w:after="200"/>
      </w:pPr>
      <w:r>
        <w:rPr>
          <w:rFonts w:ascii="Arial" w:cs="Arial" w:eastAsia="Arial" w:hAnsi="Arial"/>
          <w:sz w:val="22"/>
          <w:szCs w:val="22"/>
        </w:rPr>
        <w:t xml:space="preserve">Vendor Portal: Third-party access for collaboration and compliance tracking</w:t>
      </w:r>
    </w:p>
    <w:p>
      <w:pPr>
        <w:pStyle w:val="Heading3"/>
      </w:pPr>
      <w:r>
        <w:t xml:space="preserve">Stage Gate 4 Exit Criteria</w:t>
      </w:r>
    </w:p>
    <w:p>
      <w:pPr>
        <w:pStyle w:val="ListParagraph"/>
        <w:numPr>
          <w:ilvl w:val="0"/>
          <w:numId w:val="2"/>
        </w:numPr>
      </w:pPr>
      <w:r>
        <w:rPr>
          <w:rFonts w:ascii="Arial" w:cs="Arial" w:eastAsia="Arial" w:hAnsi="Arial"/>
          <w:sz w:val="22"/>
          <w:szCs w:val="22"/>
        </w:rPr>
        <w:t xml:space="preserve">All platform components developed and unit tested</w:t>
      </w:r>
    </w:p>
    <w:p>
      <w:pPr>
        <w:pStyle w:val="ListParagraph"/>
        <w:numPr>
          <w:ilvl w:val="0"/>
          <w:numId w:val="2"/>
        </w:numPr>
      </w:pPr>
      <w:r>
        <w:rPr>
          <w:rFonts w:ascii="Arial" w:cs="Arial" w:eastAsia="Arial" w:hAnsi="Arial"/>
          <w:sz w:val="22"/>
          <w:szCs w:val="22"/>
        </w:rPr>
        <w:t xml:space="preserve">Integration testing complete with &lt;5% critical defects</w:t>
      </w:r>
    </w:p>
    <w:p>
      <w:pPr>
        <w:pStyle w:val="ListParagraph"/>
        <w:numPr>
          <w:ilvl w:val="0"/>
          <w:numId w:val="2"/>
        </w:numPr>
      </w:pPr>
      <w:r>
        <w:rPr>
          <w:rFonts w:ascii="Arial" w:cs="Arial" w:eastAsia="Arial" w:hAnsi="Arial"/>
          <w:sz w:val="22"/>
          <w:szCs w:val="22"/>
        </w:rPr>
        <w:t xml:space="preserve">User acceptance testing passed by GDA pilot team</w:t>
      </w:r>
    </w:p>
    <w:p>
      <w:pPr>
        <w:pStyle w:val="ListParagraph"/>
        <w:numPr>
          <w:ilvl w:val="0"/>
          <w:numId w:val="2"/>
        </w:numPr>
      </w:pPr>
      <w:r>
        <w:rPr>
          <w:rFonts w:ascii="Arial" w:cs="Arial" w:eastAsia="Arial" w:hAnsi="Arial"/>
          <w:sz w:val="22"/>
          <w:szCs w:val="22"/>
        </w:rPr>
        <w:t xml:space="preserve">Go/No-Go decision made with evidence-based rationale</w:t>
      </w:r>
    </w:p>
    <w:p>
      <w:pPr>
        <w:pStyle w:val="ListParagraph"/>
        <w:numPr>
          <w:ilvl w:val="0"/>
          <w:numId w:val="2"/>
        </w:numPr>
        <w:spacing w:after="200"/>
      </w:pPr>
      <w:r>
        <w:rPr>
          <w:rFonts w:ascii="Arial" w:cs="Arial" w:eastAsia="Arial" w:hAnsi="Arial"/>
          <w:sz w:val="22"/>
          <w:szCs w:val="22"/>
        </w:rPr>
        <w:t xml:space="preserve">Stage Gate Pass Rate (Development) ≥ 70%</w:t>
      </w:r>
    </w:p>
    <w:p>
      <w:r>
        <w:br w:type="page"/>
      </w:r>
    </w:p>
    <w:p>
      <w:pPr>
        <w:pStyle w:val="Heading2"/>
      </w:pPr>
      <w:r>
        <w:t xml:space="preserve">2.6 Phase 5: DEPLOY (Weeks 21-24)</w:t>
      </w:r>
    </w:p>
    <w:p>
      <w:pPr>
        <w:spacing w:after="200"/>
      </w:pPr>
      <w:r>
        <w:rPr>
          <w:rFonts w:ascii="Arial" w:cs="Arial" w:eastAsia="Arial" w:hAnsi="Arial"/>
          <w:b/>
          <w:bCs/>
          <w:sz w:val="22"/>
          <w:szCs w:val="22"/>
        </w:rPr>
        <w:t xml:space="preserve">Purpose: </w:t>
      </w:r>
      <w:r>
        <w:rPr>
          <w:rFonts w:ascii="Arial" w:cs="Arial" w:eastAsia="Arial" w:hAnsi="Arial"/>
          <w:sz w:val="22"/>
          <w:szCs w:val="22"/>
        </w:rPr>
        <w:t xml:space="preserve">Operationalize the EVERGAME platform and prepare for 2026 Preseason testing.</w:t>
      </w:r>
    </w:p>
    <w:p>
      <w:pPr>
        <w:pStyle w:val="Heading3"/>
      </w:pPr>
      <w:r>
        <w:t xml:space="preserve">Deployment Activities</w:t>
      </w:r>
    </w:p>
    <w:p>
      <w:pPr>
        <w:pStyle w:val="ListParagraph"/>
        <w:numPr>
          <w:ilvl w:val="0"/>
          <w:numId w:val="2"/>
        </w:numPr>
      </w:pPr>
      <w:r>
        <w:rPr>
          <w:rFonts w:ascii="Arial" w:cs="Arial" w:eastAsia="Arial" w:hAnsi="Arial"/>
          <w:sz w:val="22"/>
          <w:szCs w:val="22"/>
        </w:rPr>
        <w:t xml:space="preserve">Production environment deployment and security hardening</w:t>
      </w:r>
    </w:p>
    <w:p>
      <w:pPr>
        <w:pStyle w:val="ListParagraph"/>
        <w:numPr>
          <w:ilvl w:val="0"/>
          <w:numId w:val="2"/>
        </w:numPr>
      </w:pPr>
      <w:r>
        <w:rPr>
          <w:rFonts w:ascii="Arial" w:cs="Arial" w:eastAsia="Arial" w:hAnsi="Arial"/>
          <w:sz w:val="22"/>
          <w:szCs w:val="22"/>
        </w:rPr>
        <w:t xml:space="preserve">GDA team training and certification program execution</w:t>
      </w:r>
    </w:p>
    <w:p>
      <w:pPr>
        <w:pStyle w:val="ListParagraph"/>
        <w:numPr>
          <w:ilvl w:val="0"/>
          <w:numId w:val="2"/>
        </w:numPr>
      </w:pPr>
      <w:r>
        <w:rPr>
          <w:rFonts w:ascii="Arial" w:cs="Arial" w:eastAsia="Arial" w:hAnsi="Arial"/>
          <w:sz w:val="22"/>
          <w:szCs w:val="22"/>
        </w:rPr>
        <w:t xml:space="preserve">Stadium onboarding with initial certification workflows</w:t>
      </w:r>
    </w:p>
    <w:p>
      <w:pPr>
        <w:pStyle w:val="ListParagraph"/>
        <w:numPr>
          <w:ilvl w:val="0"/>
          <w:numId w:val="2"/>
        </w:numPr>
      </w:pPr>
      <w:r>
        <w:rPr>
          <w:rFonts w:ascii="Arial" w:cs="Arial" w:eastAsia="Arial" w:hAnsi="Arial"/>
          <w:sz w:val="22"/>
          <w:szCs w:val="22"/>
        </w:rPr>
        <w:t xml:space="preserve">Operational runbook and support documentation delivery</w:t>
      </w:r>
    </w:p>
    <w:p>
      <w:pPr>
        <w:pStyle w:val="ListParagraph"/>
        <w:numPr>
          <w:ilvl w:val="0"/>
          <w:numId w:val="2"/>
        </w:numPr>
        <w:spacing w:after="200"/>
      </w:pPr>
      <w:r>
        <w:rPr>
          <w:rFonts w:ascii="Arial" w:cs="Arial" w:eastAsia="Arial" w:hAnsi="Arial"/>
          <w:sz w:val="22"/>
          <w:szCs w:val="22"/>
        </w:rPr>
        <w:t xml:space="preserve">Preseason dry-run testing and performance optimization</w:t>
      </w:r>
    </w:p>
    <w:p>
      <w:pPr>
        <w:pStyle w:val="Heading3"/>
      </w:pPr>
      <w:r>
        <w:t xml:space="preserve">Preseason Readiness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200"/>
        <w:gridCol w:w="2160"/>
      </w:tblGrid>
      <w:tr>
        <w:tc>
          <w:tcPr>
            <w:tcW w:type="dxa" w:w="50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Readiness Item</w:t>
            </w:r>
          </w:p>
        </w:tc>
        <w:tc>
          <w:tcPr>
            <w:tcW w:type="dxa" w:w="22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Target</w:t>
            </w:r>
          </w:p>
        </w:tc>
        <w:tc>
          <w:tcPr>
            <w:tcW w:type="dxa" w:w="216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Owner</w:t>
            </w:r>
          </w:p>
        </w:tc>
      </w:tr>
      <w:tr>
        <w:tc>
          <w:tcPr>
            <w:tcW w:type="dxa" w:w="5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Platform stability (99.9% uptime)</w:t>
            </w:r>
          </w:p>
        </w:tc>
        <w:tc>
          <w:tcPr>
            <w:tcW w:type="dxa" w:w="2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Validated</w:t>
            </w:r>
          </w:p>
        </w:tc>
        <w:tc>
          <w:tcPr>
            <w:tcW w:type="dxa" w:w="2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NOVATE</w:t>
            </w:r>
          </w:p>
        </w:tc>
      </w:tr>
      <w:tr>
        <w:tc>
          <w:tcPr>
            <w:tcW w:type="dxa" w:w="5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GDA training completion</w:t>
            </w:r>
          </w:p>
        </w:tc>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100%</w:t>
            </w:r>
          </w:p>
        </w:tc>
        <w:tc>
          <w:tcPr>
            <w:tcW w:type="dxa" w:w="2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NFL IT</w:t>
            </w:r>
          </w:p>
        </w:tc>
      </w:tr>
      <w:tr>
        <w:tc>
          <w:tcPr>
            <w:tcW w:type="dxa" w:w="5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Stadium certification initiated</w:t>
            </w:r>
          </w:p>
        </w:tc>
        <w:tc>
          <w:tcPr>
            <w:tcW w:type="dxa" w:w="2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30+ venues</w:t>
            </w:r>
          </w:p>
        </w:tc>
        <w:tc>
          <w:tcPr>
            <w:tcW w:type="dxa" w:w="2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Joint</w:t>
            </w:r>
          </w:p>
        </w:tc>
      </w:tr>
      <w:tr>
        <w:tc>
          <w:tcPr>
            <w:tcW w:type="dxa" w:w="5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Checklist playbook validated</w:t>
            </w:r>
          </w:p>
        </w:tc>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Complete</w:t>
            </w:r>
          </w:p>
        </w:tc>
        <w:tc>
          <w:tcPr>
            <w:tcW w:type="dxa" w:w="2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NOVATE</w:t>
            </w:r>
          </w:p>
        </w:tc>
      </w:tr>
      <w:tr>
        <w:tc>
          <w:tcPr>
            <w:tcW w:type="dxa" w:w="5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Executive dashboard operational</w:t>
            </w:r>
          </w:p>
        </w:tc>
        <w:tc>
          <w:tcPr>
            <w:tcW w:type="dxa" w:w="2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Live</w:t>
            </w:r>
          </w:p>
        </w:tc>
        <w:tc>
          <w:tcPr>
            <w:tcW w:type="dxa" w:w="2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NOVATE</w:t>
            </w:r>
          </w:p>
        </w:tc>
      </w:tr>
      <w:tr>
        <w:tc>
          <w:tcPr>
            <w:tcW w:type="dxa" w:w="5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Support documentation delivered</w:t>
            </w:r>
          </w:p>
        </w:tc>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100%</w:t>
            </w:r>
          </w:p>
        </w:tc>
        <w:tc>
          <w:tcPr>
            <w:tcW w:type="dxa" w:w="2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NOVATE</w:t>
            </w:r>
          </w:p>
        </w:tc>
      </w:tr>
      <w:tr>
        <w:tc>
          <w:tcPr>
            <w:tcW w:type="dxa" w:w="5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Dry-run testing complete</w:t>
            </w:r>
          </w:p>
        </w:tc>
        <w:tc>
          <w:tcPr>
            <w:tcW w:type="dxa" w:w="2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3 events</w:t>
            </w:r>
          </w:p>
        </w:tc>
        <w:tc>
          <w:tcPr>
            <w:tcW w:type="dxa" w:w="2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Joint</w:t>
            </w:r>
          </w:p>
        </w:tc>
      </w:tr>
    </w:tbl>
    <w:p>
      <w:pPr>
        <w:spacing w:after="200"/>
      </w:pPr>
    </w:p>
    <w:p>
      <w:pPr>
        <w:pStyle w:val="Heading3"/>
      </w:pPr>
      <w:r>
        <w:t xml:space="preserve">Stage Gate 5 Exit Criteria</w:t>
      </w:r>
    </w:p>
    <w:p>
      <w:pPr>
        <w:pStyle w:val="ListParagraph"/>
        <w:numPr>
          <w:ilvl w:val="0"/>
          <w:numId w:val="2"/>
        </w:numPr>
      </w:pPr>
      <w:r>
        <w:rPr>
          <w:rFonts w:ascii="Arial" w:cs="Arial" w:eastAsia="Arial" w:hAnsi="Arial"/>
          <w:sz w:val="22"/>
          <w:szCs w:val="22"/>
        </w:rPr>
        <w:t xml:space="preserve">User adoption ≥ 60% within first 30 days</w:t>
      </w:r>
    </w:p>
    <w:p>
      <w:pPr>
        <w:pStyle w:val="ListParagraph"/>
        <w:numPr>
          <w:ilvl w:val="0"/>
          <w:numId w:val="2"/>
        </w:numPr>
      </w:pPr>
      <w:r>
        <w:rPr>
          <w:rFonts w:ascii="Arial" w:cs="Arial" w:eastAsia="Arial" w:hAnsi="Arial"/>
          <w:sz w:val="22"/>
          <w:szCs w:val="22"/>
        </w:rPr>
        <w:t xml:space="preserve">Time-to-Value within ±15% of projection</w:t>
      </w:r>
    </w:p>
    <w:p>
      <w:pPr>
        <w:pStyle w:val="ListParagraph"/>
        <w:numPr>
          <w:ilvl w:val="0"/>
          <w:numId w:val="2"/>
        </w:numPr>
      </w:pPr>
      <w:r>
        <w:rPr>
          <w:rFonts w:ascii="Arial" w:cs="Arial" w:eastAsia="Arial" w:hAnsi="Arial"/>
          <w:sz w:val="22"/>
          <w:szCs w:val="22"/>
        </w:rPr>
        <w:t xml:space="preserve">ROI Realization Rate ≥ 75%</w:t>
      </w:r>
    </w:p>
    <w:p>
      <w:pPr>
        <w:pStyle w:val="ListParagraph"/>
        <w:numPr>
          <w:ilvl w:val="0"/>
          <w:numId w:val="2"/>
        </w:numPr>
      </w:pPr>
      <w:r>
        <w:rPr>
          <w:rFonts w:ascii="Arial" w:cs="Arial" w:eastAsia="Arial" w:hAnsi="Arial"/>
          <w:sz w:val="22"/>
          <w:szCs w:val="22"/>
        </w:rPr>
        <w:t xml:space="preserve">Client Satisfaction Score ≥ 80</w:t>
      </w:r>
    </w:p>
    <w:p>
      <w:pPr>
        <w:pStyle w:val="ListParagraph"/>
        <w:numPr>
          <w:ilvl w:val="0"/>
          <w:numId w:val="2"/>
        </w:numPr>
        <w:spacing w:after="200"/>
      </w:pPr>
      <w:r>
        <w:rPr>
          <w:rFonts w:ascii="Arial" w:cs="Arial" w:eastAsia="Arial" w:hAnsi="Arial"/>
          <w:sz w:val="22"/>
          <w:szCs w:val="22"/>
        </w:rPr>
        <w:t xml:space="preserve">2026 Preseason readiness confirmed</w:t>
      </w:r>
    </w:p>
    <w:p>
      <w:r>
        <w:br w:type="page"/>
      </w:r>
    </w:p>
    <w:p>
      <w:pPr>
        <w:pStyle w:val="Heading1"/>
      </w:pPr>
      <w:r>
        <w:t xml:space="preserve">3. Implementation Timeline</w:t>
      </w:r>
    </w:p>
    <w:p>
      <w:pPr>
        <w:pStyle w:val="Heading2"/>
      </w:pPr>
      <w:r>
        <w:t xml:space="preserve">3.1 Master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Week</w:t>
            </w:r>
          </w:p>
        </w:tc>
        <w:tc>
          <w:tcPr>
            <w:tcW w:type="dxa" w:w="20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Dates</w:t>
            </w:r>
          </w:p>
        </w:tc>
        <w:tc>
          <w:tcPr>
            <w:tcW w:type="dxa" w:w="22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Phase</w:t>
            </w:r>
          </w:p>
        </w:tc>
        <w:tc>
          <w:tcPr>
            <w:tcW w:type="dxa" w:w="376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Key Milestones</w:t>
            </w:r>
          </w:p>
        </w:tc>
      </w:tr>
      <w:tr>
        <w:tc>
          <w:tcPr>
            <w:tcW w:type="dxa" w:w="14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1-3</w:t>
            </w:r>
          </w:p>
        </w:tc>
        <w:tc>
          <w:tcPr>
            <w:tcW w:type="dxa" w:w="2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Mar 2-20</w:t>
            </w:r>
          </w:p>
        </w:tc>
        <w:tc>
          <w:tcPr>
            <w:tcW w:type="dxa" w:w="22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D1: DISCOVER</w:t>
            </w:r>
          </w:p>
        </w:tc>
        <w:tc>
          <w:tcPr>
            <w:tcW w:type="dxa" w:w="37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Kickoff, 360 Modeling, Problem Validation</w:t>
            </w:r>
          </w:p>
        </w:tc>
      </w:tr>
      <w:tr>
        <w:tc>
          <w:tcPr>
            <w:tcW w:type="dxa" w:w="14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4-7</w:t>
            </w:r>
          </w:p>
        </w:tc>
        <w:tc>
          <w:tcPr>
            <w:tcW w:type="dxa" w:w="2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Mar 23-Apr 17</w:t>
            </w:r>
          </w:p>
        </w:tc>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D2: DIAGNOSE</w:t>
            </w:r>
          </w:p>
        </w:tc>
        <w:tc>
          <w:tcPr>
            <w:tcW w:type="dxa" w:w="37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Current State Forensics, Gap Analysis</w:t>
            </w:r>
          </w:p>
        </w:tc>
      </w:tr>
      <w:tr>
        <w:tc>
          <w:tcPr>
            <w:tcW w:type="dxa" w:w="14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8-12</w:t>
            </w:r>
          </w:p>
        </w:tc>
        <w:tc>
          <w:tcPr>
            <w:tcW w:type="dxa" w:w="2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Apr 20-May 22</w:t>
            </w:r>
          </w:p>
        </w:tc>
        <w:tc>
          <w:tcPr>
            <w:tcW w:type="dxa" w:w="22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D3: DESIGN</w:t>
            </w:r>
          </w:p>
        </w:tc>
        <w:tc>
          <w:tcPr>
            <w:tcW w:type="dxa" w:w="37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To-Be Process Design &amp; Certification</w:t>
            </w:r>
          </w:p>
        </w:tc>
      </w:tr>
      <w:tr>
        <w:tc>
          <w:tcPr>
            <w:tcW w:type="dxa" w:w="14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13-20</w:t>
            </w:r>
          </w:p>
        </w:tc>
        <w:tc>
          <w:tcPr>
            <w:tcW w:type="dxa" w:w="2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May 25-Jul 17</w:t>
            </w:r>
          </w:p>
        </w:tc>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D4: DEVELOP</w:t>
            </w:r>
          </w:p>
        </w:tc>
        <w:tc>
          <w:tcPr>
            <w:tcW w:type="dxa" w:w="37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Platform Build &amp; Integration</w:t>
            </w:r>
          </w:p>
        </w:tc>
      </w:tr>
      <w:tr>
        <w:tc>
          <w:tcPr>
            <w:tcW w:type="dxa" w:w="14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21-24</w:t>
            </w:r>
          </w:p>
        </w:tc>
        <w:tc>
          <w:tcPr>
            <w:tcW w:type="dxa" w:w="2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Jul 20-Aug 14</w:t>
            </w:r>
          </w:p>
        </w:tc>
        <w:tc>
          <w:tcPr>
            <w:tcW w:type="dxa" w:w="22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D5: DEPLOY</w:t>
            </w:r>
          </w:p>
        </w:tc>
        <w:tc>
          <w:tcPr>
            <w:tcW w:type="dxa" w:w="37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Operationalization &amp; Testing</w:t>
            </w:r>
          </w:p>
        </w:tc>
      </w:tr>
      <w:tr>
        <w:tc>
          <w:tcPr>
            <w:tcW w:type="dxa" w:w="14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25+</w:t>
            </w:r>
          </w:p>
        </w:tc>
        <w:tc>
          <w:tcPr>
            <w:tcW w:type="dxa" w:w="2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Aug 17+</w:t>
            </w:r>
          </w:p>
        </w:tc>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PRESEASON</w:t>
            </w:r>
          </w:p>
        </w:tc>
        <w:tc>
          <w:tcPr>
            <w:tcW w:type="dxa" w:w="37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2026 Preseason Live Operations</w:t>
            </w:r>
          </w:p>
        </w:tc>
      </w:tr>
    </w:tbl>
    <w:p>
      <w:pPr>
        <w:spacing w:after="400"/>
      </w:pPr>
    </w:p>
    <w:p>
      <w:pPr>
        <w:pStyle w:val="Heading2"/>
      </w:pPr>
      <w:r>
        <w:t xml:space="preserve">3.2 Critical Path Dependencies</w:t>
      </w:r>
    </w:p>
    <w:p>
      <w:pPr>
        <w:pStyle w:val="ListParagraph"/>
        <w:numPr>
          <w:ilvl w:val="0"/>
          <w:numId w:val="2"/>
        </w:numPr>
      </w:pPr>
      <w:r>
        <w:rPr>
          <w:rFonts w:ascii="Arial" w:cs="Arial" w:eastAsia="Arial" w:hAnsi="Arial"/>
          <w:sz w:val="22"/>
          <w:szCs w:val="22"/>
        </w:rPr>
        <w:t xml:space="preserve">NFL IT stakeholder availability for interviews (Week 1-3)</w:t>
      </w:r>
    </w:p>
    <w:p>
      <w:pPr>
        <w:pStyle w:val="ListParagraph"/>
        <w:numPr>
          <w:ilvl w:val="0"/>
          <w:numId w:val="2"/>
        </w:numPr>
      </w:pPr>
      <w:r>
        <w:rPr>
          <w:rFonts w:ascii="Arial" w:cs="Arial" w:eastAsia="Arial" w:hAnsi="Arial"/>
          <w:sz w:val="22"/>
          <w:szCs w:val="22"/>
        </w:rPr>
        <w:t xml:space="preserve">Current state documentation access (Week 4)</w:t>
      </w:r>
    </w:p>
    <w:p>
      <w:pPr>
        <w:pStyle w:val="ListParagraph"/>
        <w:numPr>
          <w:ilvl w:val="0"/>
          <w:numId w:val="2"/>
        </w:numPr>
      </w:pPr>
      <w:r>
        <w:rPr>
          <w:rFonts w:ascii="Arial" w:cs="Arial" w:eastAsia="Arial" w:hAnsi="Arial"/>
          <w:sz w:val="22"/>
          <w:szCs w:val="22"/>
        </w:rPr>
        <w:t xml:space="preserve">Executive approval for To-Be designs (Week 12)</w:t>
      </w:r>
    </w:p>
    <w:p>
      <w:pPr>
        <w:pStyle w:val="ListParagraph"/>
        <w:numPr>
          <w:ilvl w:val="0"/>
          <w:numId w:val="2"/>
        </w:numPr>
      </w:pPr>
      <w:r>
        <w:rPr>
          <w:rFonts w:ascii="Arial" w:cs="Arial" w:eastAsia="Arial" w:hAnsi="Arial"/>
          <w:sz w:val="22"/>
          <w:szCs w:val="22"/>
        </w:rPr>
        <w:t xml:space="preserve">GDA pilot team identified for testing (Week 16)</w:t>
      </w:r>
    </w:p>
    <w:p>
      <w:pPr>
        <w:pStyle w:val="ListParagraph"/>
        <w:numPr>
          <w:ilvl w:val="0"/>
          <w:numId w:val="2"/>
        </w:numPr>
        <w:spacing w:after="200"/>
      </w:pPr>
      <w:r>
        <w:rPr>
          <w:rFonts w:ascii="Arial" w:cs="Arial" w:eastAsia="Arial" w:hAnsi="Arial"/>
          <w:sz w:val="22"/>
          <w:szCs w:val="22"/>
        </w:rPr>
        <w:t xml:space="preserve">Stadium access for certification pilot (Week 22)</w:t>
      </w:r>
    </w:p>
    <w:p>
      <w:r>
        <w:br w:type="page"/>
      </w:r>
    </w:p>
    <w:p>
      <w:pPr>
        <w:pStyle w:val="Heading1"/>
      </w:pPr>
      <w:r>
        <w:t xml:space="preserve">4. Governance &amp; Accountability</w:t>
      </w:r>
    </w:p>
    <w:p>
      <w:pPr>
        <w:pStyle w:val="Heading2"/>
      </w:pPr>
      <w:r>
        <w:t xml:space="preserve">4.1 Shared Accountability Model</w:t>
      </w:r>
    </w:p>
    <w:p>
      <w:pPr>
        <w:spacing w:after="200"/>
      </w:pPr>
      <w:r>
        <w:rPr>
          <w:rFonts w:ascii="Arial" w:cs="Arial" w:eastAsia="Arial" w:hAnsi="Arial"/>
          <w:sz w:val="22"/>
          <w:szCs w:val="22"/>
        </w:rPr>
        <w:t xml:space="preserve">The SIPE methodology enforces shared accountability between NOVATE and NFL IT. The following RACI matrix defines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660"/>
      </w:tblGrid>
      <w:tr>
        <w:tc>
          <w:tcPr>
            <w:tcW w:type="dxa" w:w="45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Activity</w:t>
            </w:r>
          </w:p>
        </w:tc>
        <w:tc>
          <w:tcPr>
            <w:tcW w:type="dxa" w:w="22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NOVATE</w:t>
            </w:r>
          </w:p>
        </w:tc>
        <w:tc>
          <w:tcPr>
            <w:tcW w:type="dxa" w:w="266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NFL IT</w:t>
            </w:r>
          </w:p>
        </w:tc>
      </w:tr>
      <w:tr>
        <w:tc>
          <w:tcPr>
            <w:tcW w:type="dxa" w:w="45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Project Management &amp; Delivery</w:t>
            </w:r>
          </w:p>
        </w:tc>
        <w:tc>
          <w:tcPr>
            <w:tcW w:type="dxa" w:w="2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R/A</w:t>
            </w:r>
          </w:p>
        </w:tc>
        <w:tc>
          <w:tcPr>
            <w:tcW w:type="dxa" w:w="26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C/I</w:t>
            </w:r>
          </w:p>
        </w:tc>
      </w:tr>
      <w:tr>
        <w:tc>
          <w:tcPr>
            <w:tcW w:type="dxa" w:w="4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Stakeholder Availability</w:t>
            </w:r>
          </w:p>
        </w:tc>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C</w:t>
            </w:r>
          </w:p>
        </w:tc>
        <w:tc>
          <w:tcPr>
            <w:tcW w:type="dxa" w:w="266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R/A</w:t>
            </w:r>
          </w:p>
        </w:tc>
      </w:tr>
      <w:tr>
        <w:tc>
          <w:tcPr>
            <w:tcW w:type="dxa" w:w="45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Current State Documentation</w:t>
            </w:r>
          </w:p>
        </w:tc>
        <w:tc>
          <w:tcPr>
            <w:tcW w:type="dxa" w:w="22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C</w:t>
            </w:r>
          </w:p>
        </w:tc>
        <w:tc>
          <w:tcPr>
            <w:tcW w:type="dxa" w:w="266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R/A</w:t>
            </w:r>
          </w:p>
        </w:tc>
      </w:tr>
      <w:tr>
        <w:tc>
          <w:tcPr>
            <w:tcW w:type="dxa" w:w="4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To-Be Process Design</w:t>
            </w:r>
          </w:p>
        </w:tc>
        <w:tc>
          <w:tcPr>
            <w:tcW w:type="dxa" w:w="2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R/A</w:t>
            </w:r>
          </w:p>
        </w:tc>
        <w:tc>
          <w:tcPr>
            <w:tcW w:type="dxa" w:w="26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C/I</w:t>
            </w:r>
          </w:p>
        </w:tc>
      </w:tr>
      <w:tr>
        <w:tc>
          <w:tcPr>
            <w:tcW w:type="dxa" w:w="45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Platform Development</w:t>
            </w:r>
          </w:p>
        </w:tc>
        <w:tc>
          <w:tcPr>
            <w:tcW w:type="dxa" w:w="2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R/A</w:t>
            </w:r>
          </w:p>
        </w:tc>
        <w:tc>
          <w:tcPr>
            <w:tcW w:type="dxa" w:w="26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C</w:t>
            </w:r>
          </w:p>
        </w:tc>
      </w:tr>
      <w:tr>
        <w:tc>
          <w:tcPr>
            <w:tcW w:type="dxa" w:w="4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User Acceptance Testing</w:t>
            </w:r>
          </w:p>
        </w:tc>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C</w:t>
            </w:r>
          </w:p>
        </w:tc>
        <w:tc>
          <w:tcPr>
            <w:tcW w:type="dxa" w:w="266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R/A</w:t>
            </w:r>
          </w:p>
        </w:tc>
      </w:tr>
      <w:tr>
        <w:tc>
          <w:tcPr>
            <w:tcW w:type="dxa" w:w="45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GDA Training Execution</w:t>
            </w:r>
          </w:p>
        </w:tc>
        <w:tc>
          <w:tcPr>
            <w:tcW w:type="dxa" w:w="2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R/A</w:t>
            </w:r>
          </w:p>
        </w:tc>
        <w:tc>
          <w:tcPr>
            <w:tcW w:type="dxa" w:w="26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C/I</w:t>
            </w:r>
          </w:p>
        </w:tc>
      </w:tr>
      <w:tr>
        <w:tc>
          <w:tcPr>
            <w:tcW w:type="dxa" w:w="4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Stadium Onboarding</w:t>
            </w:r>
          </w:p>
        </w:tc>
        <w:tc>
          <w:tcPr>
            <w:tcW w:type="dxa" w:w="2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R</w:t>
            </w:r>
          </w:p>
        </w:tc>
        <w:tc>
          <w:tcPr>
            <w:tcW w:type="dxa" w:w="266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A</w:t>
            </w:r>
          </w:p>
        </w:tc>
      </w:tr>
    </w:tbl>
    <w:p>
      <w:pPr>
        <w:spacing w:before="100" w:after="200"/>
      </w:pPr>
      <w:r>
        <w:rPr>
          <w:rFonts w:ascii="Arial" w:cs="Arial" w:eastAsia="Arial" w:hAnsi="Arial"/>
          <w:i/>
          <w:iCs/>
          <w:color w:val="2B6B7D"/>
          <w:sz w:val="18"/>
          <w:szCs w:val="18"/>
        </w:rPr>
        <w:t xml:space="preserve">R = Responsible | A = Accountable | C = Consulted | I = Informed</w:t>
      </w:r>
    </w:p>
    <w:p>
      <w:pPr>
        <w:pStyle w:val="Heading2"/>
      </w:pPr>
      <w:r>
        <w:t xml:space="preserve">4.2 Stage Gate Review Process</w:t>
      </w:r>
    </w:p>
    <w:p>
      <w:pPr>
        <w:spacing w:after="200"/>
      </w:pPr>
      <w:r>
        <w:rPr>
          <w:rFonts w:ascii="Arial" w:cs="Arial" w:eastAsia="Arial" w:hAnsi="Arial"/>
          <w:sz w:val="22"/>
          <w:szCs w:val="22"/>
        </w:rPr>
        <w:t xml:space="preserve">Each phase concludes with a formal Stage Gate review requiring documented evidence and threshold validation before advancement. No phase progression occurs without:</w:t>
      </w:r>
    </w:p>
    <w:p>
      <w:pPr>
        <w:pStyle w:val="ListParagraph"/>
        <w:numPr>
          <w:ilvl w:val="0"/>
          <w:numId w:val="2"/>
        </w:numPr>
      </w:pPr>
      <w:r>
        <w:rPr>
          <w:rFonts w:ascii="Arial" w:cs="Arial" w:eastAsia="Arial" w:hAnsi="Arial"/>
          <w:sz w:val="22"/>
          <w:szCs w:val="22"/>
        </w:rPr>
        <w:t xml:space="preserve">Evidence Ledger entries for all exit criteria</w:t>
      </w:r>
    </w:p>
    <w:p>
      <w:pPr>
        <w:pStyle w:val="ListParagraph"/>
        <w:numPr>
          <w:ilvl w:val="0"/>
          <w:numId w:val="2"/>
        </w:numPr>
      </w:pPr>
      <w:r>
        <w:rPr>
          <w:rFonts w:ascii="Arial" w:cs="Arial" w:eastAsia="Arial" w:hAnsi="Arial"/>
          <w:sz w:val="22"/>
          <w:szCs w:val="22"/>
        </w:rPr>
        <w:t xml:space="preserve">KPI threshold validation (all metrics within acceptable range)</w:t>
      </w:r>
    </w:p>
    <w:p>
      <w:pPr>
        <w:pStyle w:val="ListParagraph"/>
        <w:numPr>
          <w:ilvl w:val="0"/>
          <w:numId w:val="2"/>
        </w:numPr>
      </w:pPr>
      <w:r>
        <w:rPr>
          <w:rFonts w:ascii="Arial" w:cs="Arial" w:eastAsia="Arial" w:hAnsi="Arial"/>
          <w:sz w:val="22"/>
          <w:szCs w:val="22"/>
        </w:rPr>
        <w:t xml:space="preserve">Executive sponsor sign-off</w:t>
      </w:r>
    </w:p>
    <w:p>
      <w:pPr>
        <w:pStyle w:val="ListParagraph"/>
        <w:numPr>
          <w:ilvl w:val="0"/>
          <w:numId w:val="2"/>
        </w:numPr>
        <w:spacing w:after="200"/>
      </w:pPr>
      <w:r>
        <w:rPr>
          <w:rFonts w:ascii="Arial" w:cs="Arial" w:eastAsia="Arial" w:hAnsi="Arial"/>
          <w:sz w:val="22"/>
          <w:szCs w:val="22"/>
        </w:rPr>
        <w:t xml:space="preserve">Risk assessment review with mitigation plans for any HIGH risks</w:t>
      </w:r>
    </w:p>
    <w:p>
      <w:pPr>
        <w:pStyle w:val="Heading2"/>
      </w:pPr>
      <w:r>
        <w:t xml:space="preserve">4.3 Communication Cadence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Meeting</w:t>
            </w:r>
          </w:p>
        </w:tc>
        <w:tc>
          <w:tcPr>
            <w:tcW w:type="dxa" w:w="25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Frequency</w:t>
            </w:r>
          </w:p>
        </w:tc>
        <w:tc>
          <w:tcPr>
            <w:tcW w:type="dxa" w:w="436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Participants</w:t>
            </w:r>
          </w:p>
        </w:tc>
      </w:tr>
      <w:tr>
        <w:tc>
          <w:tcPr>
            <w:tcW w:type="dxa" w:w="25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Project Status</w:t>
            </w:r>
          </w:p>
        </w:tc>
        <w:tc>
          <w:tcPr>
            <w:tcW w:type="dxa" w:w="25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Weekly</w:t>
            </w:r>
          </w:p>
        </w:tc>
        <w:tc>
          <w:tcPr>
            <w:tcW w:type="dxa" w:w="43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NOVATE PM, NFL IT Lead</w:t>
            </w:r>
          </w:p>
        </w:tc>
      </w:tr>
      <w:tr>
        <w:tc>
          <w:tcPr>
            <w:tcW w:type="dxa" w:w="2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Steering Committee</w:t>
            </w:r>
          </w:p>
        </w:tc>
        <w:tc>
          <w:tcPr>
            <w:tcW w:type="dxa" w:w="2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Bi-weekly</w:t>
            </w:r>
          </w:p>
        </w:tc>
        <w:tc>
          <w:tcPr>
            <w:tcW w:type="dxa" w:w="43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Executive Sponsors, Project Leads</w:t>
            </w:r>
          </w:p>
        </w:tc>
      </w:tr>
      <w:tr>
        <w:tc>
          <w:tcPr>
            <w:tcW w:type="dxa" w:w="25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Stage Gate Review</w:t>
            </w:r>
          </w:p>
        </w:tc>
        <w:tc>
          <w:tcPr>
            <w:tcW w:type="dxa" w:w="25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Per Phase</w:t>
            </w:r>
          </w:p>
        </w:tc>
        <w:tc>
          <w:tcPr>
            <w:tcW w:type="dxa" w:w="43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All Stakeholders</w:t>
            </w:r>
          </w:p>
        </w:tc>
      </w:tr>
      <w:tr>
        <w:tc>
          <w:tcPr>
            <w:tcW w:type="dxa" w:w="2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Technical Sync</w:t>
            </w:r>
          </w:p>
        </w:tc>
        <w:tc>
          <w:tcPr>
            <w:tcW w:type="dxa" w:w="2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2x Weekly</w:t>
            </w:r>
          </w:p>
        </w:tc>
        <w:tc>
          <w:tcPr>
            <w:tcW w:type="dxa" w:w="43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Development Teams</w:t>
            </w:r>
          </w:p>
        </w:tc>
      </w:tr>
      <w:tr>
        <w:tc>
          <w:tcPr>
            <w:tcW w:type="dxa" w:w="25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Risk Review</w:t>
            </w:r>
          </w:p>
        </w:tc>
        <w:tc>
          <w:tcPr>
            <w:tcW w:type="dxa" w:w="25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Weekly</w:t>
            </w:r>
          </w:p>
        </w:tc>
        <w:tc>
          <w:tcPr>
            <w:tcW w:type="dxa" w:w="43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PM, Risk Owners</w:t>
            </w:r>
          </w:p>
        </w:tc>
      </w:tr>
    </w:tbl>
    <w:p>
      <w:r>
        <w:br w:type="page"/>
      </w:r>
    </w:p>
    <w:p>
      <w:pPr>
        <w:pStyle w:val="Heading1"/>
      </w:pPr>
      <w:r>
        <w:t xml:space="preserve">5. Risk Management</w:t>
      </w:r>
    </w:p>
    <w:p>
      <w:pPr>
        <w:pStyle w:val="Heading2"/>
      </w:pPr>
      <w:r>
        <w:t xml:space="preserve">5.1 Key 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Risk</w:t>
            </w:r>
          </w:p>
        </w:tc>
        <w:tc>
          <w:tcPr>
            <w:tcW w:type="dxa" w:w="14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Severity</w:t>
            </w:r>
          </w:p>
        </w:tc>
        <w:tc>
          <w:tcPr>
            <w:tcW w:type="dxa" w:w="516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Mitigation Strategy</w:t>
            </w:r>
          </w:p>
        </w:tc>
      </w:tr>
      <w:tr>
        <w:tc>
          <w:tcPr>
            <w:tcW w:type="dxa" w:w="28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Stakeholder availability constraints</w:t>
            </w:r>
          </w:p>
        </w:tc>
        <w:tc>
          <w:tcPr>
            <w:tcW w:type="dxa" w:w="14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HIGH</w:t>
            </w:r>
          </w:p>
        </w:tc>
        <w:tc>
          <w:tcPr>
            <w:tcW w:type="dxa" w:w="5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Schedule interviews 2 weeks in advance; document alternatives for non-available stakeholders</w:t>
            </w:r>
          </w:p>
        </w:tc>
      </w:tr>
      <w:tr>
        <w:tc>
          <w:tcPr>
            <w:tcW w:type="dxa" w:w="28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Scope expansion during Design</w:t>
            </w:r>
          </w:p>
        </w:tc>
        <w:tc>
          <w:tcPr>
            <w:tcW w:type="dxa" w:w="14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HIGH</w:t>
            </w:r>
          </w:p>
        </w:tc>
        <w:tc>
          <w:tcPr>
            <w:tcW w:type="dxa" w:w="5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Strict change control process; defer non-critical items to Phase III</w:t>
            </w:r>
          </w:p>
        </w:tc>
      </w:tr>
      <w:tr>
        <w:tc>
          <w:tcPr>
            <w:tcW w:type="dxa" w:w="28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Integration complexity</w:t>
            </w:r>
          </w:p>
        </w:tc>
        <w:tc>
          <w:tcPr>
            <w:tcW w:type="dxa" w:w="14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MEDIUM</w:t>
            </w:r>
          </w:p>
        </w:tc>
        <w:tc>
          <w:tcPr>
            <w:tcW w:type="dxa" w:w="5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Early technical deep-dives; dedicated integration testing sprint</w:t>
            </w:r>
          </w:p>
        </w:tc>
      </w:tr>
      <w:tr>
        <w:tc>
          <w:tcPr>
            <w:tcW w:type="dxa" w:w="28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GDA adoption resistance</w:t>
            </w:r>
          </w:p>
        </w:tc>
        <w:tc>
          <w:tcPr>
            <w:tcW w:type="dxa" w:w="14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MEDIUM</w:t>
            </w:r>
          </w:p>
        </w:tc>
        <w:tc>
          <w:tcPr>
            <w:tcW w:type="dxa" w:w="5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Champions program; involve GDAs in design phase; demonstrate quick wins</w:t>
            </w:r>
          </w:p>
        </w:tc>
      </w:tr>
      <w:tr>
        <w:tc>
          <w:tcPr>
            <w:tcW w:type="dxa" w:w="28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Timeline compression</w:t>
            </w:r>
          </w:p>
        </w:tc>
        <w:tc>
          <w:tcPr>
            <w:tcW w:type="dxa" w:w="14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MEDIUM</w:t>
            </w:r>
          </w:p>
        </w:tc>
        <w:tc>
          <w:tcPr>
            <w:tcW w:type="dxa" w:w="5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Buffer built into each phase; prioritized feature list for MVP if needed</w:t>
            </w:r>
          </w:p>
        </w:tc>
      </w:tr>
    </w:tbl>
    <w:p>
      <w:pPr>
        <w:spacing w:after="400"/>
      </w:pPr>
    </w:p>
    <w:p>
      <w:pPr>
        <w:pStyle w:val="Heading2"/>
      </w:pPr>
      <w:r>
        <w:t xml:space="preserve">5.2 Churn Prevention Protocols</w:t>
      </w:r>
    </w:p>
    <w:p>
      <w:pPr>
        <w:spacing w:after="200"/>
      </w:pPr>
      <w:r>
        <w:rPr>
          <w:rFonts w:ascii="Arial" w:cs="Arial" w:eastAsia="Arial" w:hAnsi="Arial"/>
          <w:sz w:val="22"/>
          <w:szCs w:val="22"/>
        </w:rPr>
        <w:t xml:space="preserve">The DIAGNOSE and DESIGN phases (Weeks 4-12) represent the Critical Churn Zone where 60% of engagement delays typically occur. SIPE activates enhanced monitoring:</w:t>
      </w:r>
    </w:p>
    <w:p>
      <w:pPr>
        <w:pStyle w:val="ListParagraph"/>
        <w:numPr>
          <w:ilvl w:val="0"/>
          <w:numId w:val="2"/>
        </w:numPr>
      </w:pPr>
      <w:r>
        <w:rPr>
          <w:rFonts w:ascii="Arial" w:cs="Arial" w:eastAsia="Arial" w:hAnsi="Arial"/>
          <w:sz w:val="22"/>
          <w:szCs w:val="22"/>
        </w:rPr>
        <w:t xml:space="preserve">Requirements Ambiguity Score tracked daily (Alert if &gt;20, Escalate if &gt;40)</w:t>
      </w:r>
    </w:p>
    <w:p>
      <w:pPr>
        <w:pStyle w:val="ListParagraph"/>
        <w:numPr>
          <w:ilvl w:val="0"/>
          <w:numId w:val="2"/>
        </w:numPr>
      </w:pPr>
      <w:r>
        <w:rPr>
          <w:rFonts w:ascii="Arial" w:cs="Arial" w:eastAsia="Arial" w:hAnsi="Arial"/>
          <w:sz w:val="22"/>
          <w:szCs w:val="22"/>
        </w:rPr>
        <w:t xml:space="preserve">Stakeholder Alignment Index monitored weekly (Alert if &lt;85)</w:t>
      </w:r>
    </w:p>
    <w:p>
      <w:pPr>
        <w:pStyle w:val="ListParagraph"/>
        <w:numPr>
          <w:ilvl w:val="0"/>
          <w:numId w:val="2"/>
        </w:numPr>
      </w:pPr>
      <w:r>
        <w:rPr>
          <w:rFonts w:ascii="Arial" w:cs="Arial" w:eastAsia="Arial" w:hAnsi="Arial"/>
          <w:sz w:val="22"/>
          <w:szCs w:val="22"/>
        </w:rPr>
        <w:t xml:space="preserve">Decision Bottleneck Index tracked (Alert if &gt;3 delays, Escalate if &gt;5)</w:t>
      </w:r>
    </w:p>
    <w:p>
      <w:pPr>
        <w:pStyle w:val="ListParagraph"/>
        <w:numPr>
          <w:ilvl w:val="0"/>
          <w:numId w:val="2"/>
        </w:numPr>
        <w:spacing w:after="200"/>
      </w:pPr>
      <w:r>
        <w:rPr>
          <w:rFonts w:ascii="Arial" w:cs="Arial" w:eastAsia="Arial" w:hAnsi="Arial"/>
          <w:sz w:val="22"/>
          <w:szCs w:val="22"/>
        </w:rPr>
        <w:t xml:space="preserve">Executive checkpoint scheduled at Week 7 before Design phase</w:t>
      </w:r>
    </w:p>
    <w:p>
      <w:r>
        <w:br w:type="page"/>
      </w:r>
    </w:p>
    <w:p>
      <w:pPr>
        <w:pStyle w:val="Heading1"/>
      </w:pPr>
      <w:r>
        <w:t xml:space="preserve">6. Investment Summary</w:t>
      </w:r>
    </w:p>
    <w:p>
      <w:pPr>
        <w:pStyle w:val="Heading2"/>
      </w:pPr>
      <w:r>
        <w:t xml:space="preserve">6.1 Phase II Implementation Investment</w:t>
      </w:r>
    </w:p>
    <w:p>
      <w:pPr>
        <w:spacing w:after="200"/>
      </w:pPr>
      <w:r>
        <w:rPr>
          <w:rFonts w:ascii="Arial" w:cs="Arial" w:eastAsia="Arial" w:hAnsi="Arial"/>
          <w:sz w:val="22"/>
          <w:szCs w:val="22"/>
        </w:rPr>
        <w:t xml:space="preserve">The following investment structure supports the complete 5D implementation through 2026 Preseason readiness. Detailed pricing will be provided in a separate commercial proposal.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Component</w:t>
            </w:r>
          </w:p>
        </w:tc>
        <w:tc>
          <w:tcPr>
            <w:tcW w:type="dxa" w:w="25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Duration</w:t>
            </w:r>
          </w:p>
        </w:tc>
        <w:tc>
          <w:tcPr>
            <w:tcW w:type="dxa" w:w="286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Investment Type</w:t>
            </w:r>
          </w:p>
        </w:tc>
      </w:tr>
      <w:tr>
        <w:tc>
          <w:tcPr>
            <w:tcW w:type="dxa" w:w="4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D1: DISCOVER Phase</w:t>
            </w:r>
          </w:p>
        </w:tc>
        <w:tc>
          <w:tcPr>
            <w:tcW w:type="dxa" w:w="25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3 Weeks</w:t>
            </w:r>
          </w:p>
        </w:tc>
        <w:tc>
          <w:tcPr>
            <w:tcW w:type="dxa" w:w="28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Fixed Fee</w:t>
            </w:r>
          </w:p>
        </w:tc>
      </w:tr>
      <w:tr>
        <w:tc>
          <w:tcPr>
            <w:tcW w:type="dxa" w:w="4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D2: DIAGNOSE Phase</w:t>
            </w:r>
          </w:p>
        </w:tc>
        <w:tc>
          <w:tcPr>
            <w:tcW w:type="dxa" w:w="2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4 Weeks</w:t>
            </w:r>
          </w:p>
        </w:tc>
        <w:tc>
          <w:tcPr>
            <w:tcW w:type="dxa" w:w="28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Fixed Fee</w:t>
            </w:r>
          </w:p>
        </w:tc>
      </w:tr>
      <w:tr>
        <w:tc>
          <w:tcPr>
            <w:tcW w:type="dxa" w:w="4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D3: DESIGN Phase</w:t>
            </w:r>
          </w:p>
        </w:tc>
        <w:tc>
          <w:tcPr>
            <w:tcW w:type="dxa" w:w="25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5 Weeks</w:t>
            </w:r>
          </w:p>
        </w:tc>
        <w:tc>
          <w:tcPr>
            <w:tcW w:type="dxa" w:w="28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Fixed Fee</w:t>
            </w:r>
          </w:p>
        </w:tc>
      </w:tr>
      <w:tr>
        <w:tc>
          <w:tcPr>
            <w:tcW w:type="dxa" w:w="4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D4: DEVELOP Phase</w:t>
            </w:r>
          </w:p>
        </w:tc>
        <w:tc>
          <w:tcPr>
            <w:tcW w:type="dxa" w:w="2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8 Weeks</w:t>
            </w:r>
          </w:p>
        </w:tc>
        <w:tc>
          <w:tcPr>
            <w:tcW w:type="dxa" w:w="28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Fixed Fee</w:t>
            </w:r>
          </w:p>
        </w:tc>
      </w:tr>
      <w:tr>
        <w:tc>
          <w:tcPr>
            <w:tcW w:type="dxa" w:w="4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D5: DEPLOY Phase</w:t>
            </w:r>
          </w:p>
        </w:tc>
        <w:tc>
          <w:tcPr>
            <w:tcW w:type="dxa" w:w="25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4 Weeks</w:t>
            </w:r>
          </w:p>
        </w:tc>
        <w:tc>
          <w:tcPr>
            <w:tcW w:type="dxa" w:w="28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Fixed Fee</w:t>
            </w:r>
          </w:p>
        </w:tc>
      </w:tr>
      <w:tr>
        <w:tc>
          <w:tcPr>
            <w:tcW w:type="dxa" w:w="4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Sentrais Platform Licensing</w:t>
            </w:r>
          </w:p>
        </w:tc>
        <w:tc>
          <w:tcPr>
            <w:tcW w:type="dxa" w:w="25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Annual</w:t>
            </w:r>
          </w:p>
        </w:tc>
        <w:tc>
          <w:tcPr>
            <w:tcW w:type="dxa" w:w="28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Subscription</w:t>
            </w:r>
          </w:p>
        </w:tc>
      </w:tr>
      <w:tr>
        <w:tc>
          <w:tcPr>
            <w:tcW w:type="dxa" w:w="4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Ongoing Support &amp; Evolution</w:t>
            </w:r>
          </w:p>
        </w:tc>
        <w:tc>
          <w:tcPr>
            <w:tcW w:type="dxa" w:w="25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Year 2-3</w:t>
            </w:r>
          </w:p>
        </w:tc>
        <w:tc>
          <w:tcPr>
            <w:tcW w:type="dxa" w:w="28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Retainer</w:t>
            </w:r>
          </w:p>
        </w:tc>
      </w:tr>
    </w:tbl>
    <w:p>
      <w:pPr>
        <w:spacing w:after="400"/>
      </w:pPr>
    </w:p>
    <w:p>
      <w:pPr>
        <w:pStyle w:val="Heading2"/>
      </w:pPr>
      <w:r>
        <w:t xml:space="preserve">6.2 Expected ROI</w:t>
      </w:r>
    </w:p>
    <w:p>
      <w:pPr>
        <w:pStyle w:val="ListParagraph"/>
        <w:numPr>
          <w:ilvl w:val="0"/>
          <w:numId w:val="2"/>
        </w:numPr>
      </w:pPr>
      <w:r>
        <w:rPr>
          <w:rFonts w:ascii="Arial" w:cs="Arial" w:eastAsia="Arial" w:hAnsi="Arial"/>
          <w:sz w:val="22"/>
          <w:szCs w:val="22"/>
        </w:rPr>
        <w:t xml:space="preserve">30% reduction in game day IT incidents through proactive monitoring</w:t>
      </w:r>
    </w:p>
    <w:p>
      <w:pPr>
        <w:pStyle w:val="ListParagraph"/>
        <w:numPr>
          <w:ilvl w:val="0"/>
          <w:numId w:val="2"/>
        </w:numPr>
      </w:pPr>
      <w:r>
        <w:rPr>
          <w:rFonts w:ascii="Arial" w:cs="Arial" w:eastAsia="Arial" w:hAnsi="Arial"/>
          <w:sz w:val="22"/>
          <w:szCs w:val="22"/>
        </w:rPr>
        <w:t xml:space="preserve">50% reduction in issue resolution time through standardized escalation</w:t>
      </w:r>
    </w:p>
    <w:p>
      <w:pPr>
        <w:pStyle w:val="ListParagraph"/>
        <w:numPr>
          <w:ilvl w:val="0"/>
          <w:numId w:val="2"/>
        </w:numPr>
      </w:pPr>
      <w:r>
        <w:rPr>
          <w:rFonts w:ascii="Arial" w:cs="Arial" w:eastAsia="Arial" w:hAnsi="Arial"/>
          <w:sz w:val="22"/>
          <w:szCs w:val="22"/>
        </w:rPr>
        <w:t xml:space="preserve">40% efficiency gain in GDA task management through automated workflows</w:t>
      </w:r>
    </w:p>
    <w:p>
      <w:pPr>
        <w:pStyle w:val="ListParagraph"/>
        <w:numPr>
          <w:ilvl w:val="0"/>
          <w:numId w:val="2"/>
        </w:numPr>
      </w:pPr>
      <w:r>
        <w:rPr>
          <w:rFonts w:ascii="Arial" w:cs="Arial" w:eastAsia="Arial" w:hAnsi="Arial"/>
          <w:sz w:val="22"/>
          <w:szCs w:val="22"/>
        </w:rPr>
        <w:t xml:space="preserve">100% audit trail compliance for all IT readiness activities</w:t>
      </w:r>
    </w:p>
    <w:p>
      <w:pPr>
        <w:pStyle w:val="ListParagraph"/>
        <w:numPr>
          <w:ilvl w:val="0"/>
          <w:numId w:val="2"/>
        </w:numPr>
        <w:spacing w:after="200"/>
      </w:pPr>
      <w:r>
        <w:rPr>
          <w:rFonts w:ascii="Arial" w:cs="Arial" w:eastAsia="Arial" w:hAnsi="Arial"/>
          <w:sz w:val="22"/>
          <w:szCs w:val="22"/>
        </w:rPr>
        <w:t xml:space="preserve">Elimination of unsecured tool dependency (Google Sheets, WhatsApp)</w:t>
      </w:r>
    </w:p>
    <w:p>
      <w:r>
        <w:br w:type="page"/>
      </w:r>
    </w:p>
    <w:p>
      <w:pPr>
        <w:pStyle w:val="Heading1"/>
      </w:pPr>
      <w:r>
        <w:t xml:space="preserve">7. Next Steps</w:t>
      </w:r>
    </w:p>
    <w:p>
      <w:pPr>
        <w:pStyle w:val="Heading2"/>
      </w:pPr>
      <w:r>
        <w:t xml:space="preserve">7.1 Immediate Actions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Week</w:t>
            </w:r>
          </w:p>
        </w:tc>
        <w:tc>
          <w:tcPr>
            <w:tcW w:type="dxa" w:w="500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Action</w:t>
            </w:r>
          </w:p>
        </w:tc>
        <w:tc>
          <w:tcPr>
            <w:tcW w:type="dxa" w:w="3160"/>
            <w:tcBorders>
              <w:top w:val="single" w:color="E8ECF0" w:sz="1"/>
              <w:left w:val="single" w:color="E8ECF0" w:sz="1"/>
              <w:bottom w:val="single" w:color="E8ECF0" w:sz="1"/>
              <w:right w:val="single" w:color="E8ECF0" w:sz="1"/>
            </w:tcBorders>
            <w:shd w:fill="1B2B3D" w:val="clear"/>
            <w:tcMar>
              <w:top w:type="dxa" w:w="100"/>
              <w:left w:type="dxa" w:w="150"/>
              <w:bottom w:type="dxa" w:w="100"/>
              <w:right w:type="dxa" w:w="150"/>
            </w:tcMar>
            <w:vAlign w:val="center"/>
          </w:tcPr>
          <w:p>
            <w:r>
              <w:rPr>
                <w:rFonts w:ascii="Arial" w:cs="Arial" w:eastAsia="Arial" w:hAnsi="Arial"/>
                <w:b/>
                <w:bCs/>
                <w:color w:val="FFFFFF"/>
                <w:sz w:val="20"/>
                <w:szCs w:val="20"/>
              </w:rPr>
              <w:t xml:space="preserve">Owner</w:t>
            </w:r>
          </w:p>
        </w:tc>
      </w:tr>
      <w:tr>
        <w:tc>
          <w:tcPr>
            <w:tcW w:type="dxa" w:w="1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1</w:t>
            </w:r>
          </w:p>
        </w:tc>
        <w:tc>
          <w:tcPr>
            <w:tcW w:type="dxa" w:w="5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Review and approve implementation proposal</w:t>
            </w:r>
          </w:p>
        </w:tc>
        <w:tc>
          <w:tcPr>
            <w:tcW w:type="dxa" w:w="3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NFL IT Executive Sponsor</w:t>
            </w:r>
          </w:p>
        </w:tc>
      </w:tr>
      <w:tr>
        <w:tc>
          <w:tcPr>
            <w:tcW w:type="dxa" w:w="1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1</w:t>
            </w:r>
          </w:p>
        </w:tc>
        <w:tc>
          <w:tcPr>
            <w:tcW w:type="dxa" w:w="5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Commercial proposal review and contract negotiation</w:t>
            </w:r>
          </w:p>
        </w:tc>
        <w:tc>
          <w:tcPr>
            <w:tcW w:type="dxa" w:w="3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NFL Procurement + NOVATE</w:t>
            </w:r>
          </w:p>
        </w:tc>
      </w:tr>
      <w:tr>
        <w:tc>
          <w:tcPr>
            <w:tcW w:type="dxa" w:w="1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2</w:t>
            </w:r>
          </w:p>
        </w:tc>
        <w:tc>
          <w:tcPr>
            <w:tcW w:type="dxa" w:w="5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Identify key stakeholders for 360 Modeling interviews</w:t>
            </w:r>
          </w:p>
        </w:tc>
        <w:tc>
          <w:tcPr>
            <w:tcW w:type="dxa" w:w="3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NFL IT Lead</w:t>
            </w:r>
          </w:p>
        </w:tc>
      </w:tr>
      <w:tr>
        <w:tc>
          <w:tcPr>
            <w:tcW w:type="dxa" w:w="1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2</w:t>
            </w:r>
          </w:p>
        </w:tc>
        <w:tc>
          <w:tcPr>
            <w:tcW w:type="dxa" w:w="5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Schedule kickoff meeting for March start</w:t>
            </w:r>
          </w:p>
        </w:tc>
        <w:tc>
          <w:tcPr>
            <w:tcW w:type="dxa" w:w="3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Joint</w:t>
            </w:r>
          </w:p>
        </w:tc>
      </w:tr>
      <w:tr>
        <w:tc>
          <w:tcPr>
            <w:tcW w:type="dxa" w:w="1200"/>
            <w:tcBorders>
              <w:top w:val="single" w:color="E8ECF0" w:sz="1"/>
              <w:left w:val="single" w:color="E8ECF0" w:sz="1"/>
              <w:bottom w:val="single" w:color="E8ECF0" w:sz="1"/>
              <w:right w:val="single" w:color="E8ECF0" w:sz="1"/>
            </w:tcBorders>
            <w:shd w:fill="00A5B5" w:val="clear"/>
            <w:tcMar>
              <w:top w:type="dxa" w:w="100"/>
              <w:left w:type="dxa" w:w="150"/>
              <w:bottom w:type="dxa" w:w="100"/>
              <w:right w:type="dxa" w:w="150"/>
            </w:tcMar>
            <w:vAlign w:val="center"/>
          </w:tcPr>
          <w:p>
            <w:r>
              <w:rPr>
                <w:rFonts w:ascii="Arial" w:cs="Arial" w:eastAsia="Arial" w:hAnsi="Arial"/>
                <w:b/>
                <w:bCs/>
                <w:color w:val="FFFFFF"/>
                <w:sz w:val="20"/>
                <w:szCs w:val="20"/>
              </w:rPr>
              <w:t xml:space="preserve">3</w:t>
            </w:r>
          </w:p>
        </w:tc>
        <w:tc>
          <w:tcPr>
            <w:tcW w:type="dxa" w:w="500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Contract execution</w:t>
            </w:r>
          </w:p>
        </w:tc>
        <w:tc>
          <w:tcPr>
            <w:tcW w:type="dxa" w:w="31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NFL Legal + NOVATE</w:t>
            </w:r>
          </w:p>
        </w:tc>
      </w:tr>
      <w:tr>
        <w:tc>
          <w:tcPr>
            <w:tcW w:type="dxa" w:w="12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3</w:t>
            </w:r>
          </w:p>
        </w:tc>
        <w:tc>
          <w:tcPr>
            <w:tcW w:type="dxa" w:w="5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Initial document request distribution</w:t>
            </w:r>
          </w:p>
        </w:tc>
        <w:tc>
          <w:tcPr>
            <w:tcW w:type="dxa" w:w="316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vAlign w:val="center"/>
          </w:tcPr>
          <w:p>
            <w:r>
              <w:rPr>
                <w:rFonts w:ascii="Arial" w:cs="Arial" w:eastAsia="Arial" w:hAnsi="Arial"/>
                <w:color w:val="1B2B3D"/>
                <w:sz w:val="20"/>
                <w:szCs w:val="20"/>
              </w:rPr>
              <w:t xml:space="preserve">NOVATE PM</w:t>
            </w:r>
          </w:p>
        </w:tc>
      </w:tr>
    </w:tbl>
    <w:p>
      <w:pPr>
        <w:spacing w:after="400"/>
      </w:pPr>
    </w:p>
    <w:p>
      <w:pPr>
        <w:pStyle w:val="Heading2"/>
      </w:pPr>
      <w:r>
        <w:t xml:space="preserve">7.2 Key Contacts</w:t>
      </w:r>
    </w:p>
    <w:p>
      <w:pPr>
        <w:spacing w:after="100"/>
      </w:pPr>
      <w:r>
        <w:rPr>
          <w:rFonts w:ascii="Arial" w:cs="Arial" w:eastAsia="Arial" w:hAnsi="Arial"/>
          <w:b/>
          <w:bCs/>
          <w:color w:val="2B6B7D"/>
          <w:sz w:val="22"/>
          <w:szCs w:val="22"/>
        </w:rPr>
        <w:t xml:space="preserve">NOVATE Team:</w:t>
      </w:r>
    </w:p>
    <w:p>
      <w:pPr>
        <w:pStyle w:val="ListParagraph"/>
        <w:numPr>
          <w:ilvl w:val="0"/>
          <w:numId w:val="2"/>
        </w:numPr>
      </w:pPr>
      <w:r>
        <w:rPr>
          <w:rFonts w:ascii="Arial" w:cs="Arial" w:eastAsia="Arial" w:hAnsi="Arial"/>
          <w:sz w:val="22"/>
          <w:szCs w:val="22"/>
        </w:rPr>
        <w:t xml:space="preserve">Executive Sponsor: [To Be Assigned]</w:t>
      </w:r>
    </w:p>
    <w:p>
      <w:pPr>
        <w:pStyle w:val="ListParagraph"/>
        <w:numPr>
          <w:ilvl w:val="0"/>
          <w:numId w:val="2"/>
        </w:numPr>
      </w:pPr>
      <w:r>
        <w:rPr>
          <w:rFonts w:ascii="Arial" w:cs="Arial" w:eastAsia="Arial" w:hAnsi="Arial"/>
          <w:sz w:val="22"/>
          <w:szCs w:val="22"/>
        </w:rPr>
        <w:t xml:space="preserve">Program Director: [To Be Assigned]</w:t>
      </w:r>
    </w:p>
    <w:p>
      <w:pPr>
        <w:pStyle w:val="ListParagraph"/>
        <w:numPr>
          <w:ilvl w:val="0"/>
          <w:numId w:val="2"/>
        </w:numPr>
        <w:spacing w:after="200"/>
      </w:pPr>
      <w:r>
        <w:rPr>
          <w:rFonts w:ascii="Arial" w:cs="Arial" w:eastAsia="Arial" w:hAnsi="Arial"/>
          <w:sz w:val="22"/>
          <w:szCs w:val="22"/>
        </w:rPr>
        <w:t xml:space="preserve">Engagement Lead: [To Be Assigned]</w:t>
      </w:r>
    </w:p>
    <w:p>
      <w:pPr>
        <w:spacing w:after="100"/>
      </w:pPr>
      <w:r>
        <w:rPr>
          <w:rFonts w:ascii="Arial" w:cs="Arial" w:eastAsia="Arial" w:hAnsi="Arial"/>
          <w:b/>
          <w:bCs/>
          <w:color w:val="2B6B7D"/>
          <w:sz w:val="22"/>
          <w:szCs w:val="22"/>
        </w:rPr>
        <w:t xml:space="preserve">NFL IT Team (Required):</w:t>
      </w:r>
    </w:p>
    <w:p>
      <w:pPr>
        <w:pStyle w:val="ListParagraph"/>
        <w:numPr>
          <w:ilvl w:val="0"/>
          <w:numId w:val="2"/>
        </w:numPr>
      </w:pPr>
      <w:r>
        <w:rPr>
          <w:rFonts w:ascii="Arial" w:cs="Arial" w:eastAsia="Arial" w:hAnsi="Arial"/>
          <w:sz w:val="22"/>
          <w:szCs w:val="22"/>
        </w:rPr>
        <w:t xml:space="preserve">Executive Sponsor: [To Be Identified]</w:t>
      </w:r>
    </w:p>
    <w:p>
      <w:pPr>
        <w:pStyle w:val="ListParagraph"/>
        <w:numPr>
          <w:ilvl w:val="0"/>
          <w:numId w:val="2"/>
        </w:numPr>
      </w:pPr>
      <w:r>
        <w:rPr>
          <w:rFonts w:ascii="Arial" w:cs="Arial" w:eastAsia="Arial" w:hAnsi="Arial"/>
          <w:sz w:val="22"/>
          <w:szCs w:val="22"/>
        </w:rPr>
        <w:t xml:space="preserve">Project Lead: [To Be Identified]</w:t>
      </w:r>
    </w:p>
    <w:p>
      <w:pPr>
        <w:pStyle w:val="ListParagraph"/>
        <w:numPr>
          <w:ilvl w:val="0"/>
          <w:numId w:val="2"/>
        </w:numPr>
        <w:spacing w:after="200"/>
      </w:pPr>
      <w:r>
        <w:rPr>
          <w:rFonts w:ascii="Arial" w:cs="Arial" w:eastAsia="Arial" w:hAnsi="Arial"/>
          <w:sz w:val="22"/>
          <w:szCs w:val="22"/>
        </w:rPr>
        <w:t xml:space="preserve">GDA Program Representative: [To Be Identified]</w:t>
      </w:r>
    </w:p>
    <w:p>
      <w:r>
        <w:br w:type="page"/>
      </w:r>
    </w:p>
    <w:p>
      <w:pPr>
        <w:pStyle w:val="Heading1"/>
      </w:pPr>
      <w:r>
        <w:t xml:space="preserve">Appendix A: SIPE Methodology Reference</w:t>
      </w:r>
    </w:p>
    <w:p>
      <w:pPr>
        <w:spacing w:after="200"/>
      </w:pPr>
      <w:r>
        <w:rPr>
          <w:rFonts w:ascii="Arial" w:cs="Arial" w:eastAsia="Arial" w:hAnsi="Arial"/>
          <w:sz w:val="22"/>
          <w:szCs w:val="22"/>
        </w:rPr>
        <w:t xml:space="preserve">The Sentrais Innovation Playbook Engine (SIPE) is NOVATE's intelligence operating system that transforms raw engagement data into predictive insights, automated playbooks, and measurable outcomes. Key components relevant to this engagement:</w:t>
      </w:r>
    </w:p>
    <w:p>
      <w:pPr>
        <w:pStyle w:val="Heading3"/>
      </w:pPr>
      <w:r>
        <w:t xml:space="preserve">Evidence Ledger</w:t>
      </w:r>
    </w:p>
    <w:p>
      <w:pPr>
        <w:spacing w:after="200"/>
      </w:pPr>
      <w:r>
        <w:rPr>
          <w:rFonts w:ascii="Arial" w:cs="Arial" w:eastAsia="Arial" w:hAnsi="Arial"/>
          <w:sz w:val="22"/>
          <w:szCs w:val="22"/>
        </w:rPr>
        <w:t xml:space="preserve">Immutable audit trail for all decisions, providing forensic documentation and source-of-truth validation. All engagement activities are logged with timestamps, actors, and rationale.</w:t>
      </w:r>
    </w:p>
    <w:p>
      <w:pPr>
        <w:pStyle w:val="Heading3"/>
      </w:pPr>
      <w:r>
        <w:t xml:space="preserve">Stage Gate System</w:t>
      </w:r>
    </w:p>
    <w:p>
      <w:pPr>
        <w:spacing w:after="200"/>
      </w:pPr>
      <w:r>
        <w:rPr>
          <w:rFonts w:ascii="Arial" w:cs="Arial" w:eastAsia="Arial" w:hAnsi="Arial"/>
          <w:sz w:val="22"/>
          <w:szCs w:val="22"/>
        </w:rPr>
        <w:t xml:space="preserve">Structured phase transitions requiring documented evidence and KPI threshold validation. No phase advancement occurs without meeting exit criteria and executive approval.</w:t>
      </w:r>
    </w:p>
    <w:p>
      <w:pPr>
        <w:pStyle w:val="Heading3"/>
      </w:pPr>
      <w:r>
        <w:t xml:space="preserve">360 Modeling Framework</w:t>
      </w:r>
    </w:p>
    <w:p>
      <w:pPr>
        <w:spacing w:after="200"/>
      </w:pPr>
      <w:r>
        <w:rPr>
          <w:rFonts w:ascii="Arial" w:cs="Arial" w:eastAsia="Arial" w:hAnsi="Arial"/>
          <w:sz w:val="22"/>
          <w:szCs w:val="22"/>
        </w:rPr>
        <w:t xml:space="preserve">Comprehensive diagnostic approach examining challenges across six dimensions: Strategic, Operational, Technical, Cultural, Financial, and Ecosystem. Ensures no blind spots in analysis.</w:t>
      </w:r>
    </w:p>
    <w:p>
      <w:pPr>
        <w:pStyle w:val="Heading3"/>
      </w:pPr>
      <w:r>
        <w:t xml:space="preserve">Churn Prevention Intelligence</w:t>
      </w:r>
    </w:p>
    <w:p>
      <w:pPr>
        <w:spacing w:after="200"/>
      </w:pPr>
      <w:r>
        <w:rPr>
          <w:rFonts w:ascii="Arial" w:cs="Arial" w:eastAsia="Arial" w:hAnsi="Arial"/>
          <w:sz w:val="22"/>
          <w:szCs w:val="22"/>
        </w:rPr>
        <w:t xml:space="preserve">Predictive monitoring focused on the Diagnose/Design phases where 60% of engagement delays occur. Automated alerts and intervention protocols ensure proactive risk mitigation.</w:t>
      </w:r>
    </w:p>
    <w:p>
      <w:pPr>
        <w:spacing w:after="400"/>
      </w:pPr>
    </w:p>
    <w:p>
      <w:pPr>
        <w:pStyle w:val="Heading1"/>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sz w:val="20"/>
                <w:szCs w:val="20"/>
              </w:rPr>
              <w:t xml:space="preserve">Document ID</w:t>
            </w:r>
          </w:p>
        </w:tc>
        <w:tc>
          <w:tcPr>
            <w:tcW w:type="dxa" w:w="63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SIPE-NFL-EVERGAME-PROPOSAL-v1.0</w:t>
            </w:r>
          </w:p>
        </w:tc>
      </w:tr>
      <w:tr>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sz w:val="20"/>
                <w:szCs w:val="20"/>
              </w:rPr>
              <w:t xml:space="preserve">Version</w:t>
            </w:r>
          </w:p>
        </w:tc>
        <w:tc>
          <w:tcPr>
            <w:tcW w:type="dxa" w:w="63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1.0</w:t>
            </w:r>
          </w:p>
        </w:tc>
      </w:tr>
      <w:tr>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sz w:val="20"/>
                <w:szCs w:val="20"/>
              </w:rPr>
              <w:t xml:space="preserve">Release Date</w:t>
            </w:r>
          </w:p>
        </w:tc>
        <w:tc>
          <w:tcPr>
            <w:tcW w:type="dxa" w:w="63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January 2026</w:t>
            </w:r>
          </w:p>
        </w:tc>
      </w:tr>
      <w:tr>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sz w:val="20"/>
                <w:szCs w:val="20"/>
              </w:rPr>
              <w:t xml:space="preserve">Classification</w:t>
            </w:r>
          </w:p>
        </w:tc>
        <w:tc>
          <w:tcPr>
            <w:tcW w:type="dxa" w:w="63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NOVATE PROPRIETARY - CLIENT CONFIDENTIAL</w:t>
            </w:r>
          </w:p>
        </w:tc>
      </w:tr>
      <w:tr>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sz w:val="20"/>
                <w:szCs w:val="20"/>
              </w:rPr>
              <w:t xml:space="preserve">SIPE Reference</w:t>
            </w:r>
          </w:p>
        </w:tc>
        <w:tc>
          <w:tcPr>
            <w:tcW w:type="dxa" w:w="63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SIPE Core Architecture v1.0</w:t>
            </w:r>
          </w:p>
        </w:tc>
      </w:tr>
      <w:tr>
        <w:tc>
          <w:tcPr>
            <w:tcW w:type="dxa" w:w="3000"/>
            <w:tcBorders>
              <w:top w:val="single" w:color="E8ECF0" w:sz="1"/>
              <w:left w:val="single" w:color="E8ECF0" w:sz="1"/>
              <w:bottom w:val="single" w:color="E8ECF0" w:sz="1"/>
              <w:right w:val="single" w:color="E8ECF0" w:sz="1"/>
            </w:tcBorders>
            <w:shd w:fill="F5F7FA" w:val="clear"/>
            <w:tcMar>
              <w:top w:type="dxa" w:w="100"/>
              <w:left w:type="dxa" w:w="150"/>
              <w:bottom w:type="dxa" w:w="100"/>
              <w:right w:type="dxa" w:w="150"/>
            </w:tcMar>
          </w:tcPr>
          <w:p>
            <w:r>
              <w:rPr>
                <w:rFonts w:ascii="Arial" w:cs="Arial" w:eastAsia="Arial" w:hAnsi="Arial"/>
                <w:b/>
                <w:bCs/>
                <w:sz w:val="20"/>
                <w:szCs w:val="20"/>
              </w:rPr>
              <w:t xml:space="preserve">Next Review</w:t>
            </w:r>
          </w:p>
        </w:tc>
        <w:tc>
          <w:tcPr>
            <w:tcW w:type="dxa" w:w="6360"/>
            <w:tcBorders>
              <w:top w:val="single" w:color="E8ECF0" w:sz="1"/>
              <w:left w:val="single" w:color="E8ECF0" w:sz="1"/>
              <w:bottom w:val="single" w:color="E8ECF0" w:sz="1"/>
              <w:right w:val="single" w:color="E8ECF0" w:sz="1"/>
            </w:tcBorders>
            <w:shd w:fill="FFFFFF" w:val="clear"/>
            <w:tcMar>
              <w:top w:type="dxa" w:w="100"/>
              <w:left w:type="dxa" w:w="150"/>
              <w:bottom w:type="dxa" w:w="100"/>
              <w:right w:type="dxa" w:w="150"/>
            </w:tcMar>
            <w:vAlign w:val="center"/>
          </w:tcPr>
          <w:p>
            <w:r>
              <w:rPr>
                <w:rFonts w:ascii="Arial" w:cs="Arial" w:eastAsia="Arial" w:hAnsi="Arial"/>
                <w:color w:val="1B2B3D"/>
                <w:sz w:val="20"/>
                <w:szCs w:val="20"/>
              </w:rPr>
              <w:t xml:space="preserve">Upon Contract Execution</w:t>
            </w:r>
          </w:p>
        </w:tc>
      </w:tr>
    </w:tbl>
    <w:p>
      <w:pPr>
        <w:spacing w:after="400"/>
      </w:pPr>
    </w:p>
    <w:p>
      <w:pPr>
        <w:jc w:val="center"/>
      </w:pPr>
      <w:r>
        <w:rPr>
          <w:rFonts w:ascii="Arial" w:cs="Arial" w:eastAsia="Arial" w:hAnsi="Arial"/>
          <w:b/>
          <w:bCs/>
          <w:color w:val="2B6B7D"/>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B6B7D"/>
        <w:sz w:val="18"/>
        <w:szCs w:val="18"/>
      </w:rPr>
      <w:t xml:space="preserve">Page </w:t>
    </w:r>
    <w:r>
      <w:rPr>
        <w:rFonts w:ascii="Arial" w:cs="Arial" w:eastAsia="Arial" w:hAnsi="Arial"/>
        <w:color w:val="2B6B7D"/>
        <w:sz w:val="18"/>
        <w:szCs w:val="18"/>
      </w:rPr>
      <w:fldChar w:fldCharType="begin"/>
      <w:instrText xml:space="preserve">PAGE</w:instrText>
      <w:fldChar w:fldCharType="separate"/>
      <w:fldChar w:fldCharType="end"/>
    </w:r>
    <w:r>
      <w:rPr>
        <w:rFonts w:ascii="Arial" w:cs="Arial" w:eastAsia="Arial" w:hAnsi="Arial"/>
        <w:color w:val="2B6B7D"/>
        <w:sz w:val="18"/>
        <w:szCs w:val="18"/>
      </w:rPr>
      <w:t xml:space="preserve"> of </w:t>
    </w:r>
    <w:r>
      <w:rPr>
        <w:rFonts w:ascii="Arial" w:cs="Arial" w:eastAsia="Arial" w:hAnsi="Arial"/>
        <w:color w:val="2B6B7D"/>
        <w:sz w:val="18"/>
        <w:szCs w:val="18"/>
      </w:rPr>
      <w:fldChar w:fldCharType="begin"/>
      <w:instrText xml:space="preserve">NUMPAGES</w:instrText>
      <w:fldChar w:fldCharType="separate"/>
      <w:fldChar w:fldCharType="end"/>
    </w:r>
    <w:r>
      <w:rPr>
        <w:rFonts w:ascii="Arial" w:cs="Arial" w:eastAsia="Arial" w:hAnsi="Arial"/>
        <w:color w:val="E8ECF0"/>
        <w:sz w:val="18"/>
        <w:szCs w:val="18"/>
      </w:rPr>
      <w:t xml:space="preserve">  |  SIPE-NFL-EG-PROPOSAL-v1.0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2B6B7D"/>
        <w:sz w:val="18"/>
        <w:szCs w:val="18"/>
      </w:rPr>
      <w:t xml:space="preserve">NFL EVERGAME Phase II Implementation Proposal</w:t>
    </w:r>
    <w:r>
      <w:rPr>
        <w:rFonts w:ascii="Arial" w:cs="Arial" w:eastAsia="Arial" w:hAnsi="Arial"/>
        <w:color w:val="E8ECF0"/>
        <w:sz w:val="18"/>
        <w:szCs w:val="18"/>
      </w:rPr>
      <w:t xml:space="preserve">  |  </w:t>
    </w:r>
    <w:r>
      <w:rPr>
        <w:rFonts w:ascii="Arial" w:cs="Arial" w:eastAsia="Arial" w:hAnsi="Arial"/>
        <w:b/>
        <w:bCs/>
        <w:color w:val="00A5B5"/>
        <w:sz w:val="18"/>
        <w:szCs w:val="18"/>
      </w:rPr>
      <w:t xml:space="preserve">NOVATE PROPRIETARY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B3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B415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6B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2026-01-08T23:19:45.510Z</dcterms:created>
  <dcterms:modified xsi:type="dcterms:W3CDTF">2026-01-08T23:19:45.511Z</dcterms:modified>
</cp:coreProperties>
</file>

<file path=docProps/custom.xml><?xml version="1.0" encoding="utf-8"?>
<Properties xmlns="http://schemas.openxmlformats.org/officeDocument/2006/custom-properties" xmlns:vt="http://schemas.openxmlformats.org/officeDocument/2006/docPropsVTypes"/>
</file>