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A2B4C"/>
          <w:sz w:val="48"/>
          <w:szCs w:val="48"/>
        </w:rPr>
        <w:t xml:space="preserve">MASTER SERVICES AGREEMENT</w:t>
      </w:r>
    </w:p>
    <w:p>
      <w:pPr>
        <w:spacing w:after="240"/>
        <w:jc w:val="center"/>
      </w:pPr>
      <w:r>
        <w:rPr>
          <w:b/>
          <w:bCs/>
          <w:color w:val="2B5A8F"/>
          <w:sz w:val="36"/>
          <w:szCs w:val="36"/>
        </w:rPr>
        <w:t xml:space="preserve">NFL EVERGAME Phase II</w:t>
      </w:r>
    </w:p>
    <w:p>
      <w:pPr>
        <w:spacing w:after="240"/>
        <w:jc w:val="center"/>
      </w:pPr>
      <w:r>
        <w:rPr>
          <w:color w:val="2E8B8B"/>
          <w:sz w:val="28"/>
          <w:szCs w:val="28"/>
        </w:rPr>
        <w:t xml:space="preserve">4-Year Strategic Platform Partnership</w:t>
      </w:r>
    </w:p>
    <w:p>
      <w:pPr>
        <w:spacing w:after="1440"/>
        <w:jc w:val="center"/>
      </w:pPr>
      <w:r>
        <w:rPr>
          <w:i/>
          <w:iCs/>
          <w:color w:val="666666"/>
          <w:sz w:val="22"/>
          <w:szCs w:val="22"/>
        </w:rPr>
        <w:t xml:space="preserve">Powered by SIPE (Sentrais Innovation Playbook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2B4C" w:val="clear"/>
            <w:tcMar>
              <w:top w:type="dxa" w:w="120"/>
              <w:left w:type="dxa" w:w="180"/>
              <w:bottom w:type="dxa" w:w="120"/>
              <w:right w:type="dxa" w:w="180"/>
            </w:tcMar>
          </w:tcPr>
          <w:p>
            <w:r>
              <w:rPr>
                <w:b/>
                <w:bCs/>
                <w:color w:val="FFFFFF"/>
                <w:sz w:val="20"/>
                <w:szCs w:val="20"/>
              </w:rPr>
              <w:t xml:space="preserve">EFFECTIVE DATE</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Upon full execution by both parties (anticipated April 1, 2026)</w:t>
            </w:r>
          </w:p>
        </w:tc>
      </w:tr>
      <w:tr>
        <w:tc>
          <w:tcPr>
            <w:tcW w:type="dxa" w:w="3120"/>
            <w:tcBorders>
              <w:top w:val="single" w:color="CCCCCC" w:sz="1"/>
              <w:left w:val="single" w:color="CCCCCC" w:sz="1"/>
              <w:bottom w:val="single" w:color="CCCCCC" w:sz="1"/>
              <w:right w:val="single" w:color="CCCCCC" w:sz="1"/>
            </w:tcBorders>
            <w:shd w:fill="2B5A8F" w:val="clear"/>
            <w:tcMar>
              <w:top w:type="dxa" w:w="120"/>
              <w:left w:type="dxa" w:w="180"/>
              <w:bottom w:type="dxa" w:w="120"/>
              <w:right w:type="dxa" w:w="180"/>
            </w:tcMar>
          </w:tcPr>
          <w:p>
            <w:r>
              <w:rPr>
                <w:b/>
                <w:bCs/>
                <w:color w:val="FFFFFF"/>
                <w:sz w:val="20"/>
                <w:szCs w:val="20"/>
              </w:rPr>
              <w:t xml:space="preserve">INITIAL TERM</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48 months (April 1, 2026 through March 31, 2030)</w:t>
            </w:r>
          </w:p>
        </w:tc>
      </w:tr>
      <w:tr>
        <w:tc>
          <w:tcPr>
            <w:tcW w:type="dxa" w:w="3120"/>
            <w:tcBorders>
              <w:top w:val="single" w:color="CCCCCC" w:sz="1"/>
              <w:left w:val="single" w:color="CCCCCC" w:sz="1"/>
              <w:bottom w:val="single" w:color="CCCCCC" w:sz="1"/>
              <w:right w:val="single" w:color="CCCCCC" w:sz="1"/>
            </w:tcBorders>
            <w:shd w:fill="2E8B8B" w:val="clear"/>
            <w:tcMar>
              <w:top w:type="dxa" w:w="120"/>
              <w:left w:type="dxa" w:w="180"/>
              <w:bottom w:type="dxa" w:w="120"/>
              <w:right w:type="dxa" w:w="180"/>
            </w:tcMar>
          </w:tcPr>
          <w:p>
            <w:r>
              <w:rPr>
                <w:b/>
                <w:bCs/>
                <w:color w:val="FFFFFF"/>
                <w:sz w:val="20"/>
                <w:szCs w:val="20"/>
              </w:rPr>
              <w:t xml:space="preserve">CONTRACT PRICE</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sz w:val="22"/>
                <w:szCs w:val="22"/>
              </w:rPr>
              <w:t xml:space="preserve">$1,500,000 (One-time, Year 1 payment covering 4-year platform license)</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sz w:val="20"/>
                <w:szCs w:val="20"/>
              </w:rPr>
              <w:t xml:space="preserve">INFRASTRUCTURE</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sz w:val="22"/>
                <w:szCs w:val="22"/>
              </w:rPr>
              <w:t xml:space="preserve">Billed separately (actual AWS costs + 15% admin fee, ~$480K/year est.)</w:t>
            </w:r>
          </w:p>
        </w:tc>
      </w:tr>
      <w:tr>
        <w:tc>
          <w:tcPr>
            <w:tcW w:type="dxa" w:w="312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sz w:val="20"/>
                <w:szCs w:val="20"/>
              </w:rPr>
              <w:t xml:space="preserve">PARTNERSHIP DISCOUNT</w:t>
            </w:r>
          </w:p>
        </w:tc>
        <w:tc>
          <w:tcPr>
            <w:tcW w:type="dxa" w:w="624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color w:val="9AA44D"/>
                <w:sz w:val="22"/>
                <w:szCs w:val="22"/>
              </w:rPr>
              <w:t xml:space="preserve">$4,595,000 (75% discount from standard $6,095,000 value)</w:t>
            </w:r>
          </w:p>
        </w:tc>
      </w:tr>
    </w:tbl>
    <w:p>
      <w:r>
        <w:br w:type="page"/>
      </w:r>
    </w:p>
    <w:p>
      <w:pPr>
        <w:pStyle w:val="Heading1"/>
      </w:pPr>
      <w:r>
        <w:rPr>
          <w:color w:val="1A2B4C"/>
        </w:rPr>
        <w:t xml:space="preserve">TABLE OF CONTENTS</w:t>
      </w:r>
    </w:p>
    <w:p>
      <w:pPr>
        <w:spacing w:before="240" w:after="120"/>
      </w:pPr>
      <w:r>
        <w:rPr>
          <w:sz w:val="22"/>
          <w:szCs w:val="22"/>
        </w:rPr>
        <w:t xml:space="preserve">1. DEFINITIONS AND INTERPRETATION</w:t>
      </w:r>
    </w:p>
    <w:p>
      <w:pPr>
        <w:spacing w:before="120" w:after="120"/>
      </w:pPr>
      <w:r>
        <w:rPr>
          <w:sz w:val="22"/>
          <w:szCs w:val="22"/>
        </w:rPr>
        <w:t xml:space="preserve">2. SERVICES AND DELIVERABLES</w:t>
      </w:r>
    </w:p>
    <w:p>
      <w:pPr>
        <w:spacing w:before="120" w:after="120"/>
      </w:pPr>
      <w:r>
        <w:rPr>
          <w:sz w:val="22"/>
          <w:szCs w:val="22"/>
        </w:rPr>
        <w:t xml:space="preserve">3. FEES AND PAYMENT TERMS</w:t>
      </w:r>
    </w:p>
    <w:p>
      <w:pPr>
        <w:spacing w:before="120" w:after="120"/>
      </w:pPr>
      <w:r>
        <w:rPr>
          <w:sz w:val="22"/>
          <w:szCs w:val="22"/>
        </w:rPr>
        <w:t xml:space="preserve">4. INFRASTRUCTURE SERVICES</w:t>
      </w:r>
    </w:p>
    <w:p>
      <w:pPr>
        <w:spacing w:before="120" w:after="120"/>
      </w:pPr>
      <w:r>
        <w:rPr>
          <w:sz w:val="22"/>
          <w:szCs w:val="22"/>
        </w:rPr>
        <w:t xml:space="preserve">5. CLIENT PREREQUISITES AND SHARED ACCOUNTABILITY</w:t>
      </w:r>
    </w:p>
    <w:p>
      <w:pPr>
        <w:spacing w:before="120" w:after="120"/>
      </w:pPr>
      <w:r>
        <w:rPr>
          <w:sz w:val="22"/>
          <w:szCs w:val="22"/>
        </w:rPr>
        <w:t xml:space="preserve">6. STADIUM CERTIFICATION MODULE - CRITICAL PATH PROVISIONS</w:t>
      </w:r>
    </w:p>
    <w:p>
      <w:pPr>
        <w:spacing w:before="120" w:after="120"/>
      </w:pPr>
      <w:r>
        <w:rPr>
          <w:sz w:val="22"/>
          <w:szCs w:val="22"/>
        </w:rPr>
        <w:t xml:space="preserve">7. SERVICE LEVEL AGREEMENTS</w:t>
      </w:r>
    </w:p>
    <w:p>
      <w:pPr>
        <w:spacing w:before="120" w:after="120"/>
      </w:pPr>
      <w:r>
        <w:rPr>
          <w:sz w:val="22"/>
          <w:szCs w:val="22"/>
        </w:rPr>
        <w:t xml:space="preserve">8. INTELLECTUAL PROPERTY AND SOURCE CODE ESCROW</w:t>
      </w:r>
    </w:p>
    <w:p>
      <w:pPr>
        <w:spacing w:before="120" w:after="120"/>
      </w:pPr>
      <w:r>
        <w:rPr>
          <w:sz w:val="22"/>
          <w:szCs w:val="22"/>
        </w:rPr>
        <w:t xml:space="preserve">9. TERM, RENEWAL, AND TERMINATION</w:t>
      </w:r>
    </w:p>
    <w:p>
      <w:pPr>
        <w:spacing w:before="120" w:after="120"/>
      </w:pPr>
      <w:r>
        <w:rPr>
          <w:sz w:val="22"/>
          <w:szCs w:val="22"/>
        </w:rPr>
        <w:t xml:space="preserve">10. BREACH AND REMEDIES</w:t>
      </w:r>
    </w:p>
    <w:p>
      <w:pPr>
        <w:spacing w:before="120" w:after="120"/>
      </w:pPr>
      <w:r>
        <w:rPr>
          <w:sz w:val="22"/>
          <w:szCs w:val="22"/>
        </w:rPr>
        <w:t xml:space="preserve">11. CHANGE ORDER GOVERNANCE</w:t>
      </w:r>
    </w:p>
    <w:p>
      <w:pPr>
        <w:spacing w:before="120" w:after="120"/>
      </w:pPr>
      <w:r>
        <w:rPr>
          <w:sz w:val="22"/>
          <w:szCs w:val="22"/>
        </w:rPr>
        <w:t xml:space="preserve">12. CONFIDENTIALITY AND DATA PROTECTION</w:t>
      </w:r>
    </w:p>
    <w:p>
      <w:pPr>
        <w:spacing w:before="120" w:after="120"/>
      </w:pPr>
      <w:r>
        <w:rPr>
          <w:sz w:val="22"/>
          <w:szCs w:val="22"/>
        </w:rPr>
        <w:t xml:space="preserve">13. WARRANTIES AND DISCLAIMERS</w:t>
      </w:r>
    </w:p>
    <w:p>
      <w:pPr>
        <w:spacing w:before="120" w:after="120"/>
      </w:pPr>
      <w:r>
        <w:rPr>
          <w:sz w:val="22"/>
          <w:szCs w:val="22"/>
        </w:rPr>
        <w:t xml:space="preserve">14. LIMITATION OF LIABILITY</w:t>
      </w:r>
    </w:p>
    <w:p>
      <w:pPr>
        <w:spacing w:before="120" w:after="120"/>
      </w:pPr>
      <w:r>
        <w:rPr>
          <w:sz w:val="22"/>
          <w:szCs w:val="22"/>
        </w:rPr>
        <w:t xml:space="preserve">15. GENERAL PROVISIONS</w:t>
      </w:r>
    </w:p>
    <w:p>
      <w:pPr>
        <w:spacing w:before="120" w:after="120"/>
      </w:pPr>
      <w:r>
        <w:rPr>
          <w:b/>
          <w:bCs/>
          <w:sz w:val="22"/>
          <w:szCs w:val="22"/>
        </w:rPr>
        <w:t xml:space="preserve">SCHEDULES AND EXHIBITS</w:t>
      </w:r>
    </w:p>
    <w:p>
      <w:r>
        <w:br w:type="page"/>
      </w:r>
    </w:p>
    <w:p>
      <w:pPr>
        <w:pStyle w:val="Heading1"/>
      </w:pPr>
      <w:r>
        <w:rPr>
          <w:color w:val="1A2B4C"/>
        </w:rPr>
        <w:t xml:space="preserve">MASTER SERVICES AGREEMENT</w:t>
      </w:r>
    </w:p>
    <w:p>
      <w:pPr>
        <w:spacing w:before="240" w:after="240"/>
      </w:pPr>
      <w:r>
        <w:rPr>
          <w:sz w:val="22"/>
          <w:szCs w:val="22"/>
        </w:rPr>
        <w:t xml:space="preserve">This Master Services Agreement ("Agreement") is entered into as of the Effective Date stated on the cover page ("Effective Date") by and between: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vAlign w:val="center"/>
          </w:tcPr>
          <w:p>
            <w:r>
              <w:rPr>
                <w:b/>
                <w:bCs/>
                <w:sz w:val="22"/>
                <w:szCs w:val="22"/>
              </w:rPr>
              <w:t xml:space="preserve">CLIENT:</w:t>
            </w:r>
          </w:p>
        </w:tc>
        <w:tc>
          <w:tcPr>
            <w:tcW w:type="dxa" w:w="7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sz w:val="22"/>
                <w:szCs w:val="22"/>
              </w:rPr>
              <w:t xml:space="preserve">NATIONAL FOOTBALL LEAGUE</w:t>
            </w:r>
          </w:p>
          <w:p>
            <w:r>
              <w:rPr>
                <w:sz w:val="20"/>
                <w:szCs w:val="20"/>
              </w:rPr>
              <w:t xml:space="preserve">345 Park Avenue, New York, NY 10154</w:t>
            </w:r>
          </w:p>
          <w:p>
            <w:r>
              <w:rPr>
                <w:i/>
                <w:iCs/>
                <w:sz w:val="20"/>
                <w:szCs w:val="20"/>
              </w:rPr>
              <w:t xml:space="preserve">("NFL" or "Client")</w:t>
            </w:r>
          </w:p>
        </w:tc>
      </w:tr>
      <w:tr>
        <w:tc>
          <w:tcPr>
            <w:tcW w:type="dxa" w:w="15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vAlign w:val="center"/>
          </w:tcPr>
          <w:p>
            <w:r>
              <w:rPr>
                <w:b/>
                <w:bCs/>
                <w:sz w:val="22"/>
                <w:szCs w:val="22"/>
              </w:rPr>
              <w:t xml:space="preserve">PROVIDER:</w:t>
            </w:r>
          </w:p>
        </w:tc>
        <w:tc>
          <w:tcPr>
            <w:tcW w:type="dxa" w:w="7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sz w:val="22"/>
                <w:szCs w:val="22"/>
              </w:rPr>
              <w:t xml:space="preserve">NOVATE LABS, INC.</w:t>
            </w:r>
          </w:p>
          <w:p>
            <w:r>
              <w:rPr>
                <w:sz w:val="20"/>
                <w:szCs w:val="20"/>
              </w:rPr>
              <w:t xml:space="preserve">[NOVATE Address] ("NOVATE" or "Provider")</w:t>
            </w:r>
          </w:p>
          <w:p>
            <w:r>
              <w:rPr>
                <w:i/>
                <w:iCs/>
                <w:color w:val="2E8B8B"/>
                <w:sz w:val="20"/>
                <w:szCs w:val="20"/>
              </w:rPr>
              <w:t xml:space="preserve">Powered by Sentrais™ Innovation Platform</w:t>
            </w:r>
          </w:p>
        </w:tc>
      </w:tr>
    </w:tbl>
    <w:p>
      <w:pPr>
        <w:spacing w:before="360" w:after="240"/>
      </w:pPr>
      <w:r>
        <w:rPr>
          <w:sz w:val="22"/>
          <w:szCs w:val="22"/>
        </w:rPr>
        <w:t xml:space="preserve">WHEREAS, NFL desires to engage NOVATE to provide technology platform services, implementation support, and managed services for the EVERGAME Phase II initiative; and</w:t>
      </w:r>
    </w:p>
    <w:p>
      <w:pPr>
        <w:spacing w:after="240"/>
      </w:pPr>
      <w:r>
        <w:rPr>
          <w:sz w:val="22"/>
          <w:szCs w:val="22"/>
        </w:rPr>
        <w:t xml:space="preserve">WHEREAS, NOVATE has developed proprietary platform capabilities powered by the Sentrais Innovation Playbook Engine (SIPE) and desires to provide such services to NFL; and</w:t>
      </w:r>
    </w:p>
    <w:p>
      <w:pPr>
        <w:spacing w:after="360"/>
      </w:pPr>
      <w:r>
        <w:rPr>
          <w:sz w:val="22"/>
          <w:szCs w:val="22"/>
        </w:rPr>
        <w:t xml:space="preserve">WHEREAS, the parties desire to establish the terms and conditions governing the provision of such services;</w:t>
      </w:r>
    </w:p>
    <w:p>
      <w:pPr>
        <w:spacing w:after="240"/>
      </w:pPr>
      <w:r>
        <w:rPr>
          <w:b/>
          <w:bCs/>
          <w:sz w:val="22"/>
          <w:szCs w:val="22"/>
        </w:rPr>
        <w:t xml:space="preserve">NOW, THEREFORE, in consideration of the mutual covenants and agreements contained herein, and for other good and valuable consideration, the receipt and sufficiency of which are hereby acknowledged, the parties agree as follows:</w:t>
      </w:r>
    </w:p>
    <w:p>
      <w:r>
        <w:br w:type="page"/>
      </w:r>
    </w:p>
    <w:p>
      <w:pPr>
        <w:pStyle w:val="Heading1"/>
      </w:pPr>
      <w:r>
        <w:rPr>
          <w:color w:val="1A2B4C"/>
        </w:rPr>
        <w:t xml:space="preserve">1. DEFINITIONS AND INTERPRETATION</w:t>
      </w:r>
    </w:p>
    <w:p>
      <w:pPr>
        <w:spacing w:before="240" w:after="180"/>
      </w:pPr>
      <w:r>
        <w:rPr>
          <w:b/>
          <w:bCs/>
          <w:sz w:val="22"/>
          <w:szCs w:val="22"/>
        </w:rPr>
        <w:t xml:space="preserve">1.1 Definitions. </w:t>
      </w:r>
      <w:r>
        <w:rPr>
          <w:sz w:val="22"/>
          <w:szCs w:val="22"/>
        </w:rPr>
        <w:t xml:space="preserve">The following terms shall have the meanings set forth below:</w:t>
      </w:r>
    </w:p>
    <w:p>
      <w:pPr>
        <w:spacing w:before="120" w:after="120" w:line="360"/>
      </w:pPr>
      <w:r>
        <w:rPr>
          <w:b/>
          <w:bCs/>
          <w:sz w:val="22"/>
          <w:szCs w:val="22"/>
        </w:rPr>
        <w:t xml:space="preserve">"Contract Price" </w:t>
      </w:r>
      <w:r>
        <w:rPr>
          <w:sz w:val="22"/>
          <w:szCs w:val="22"/>
        </w:rPr>
        <w:t xml:space="preserve">means $1,500,000 (One Million Five Hundred Thousand US Dollars), payable in Year 1 in accordance with Section 3 (Fees and Payment Terms), covering Platform Modules, Implementation Services, and Managed Services for the four (4) year Initial Term.</w:t>
      </w:r>
    </w:p>
    <w:p>
      <w:pPr>
        <w:spacing w:before="120" w:after="120" w:line="360"/>
      </w:pPr>
      <w:r>
        <w:rPr>
          <w:b/>
          <w:bCs/>
          <w:sz w:val="22"/>
          <w:szCs w:val="22"/>
        </w:rPr>
        <w:t xml:space="preserve">"Platform Modules" </w:t>
      </w:r>
      <w:r>
        <w:rPr>
          <w:sz w:val="22"/>
          <w:szCs w:val="22"/>
        </w:rPr>
        <w:t xml:space="preserve">means the three (3) technology modules specified in the Statement of Work: (i) Stadium Certification Module, (ii) GDA Synchronization Enhancement, and (iii) IT Events Integration Module, collectively providing workflow automation, data integration, and compliance tracking capabilities.</w:t>
      </w:r>
    </w:p>
    <w:p>
      <w:pPr>
        <w:spacing w:before="120" w:after="120" w:line="360"/>
      </w:pPr>
      <w:r>
        <w:rPr>
          <w:b/>
          <w:bCs/>
          <w:sz w:val="22"/>
          <w:szCs w:val="22"/>
        </w:rPr>
        <w:t xml:space="preserve">"SIPE" </w:t>
      </w:r>
      <w:r>
        <w:rPr>
          <w:sz w:val="22"/>
          <w:szCs w:val="22"/>
        </w:rPr>
        <w:t xml:space="preserve">means the Sentrais Innovation Playbook Engine, NOVATE's proprietary methodology framework incorporating the N-Ovate Innovation Nexus (NIN), 360 Modeling diagnostic approach, Evidence Ledger documentation system, and Stage Gate governance protocols.</w:t>
      </w:r>
    </w:p>
    <w:p>
      <w:pPr>
        <w:spacing w:before="120" w:after="120" w:line="360"/>
      </w:pPr>
      <w:r>
        <w:rPr>
          <w:b/>
          <w:bCs/>
          <w:sz w:val="22"/>
          <w:szCs w:val="22"/>
        </w:rPr>
        <w:t xml:space="preserve">"Managed Services" </w:t>
      </w:r>
      <w:r>
        <w:rPr>
          <w:sz w:val="22"/>
          <w:szCs w:val="22"/>
        </w:rPr>
        <w:t xml:space="preserve">means the ongoing technical support, system maintenance, security patching, performance monitoring, and Service Level Agreement (SLA) coverage provided by NOVATE for Platform Modules in their "as-is" operational state, explicitly excluding feature development, enhancements, training, and recertification services.</w:t>
      </w:r>
    </w:p>
    <w:p>
      <w:pPr>
        <w:spacing w:before="120" w:after="120" w:line="360"/>
      </w:pPr>
      <w:r>
        <w:rPr>
          <w:b/>
          <w:bCs/>
          <w:sz w:val="22"/>
          <w:szCs w:val="22"/>
        </w:rPr>
        <w:t xml:space="preserve">"Infrastructure Services" </w:t>
      </w:r>
      <w:r>
        <w:rPr>
          <w:sz w:val="22"/>
          <w:szCs w:val="22"/>
        </w:rPr>
        <w:t xml:space="preserve">means AWS cloud infrastructure provisioning, configuration, management, and optimization services billed separately from the Contract Price as described in Section 4.</w:t>
      </w:r>
    </w:p>
    <w:p>
      <w:pPr>
        <w:spacing w:before="120" w:after="120" w:line="360"/>
      </w:pPr>
      <w:r>
        <w:rPr>
          <w:b/>
          <w:bCs/>
          <w:sz w:val="22"/>
          <w:szCs w:val="22"/>
        </w:rPr>
        <w:t xml:space="preserve">"Evidence Ledger" </w:t>
      </w:r>
      <w:r>
        <w:rPr>
          <w:sz w:val="22"/>
          <w:szCs w:val="22"/>
        </w:rPr>
        <w:t xml:space="preserve">means NOVATE's immutable audit trail system documenting all project decisions, deliverables, approvals, delays, and root cause attributions with timestamps, responsible parties, and supporting evidence.</w:t>
      </w:r>
    </w:p>
    <w:p>
      <w:pPr>
        <w:spacing w:before="120" w:after="120" w:line="360"/>
      </w:pPr>
      <w:r>
        <w:rPr>
          <w:b/>
          <w:bCs/>
          <w:sz w:val="22"/>
          <w:szCs w:val="22"/>
        </w:rPr>
        <w:t xml:space="preserve">"Stage Gate" </w:t>
      </w:r>
      <w:r>
        <w:rPr>
          <w:sz w:val="22"/>
          <w:szCs w:val="22"/>
        </w:rPr>
        <w:t xml:space="preserve">means structured phase transition review requiring documented evidence, KPI threshold validation, and executive approval before advancing from one project phase to the next, as defined in the SIPE methodology.</w:t>
      </w:r>
    </w:p>
    <w:p>
      <w:pPr>
        <w:spacing w:before="120" w:after="120" w:line="360"/>
      </w:pPr>
      <w:r>
        <w:rPr>
          <w:b/>
          <w:bCs/>
          <w:sz w:val="22"/>
          <w:szCs w:val="22"/>
        </w:rPr>
        <w:t xml:space="preserve">"Change Order" </w:t>
      </w:r>
      <w:r>
        <w:rPr>
          <w:sz w:val="22"/>
          <w:szCs w:val="22"/>
        </w:rPr>
        <w:t xml:space="preserve">means a written modification to the scope of Services, deliverables, timeline, or fees, executed in accordance with Section 11 (Change Order Governance).</w:t>
      </w:r>
    </w:p>
    <w:p>
      <w:pPr>
        <w:spacing w:before="120" w:after="120" w:line="360"/>
      </w:pPr>
      <w:r>
        <w:rPr>
          <w:b/>
          <w:bCs/>
          <w:sz w:val="22"/>
          <w:szCs w:val="22"/>
        </w:rPr>
        <w:t xml:space="preserve">"Optional Services" </w:t>
      </w:r>
      <w:r>
        <w:rPr>
          <w:sz w:val="22"/>
          <w:szCs w:val="22"/>
        </w:rPr>
        <w:t xml:space="preserve">means services explicitly excluded from the Contract Price and available only through executed Change Orders, as enumerated in Schedule D (Optional Services Price List), including but not limited to training programs, annual recertification, extended discovery, and custom development.</w:t>
      </w:r>
    </w:p>
    <w:p>
      <w:pPr>
        <w:spacing w:before="120" w:after="120" w:line="360"/>
      </w:pPr>
      <w:r>
        <w:rPr>
          <w:b/>
          <w:bCs/>
          <w:sz w:val="22"/>
          <w:szCs w:val="22"/>
        </w:rPr>
        <w:t xml:space="preserve">"Critical Path Deliverable" </w:t>
      </w:r>
      <w:r>
        <w:rPr>
          <w:sz w:val="22"/>
          <w:szCs w:val="22"/>
        </w:rPr>
        <w:t xml:space="preserve">means the Stadium Certification Module deployment by March 31, 2026, subject to enhanced provisions in Section 6.</w:t>
      </w:r>
    </w:p>
    <w:p>
      <w:r>
        <w:br w:type="page"/>
      </w:r>
    </w:p>
    <w:p>
      <w:pPr>
        <w:pStyle w:val="Heading1"/>
      </w:pPr>
      <w:r>
        <w:rPr>
          <w:color w:val="1A2B4C"/>
        </w:rPr>
        <w:t xml:space="preserve">2. SERVICES AND DELIVERABLES</w:t>
      </w:r>
    </w:p>
    <w:p>
      <w:pPr>
        <w:pStyle w:val="Heading2"/>
      </w:pPr>
      <w:r>
        <w:rPr>
          <w:color w:val="2B5A8F"/>
        </w:rPr>
        <w:t xml:space="preserve">2.1 Platform Modules (4-Year License)</w:t>
      </w:r>
    </w:p>
    <w:p>
      <w:pPr>
        <w:spacing w:before="180" w:after="180"/>
      </w:pPr>
      <w:r>
        <w:rPr>
          <w:sz w:val="22"/>
          <w:szCs w:val="22"/>
        </w:rPr>
        <w:t xml:space="preserve">NOVATE shall provide Client with a four (4) year license to access, use, and operate the following Platform Modules:</w:t>
      </w:r>
    </w:p>
    <w:p>
      <w:pPr>
        <w:spacing w:before="120" w:after="120" w:line="360"/>
      </w:pPr>
      <w:r>
        <w:rPr>
          <w:b/>
          <w:bCs/>
          <w:sz w:val="22"/>
          <w:szCs w:val="22"/>
        </w:rPr>
        <w:t xml:space="preserve">(a) Stadium Certification Module: </w:t>
      </w:r>
      <w:r>
        <w:rPr>
          <w:sz w:val="22"/>
          <w:szCs w:val="22"/>
        </w:rPr>
        <w:t xml:space="preserve">Compliance workflow automation, document management with audit trails, certification status tracking and reporting across all 32 NFL stadiums, multi-stakeholder approval routing, and automated evidence capture for regulatory compliance.</w:t>
      </w:r>
    </w:p>
    <w:p>
      <w:pPr>
        <w:spacing w:before="120" w:after="120" w:line="360"/>
      </w:pPr>
      <w:r>
        <w:rPr>
          <w:b/>
          <w:bCs/>
          <w:sz w:val="22"/>
          <w:szCs w:val="22"/>
        </w:rPr>
        <w:t xml:space="preserve">(b) GDA Synchronization Enhancement: </w:t>
      </w:r>
      <w:r>
        <w:rPr>
          <w:sz w:val="22"/>
          <w:szCs w:val="22"/>
        </w:rPr>
        <w:t xml:space="preserve">Real-time data synchronization with existing GDA platform, unified cross-module reporting and analytics, workflow orchestration, and bi-directional data exchange via secure API integration.</w:t>
      </w:r>
    </w:p>
    <w:p>
      <w:pPr>
        <w:spacing w:before="120" w:after="120" w:line="360"/>
      </w:pPr>
      <w:r>
        <w:rPr>
          <w:b/>
          <w:bCs/>
          <w:sz w:val="22"/>
          <w:szCs w:val="22"/>
        </w:rPr>
        <w:t xml:space="preserve">(c) IT Events Integration Module: </w:t>
      </w:r>
      <w:r>
        <w:rPr>
          <w:sz w:val="22"/>
          <w:szCs w:val="22"/>
        </w:rPr>
        <w:t xml:space="preserve">Event request submission and approval workflows, resource allocation and scheduling automation, service level tracking with escalation protocols, and integration with existing IT service management systems.</w:t>
      </w:r>
    </w:p>
    <w:p>
      <w:pPr>
        <w:spacing w:before="120" w:after="120" w:line="360"/>
      </w:pPr>
      <w:r>
        <w:rPr>
          <w:b/>
          <w:bCs/>
          <w:sz w:val="22"/>
          <w:szCs w:val="22"/>
        </w:rPr>
        <w:t xml:space="preserve">(d) 360 Modeling Execution Environment: </w:t>
      </w:r>
      <w:r>
        <w:rPr>
          <w:sz w:val="22"/>
          <w:szCs w:val="22"/>
        </w:rPr>
        <w:t xml:space="preserve">Diagnostic framework examining Strategic, Operational, Technical, Cultural, Financial, and Ecosystem dimensions; Evidence Ledger and decision documentation system; Stage Gate review automation; and stakeholder engagement tracking (NOVATE-hosted environment, no direct Client access required).</w:t>
      </w:r>
    </w:p>
    <w:p>
      <w:pPr>
        <w:pStyle w:val="Heading2"/>
        <w:spacing w:before="360"/>
      </w:pPr>
      <w:r>
        <w:rPr>
          <w:color w:val="2B5A8F"/>
        </w:rPr>
        <w:t xml:space="preserve">2.2 Implementation Services (Year 1, One-Time)</w:t>
      </w:r>
    </w:p>
    <w:p>
      <w:pPr>
        <w:spacing w:before="180" w:after="180"/>
      </w:pPr>
      <w:r>
        <w:rPr>
          <w:sz w:val="22"/>
          <w:szCs w:val="22"/>
        </w:rPr>
        <w:t xml:space="preserve">NOVATE shall provide the following implementation services during Year 1:</w:t>
      </w:r>
    </w:p>
    <w:p>
      <w:pPr>
        <w:spacing w:before="120" w:after="120" w:line="360"/>
      </w:pPr>
      <w:r>
        <w:rPr>
          <w:b/>
          <w:bCs/>
          <w:sz w:val="22"/>
          <w:szCs w:val="22"/>
        </w:rPr>
        <w:t xml:space="preserve">(a) Project Management: </w:t>
      </w:r>
      <w:r>
        <w:rPr>
          <w:sz w:val="22"/>
          <w:szCs w:val="22"/>
        </w:rPr>
        <w:t xml:space="preserve">One (1) dedicated NOVATE coordinator/facilitator, weekly progress reporting, stakeholder coordination, risk and issue management, Evidence Ledger maintenance, and Stage Gate review facilitation.</w:t>
      </w:r>
    </w:p>
    <w:p>
      <w:pPr>
        <w:spacing w:before="120" w:after="120" w:line="360"/>
      </w:pPr>
      <w:r>
        <w:rPr>
          <w:b/>
          <w:bCs/>
          <w:sz w:val="22"/>
          <w:szCs w:val="22"/>
        </w:rPr>
        <w:t xml:space="preserve">(b) Technical Deployment: </w:t>
      </w:r>
      <w:r>
        <w:rPr>
          <w:sz w:val="22"/>
          <w:szCs w:val="22"/>
        </w:rPr>
        <w:t xml:space="preserve">Infrastructure provisioning and configuration (billed separately under Section 4), platform installation and customization, integration development and testing with existing NFL systems, and data migration where applicable.</w:t>
      </w:r>
    </w:p>
    <w:p>
      <w:pPr>
        <w:spacing w:before="120" w:after="120" w:line="360"/>
      </w:pPr>
      <w:r>
        <w:rPr>
          <w:b/>
          <w:bCs/>
          <w:sz w:val="22"/>
          <w:szCs w:val="22"/>
        </w:rPr>
        <w:t xml:space="preserve">(c) Go-Live Support: </w:t>
      </w:r>
      <w:r>
        <w:rPr>
          <w:sz w:val="22"/>
          <w:szCs w:val="22"/>
        </w:rPr>
        <w:t xml:space="preserve">Five (5) business days on-site support per Platform Module (15 days total), thirty (30) day hypercare period post-launch for each module, immediate issue resolution and performance tuning, and knowledge transfer to NFL technical staff.</w:t>
      </w:r>
    </w:p>
    <w:p>
      <w:pPr>
        <w:spacing w:before="180" w:after="180"/>
      </w:pPr>
      <w:r>
        <w:rPr>
          <w:b/>
          <w:bCs/>
          <w:color w:val="2E8B8B"/>
          <w:sz w:val="22"/>
          <w:szCs w:val="22"/>
        </w:rPr>
        <w:t xml:space="preserve">Client acknowledges that Implementation Services are contingent upon Client providing deliverables specified in Schedule C (Client Deliverables Matrix) within designated timeframes. Failure to provide such deliverables shall result in timeline extensions as described in Section 5.</w:t>
      </w:r>
    </w:p>
    <w:p>
      <w:pPr>
        <w:pStyle w:val="Heading2"/>
        <w:spacing w:before="360"/>
      </w:pPr>
      <w:r>
        <w:rPr>
          <w:color w:val="2B5A8F"/>
        </w:rPr>
        <w:t xml:space="preserve">2.3 Managed Services (Years 1-4, Continuous)</w:t>
      </w:r>
    </w:p>
    <w:p>
      <w:pPr>
        <w:spacing w:before="180" w:after="180"/>
      </w:pPr>
      <w:r>
        <w:rPr>
          <w:sz w:val="22"/>
          <w:szCs w:val="22"/>
        </w:rPr>
        <w:t xml:space="preserve">NOVATE shall provide continuous Managed Services throughout the four (4) year Initial Term, consisting of:</w:t>
      </w:r>
    </w:p>
    <w:p>
      <w:pPr>
        <w:spacing w:before="120" w:after="120" w:line="360"/>
      </w:pPr>
      <w:r>
        <w:rPr>
          <w:b/>
          <w:bCs/>
          <w:sz w:val="22"/>
          <w:szCs w:val="22"/>
        </w:rPr>
        <w:t xml:space="preserve">(a) Technical Support (24/7/365): </w:t>
      </w:r>
      <w:r>
        <w:rPr>
          <w:sz w:val="22"/>
          <w:szCs w:val="22"/>
        </w:rPr>
        <w:t xml:space="preserve">Tier 1 help desk support via email, phone, and chat; Tier 2 technical troubleshooting and diagnosis; Tier 3 engineering escalation for critical issues; response times as specified in Section 7 (Service Level Agreements).</w:t>
      </w:r>
    </w:p>
    <w:p>
      <w:pPr>
        <w:spacing w:before="120" w:after="120" w:line="360"/>
      </w:pPr>
      <w:r>
        <w:rPr>
          <w:b/>
          <w:bCs/>
          <w:sz w:val="22"/>
          <w:szCs w:val="22"/>
        </w:rPr>
        <w:t xml:space="preserve">(b) System Maintenance: </w:t>
      </w:r>
      <w:r>
        <w:rPr>
          <w:sz w:val="22"/>
          <w:szCs w:val="22"/>
        </w:rPr>
        <w:t xml:space="preserve">Security patching and vulnerability management, platform updates and bug fixes, performance monitoring and optimization, database maintenance and backup management.</w:t>
      </w:r>
    </w:p>
    <w:p>
      <w:pPr>
        <w:spacing w:before="120" w:after="120" w:line="360"/>
      </w:pPr>
      <w:r>
        <w:rPr>
          <w:b/>
          <w:bCs/>
          <w:sz w:val="22"/>
          <w:szCs w:val="22"/>
        </w:rPr>
        <w:t xml:space="preserve">(c) SLA Coverage: </w:t>
      </w:r>
      <w:r>
        <w:rPr>
          <w:sz w:val="22"/>
          <w:szCs w:val="22"/>
        </w:rPr>
        <w:t xml:space="preserve">99.5% monthly uptime guarantee across all Platform Modules (measured collectively), service credits for SLA failures as specified in Section 7, root cause analysis and remediation for all incidents, monthly uptime reporting.</w:t>
      </w:r>
    </w:p>
    <w:p>
      <w:pPr>
        <w:spacing w:before="180" w:after="180"/>
      </w:pPr>
      <w:r>
        <w:rPr>
          <w:b/>
          <w:bCs/>
          <w:sz w:val="22"/>
          <w:szCs w:val="22"/>
          <w:u w:val="single"/>
        </w:rPr>
        <w:t xml:space="preserve">"Platform-as-is" Limitation: </w:t>
      </w:r>
      <w:r>
        <w:rPr>
          <w:i/>
          <w:iCs/>
          <w:sz w:val="22"/>
          <w:szCs w:val="22"/>
        </w:rPr>
        <w:t xml:space="preserve">Managed Services support Platform Modules in their current operational state only. Feature enhancements, custom development, training programs, recertification services, and process consulting are explicitly excluded and available only through Change Orders per Section 11. Standard maintenance updates that do not alter core functionality are included.</w:t>
      </w:r>
    </w:p>
    <w:p>
      <w:r>
        <w:br w:type="page"/>
      </w:r>
    </w:p>
    <w:p>
      <w:pPr>
        <w:pStyle w:val="Heading2"/>
      </w:pPr>
      <w:r>
        <w:rPr>
          <w:color w:val="2B5A8F"/>
        </w:rPr>
        <w:t xml:space="preserve">2.4 Explicitly Excluded Services</w:t>
      </w:r>
    </w:p>
    <w:p>
      <w:pPr>
        <w:spacing w:before="180" w:after="180"/>
      </w:pPr>
      <w:r>
        <w:rPr>
          <w:b/>
          <w:bCs/>
          <w:sz w:val="22"/>
          <w:szCs w:val="22"/>
        </w:rPr>
        <w:t xml:space="preserve">The following services are NOT included in the Contract Price and are available only through executed Change Orders at the pricing specified in Schedule D (Optional Services Price List):</w:t>
      </w:r>
    </w:p>
    <w:p>
      <w:pPr>
        <w:spacing w:before="120" w:after="120" w:line="360"/>
      </w:pPr>
      <w:r>
        <w:rPr>
          <w:b/>
          <w:bCs/>
          <w:sz w:val="22"/>
          <w:szCs w:val="22"/>
        </w:rPr>
        <w:t xml:space="preserve">(a) Training &amp; Enablement: </w:t>
      </w:r>
      <w:r>
        <w:rPr>
          <w:sz w:val="22"/>
          <w:szCs w:val="22"/>
        </w:rPr>
        <w:t xml:space="preserve">End-user training programs, train-the-trainer sessions, custom training material development, on-site training at 32 stadiums, virtual training series.</w:t>
      </w:r>
    </w:p>
    <w:p>
      <w:pPr>
        <w:spacing w:before="120" w:after="120" w:line="360"/>
      </w:pPr>
      <w:r>
        <w:rPr>
          <w:b/>
          <w:bCs/>
          <w:sz w:val="22"/>
          <w:szCs w:val="22"/>
        </w:rPr>
        <w:t xml:space="preserve">(b) Annual Recertification: </w:t>
      </w:r>
      <w:r>
        <w:rPr>
          <w:sz w:val="22"/>
          <w:szCs w:val="22"/>
        </w:rPr>
        <w:t xml:space="preserve">Stadium Certification annual renewal audits, compliance documentation updates, recertification testing and validation.</w:t>
      </w:r>
    </w:p>
    <w:p>
      <w:pPr>
        <w:spacing w:before="120" w:after="120" w:line="360"/>
      </w:pPr>
      <w:r>
        <w:rPr>
          <w:b/>
          <w:bCs/>
          <w:sz w:val="22"/>
          <w:szCs w:val="22"/>
        </w:rPr>
        <w:t xml:space="preserve">(c) Extended Discovery &amp; Process Mapping: </w:t>
      </w:r>
      <w:r>
        <w:rPr>
          <w:sz w:val="22"/>
          <w:szCs w:val="22"/>
        </w:rPr>
        <w:t xml:space="preserve">Current-state process documentation, future-state workflow design, Six Sigma 5D/8D analysis, change management strategy development.</w:t>
      </w:r>
    </w:p>
    <w:p>
      <w:pPr>
        <w:spacing w:before="120" w:after="120" w:line="360"/>
      </w:pPr>
      <w:r>
        <w:rPr>
          <w:b/>
          <w:bCs/>
          <w:sz w:val="22"/>
          <w:szCs w:val="22"/>
        </w:rPr>
        <w:t xml:space="preserve">(d) Custom Development: </w:t>
      </w:r>
      <w:r>
        <w:rPr>
          <w:sz w:val="22"/>
          <w:szCs w:val="22"/>
        </w:rPr>
        <w:t xml:space="preserve">Feature development beyond specified Platform Modules, third-party integrations not enumerated in Statement of Work, custom reporting and analytics beyond standard capabilities.</w:t>
      </w:r>
    </w:p>
    <w:p>
      <w:pPr>
        <w:spacing w:before="180" w:after="180"/>
      </w:pPr>
      <w:r>
        <w:rPr>
          <w:i/>
          <w:iCs/>
          <w:color w:val="2E8B8B"/>
          <w:sz w:val="22"/>
          <w:szCs w:val="22"/>
        </w:rPr>
        <w:t xml:space="preserve">Client acknowledges that the discounted Contract Price is predicated on the defined scope in Sections 2.1-2.3. Optional Services pricing in Schedule D represents standard commercial rates not subject to the Partnership Discount.</w:t>
      </w:r>
    </w:p>
    <w:p>
      <w:r>
        <w:br w:type="page"/>
      </w:r>
    </w:p>
    <w:p>
      <w:pPr>
        <w:pStyle w:val="Heading1"/>
      </w:pPr>
      <w:r>
        <w:rPr>
          <w:color w:val="1A2B4C"/>
        </w:rPr>
        <w:t xml:space="preserve">3. FEES AND PAYMENT TERMS</w:t>
      </w:r>
    </w:p>
    <w:p>
      <w:pPr>
        <w:pStyle w:val="Heading2"/>
      </w:pPr>
      <w:r>
        <w:rPr>
          <w:color w:val="2B5A8F"/>
        </w:rPr>
        <w:t xml:space="preserve">3.1 Contract Price</w:t>
      </w:r>
    </w:p>
    <w:p>
      <w:pPr>
        <w:spacing w:before="180" w:after="180"/>
      </w:pPr>
      <w:r>
        <w:rPr>
          <w:b/>
          <w:bCs/>
          <w:sz w:val="22"/>
          <w:szCs w:val="22"/>
        </w:rPr>
        <w:t xml:space="preserve">The total Contract Price for all Services described in Section 2 is $1,500,000 (One Million Five Hundred Thousand US Dollars), payable in Year 1 only. This one-time payment covers Platform Module licensing, Implementation Services, and Managed Services for the entire four (4) year Initial Term. No additional platform fees shall be due in Years 2-4.</w:t>
      </w:r>
    </w:p>
    <w:p>
      <w:pPr>
        <w:pStyle w:val="Heading2"/>
        <w:spacing w:before="360"/>
      </w:pPr>
      <w:r>
        <w:rPr>
          <w:color w:val="2B5A8F"/>
        </w:rPr>
        <w:t xml:space="preserve">3.2 Payment Schedule</w:t>
      </w:r>
    </w:p>
    <w:p>
      <w:pPr>
        <w:spacing w:before="180" w:after="180"/>
      </w:pPr>
      <w:r>
        <w:rPr>
          <w:sz w:val="22"/>
          <w:szCs w:val="22"/>
        </w:rPr>
        <w:t xml:space="preserve">Payment terms are Net 15 (fifteen) from invoice date. The Contract Price shall be invoiced and paid according to the following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B4C" w:val="clear"/>
            <w:tcMar>
              <w:top w:type="dxa" w:w="120"/>
              <w:left w:type="dxa" w:w="120"/>
              <w:bottom w:type="dxa" w:w="120"/>
              <w:right w:type="dxa" w:w="120"/>
            </w:tcMar>
          </w:tcPr>
          <w:p>
            <w:pPr>
              <w:jc w:val="center"/>
            </w:pPr>
            <w:r>
              <w:rPr>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A2B4C" w:val="clear"/>
            <w:tcMar>
              <w:top w:type="dxa" w:w="120"/>
              <w:left w:type="dxa" w:w="120"/>
              <w:bottom w:type="dxa" w:w="120"/>
              <w:right w:type="dxa" w:w="120"/>
            </w:tcMar>
          </w:tcPr>
          <w:p>
            <w:pPr>
              <w:jc w:val="center"/>
            </w:pPr>
            <w:r>
              <w:rPr>
                <w:b/>
                <w:bCs/>
                <w:color w:val="FFFFFF"/>
                <w:sz w:val="20"/>
                <w:szCs w:val="20"/>
              </w:rPr>
              <w:t xml:space="preserve">TARGET DATE</w:t>
            </w:r>
          </w:p>
        </w:tc>
        <w:tc>
          <w:tcPr>
            <w:tcW w:type="dxa" w:w="2340"/>
            <w:tcBorders>
              <w:top w:val="single" w:color="CCCCCC" w:sz="1"/>
              <w:left w:val="single" w:color="CCCCCC" w:sz="1"/>
              <w:bottom w:val="single" w:color="CCCCCC" w:sz="1"/>
              <w:right w:val="single" w:color="CCCCCC" w:sz="1"/>
            </w:tcBorders>
            <w:shd w:fill="1A2B4C" w:val="clear"/>
            <w:tcMar>
              <w:top w:type="dxa" w:w="120"/>
              <w:left w:type="dxa" w:w="120"/>
              <w:bottom w:type="dxa" w:w="120"/>
              <w:right w:type="dxa" w:w="120"/>
            </w:tcMar>
          </w:tcPr>
          <w:p>
            <w:pPr>
              <w:jc w:val="center"/>
            </w:pPr>
            <w:r>
              <w:rPr>
                <w:b/>
                <w:bCs/>
                <w:color w:val="FFFFFF"/>
                <w:sz w:val="20"/>
                <w:szCs w:val="20"/>
              </w:rPr>
              <w:t xml:space="preserve">PAYMENT AMOUNT</w:t>
            </w:r>
          </w:p>
        </w:tc>
        <w:tc>
          <w:tcPr>
            <w:tcW w:type="dxa" w:w="2340"/>
            <w:tcBorders>
              <w:top w:val="single" w:color="CCCCCC" w:sz="1"/>
              <w:left w:val="single" w:color="CCCCCC" w:sz="1"/>
              <w:bottom w:val="single" w:color="CCCCCC" w:sz="1"/>
              <w:right w:val="single" w:color="CCCCCC" w:sz="1"/>
            </w:tcBorders>
            <w:shd w:fill="1A2B4C" w:val="clear"/>
            <w:tcMar>
              <w:top w:type="dxa" w:w="120"/>
              <w:left w:type="dxa" w:w="120"/>
              <w:bottom w:type="dxa" w:w="120"/>
              <w:right w:type="dxa" w:w="120"/>
            </w:tcMar>
          </w:tcPr>
          <w:p>
            <w:pPr>
              <w:jc w:val="center"/>
            </w:pPr>
            <w:r>
              <w:rPr>
                <w:b/>
                <w:bCs/>
                <w:color w:val="FFFFFF"/>
                <w:sz w:val="20"/>
                <w:szCs w:val="20"/>
              </w:rPr>
              <w:t xml:space="preserve">CUMULATIVE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sz w:val="20"/>
                <w:szCs w:val="20"/>
              </w:rPr>
              <w:t xml:space="preserve">Contract Execution</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Within 15 days of execution</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right"/>
            </w:pPr>
            <w:r>
              <w:rPr>
                <w:b/>
                <w:bCs/>
                <w:sz w:val="20"/>
                <w:szCs w:val="20"/>
              </w:rPr>
              <w:t xml:space="preserve">$1,050,000</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right"/>
            </w:pPr>
            <w:r>
              <w:rPr>
                <w:sz w:val="20"/>
                <w:szCs w:val="20"/>
              </w:rPr>
              <w:t xml:space="preserve">$1,050,000</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Stadium Certification Go-Live</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March 31, 2026</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right"/>
            </w:pPr>
            <w:r>
              <w:rPr>
                <w:b/>
                <w:bCs/>
                <w:sz w:val="20"/>
                <w:szCs w:val="20"/>
              </w:rPr>
              <w:t xml:space="preserve">$225,000</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right"/>
            </w:pPr>
            <w:r>
              <w:rPr>
                <w:sz w:val="20"/>
                <w:szCs w:val="20"/>
              </w:rPr>
              <w:t xml:space="preserve">$1,275,000</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GDA Sync Complete</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June 30, 2026</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right"/>
            </w:pPr>
            <w:r>
              <w:rPr>
                <w:b/>
                <w:bCs/>
                <w:sz w:val="20"/>
                <w:szCs w:val="20"/>
              </w:rPr>
              <w:t xml:space="preserve">$112,500</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pPr>
              <w:jc w:val="right"/>
            </w:pPr>
            <w:r>
              <w:rPr>
                <w:sz w:val="20"/>
                <w:szCs w:val="20"/>
              </w:rPr>
              <w:t xml:space="preserve">$1,387,500</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IT Events Complete</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sz w:val="20"/>
                <w:szCs w:val="20"/>
              </w:rPr>
              <w:t xml:space="preserve">September 30, 2026</w:t>
            </w:r>
          </w:p>
        </w:tc>
        <w:tc>
          <w:tcPr>
            <w:tcW w:type="dxa" w:w="234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right"/>
            </w:pPr>
            <w:r>
              <w:rPr>
                <w:b/>
                <w:bCs/>
                <w:sz w:val="20"/>
                <w:szCs w:val="20"/>
              </w:rPr>
              <w:t xml:space="preserve">$112,500</w:t>
            </w:r>
          </w:p>
        </w:tc>
        <w:tc>
          <w:tcPr>
            <w:tcW w:type="dxa" w:w="2340"/>
            <w:tcBorders>
              <w:top w:val="single" w:color="CCCCCC" w:sz="1"/>
              <w:left w:val="single" w:color="CCCCCC" w:sz="1"/>
              <w:bottom w:val="single" w:color="CCCCCC" w:sz="1"/>
              <w:right w:val="single" w:color="CCCCCC" w:sz="1"/>
            </w:tcBorders>
            <w:shd w:fill="9AA44D" w:val="clear"/>
            <w:tcMar>
              <w:top w:type="dxa" w:w="120"/>
              <w:left w:type="dxa" w:w="120"/>
              <w:bottom w:type="dxa" w:w="120"/>
              <w:right w:type="dxa" w:w="120"/>
            </w:tcMar>
          </w:tcPr>
          <w:p>
            <w:pPr>
              <w:jc w:val="right"/>
            </w:pPr>
            <w:r>
              <w:rPr>
                <w:b/>
                <w:bCs/>
                <w:sz w:val="20"/>
                <w:szCs w:val="20"/>
              </w:rPr>
              <w:t xml:space="preserve">$1,500,000</w:t>
            </w:r>
          </w:p>
        </w:tc>
      </w:tr>
    </w:tbl>
    <w:p>
      <w:pPr>
        <w:spacing w:before="240" w:after="180"/>
      </w:pPr>
      <w:r>
        <w:rPr>
          <w:b/>
          <w:bCs/>
          <w:sz w:val="22"/>
          <w:szCs w:val="22"/>
        </w:rPr>
        <w:t xml:space="preserve">Rationale for Front-Loaded Payment Structure: </w:t>
      </w:r>
      <w:r>
        <w:rPr>
          <w:i/>
          <w:iCs/>
          <w:sz w:val="22"/>
          <w:szCs w:val="22"/>
        </w:rPr>
        <w:t xml:space="preserve">In consideration of the substantial Partnership Discount ($4,595,000, representing 75% off standard pricing) and the Critical Path Deliverable deadline of March 31, 2026, NOVATE requires accelerated payment terms. The 70% upfront payment ($1,050,000) offsets NOVATE's upfront infrastructure provisioning costs, resource allocation, and deployment risk associated with the Stadium Certification hard deadline. This front-loaded structure de-risks NOVATE while providing Client with exceptional value over the four (4) year term.</w:t>
      </w:r>
    </w:p>
    <w:p>
      <w:r>
        <w:br w:type="page"/>
      </w:r>
    </w:p>
    <w:p>
      <w:pPr>
        <w:pStyle w:val="Heading2"/>
      </w:pPr>
      <w:r>
        <w:rPr>
          <w:color w:val="2B5A8F"/>
        </w:rPr>
        <w:t xml:space="preserve">3.3 Invoice Procedures</w:t>
      </w:r>
    </w:p>
    <w:p>
      <w:pPr>
        <w:spacing w:before="180" w:after="120"/>
      </w:pPr>
      <w:r>
        <w:rPr>
          <w:sz w:val="22"/>
          <w:szCs w:val="22"/>
        </w:rPr>
        <w:t xml:space="preserve">All invoices shall be submitted electronically to NFL's designated Accounts Payable contact. Payment is due within fifteen (15) calendar days from invoice date ("Net 15"). Payments received after the due date shall accrue interest at the rate of 1.5% per month (18% per annum) or the maximum rate permitted by law, whichever is lower.</w:t>
      </w:r>
    </w:p>
    <w:p>
      <w:pPr>
        <w:pStyle w:val="Heading2"/>
        <w:spacing w:before="360"/>
      </w:pPr>
      <w:r>
        <w:rPr>
          <w:color w:val="2B5A8F"/>
        </w:rPr>
        <w:t xml:space="preserve">3.4 Partnership Discount Valuation</w:t>
      </w:r>
    </w:p>
    <w:p>
      <w:pPr>
        <w:spacing w:before="180" w:after="180"/>
      </w:pPr>
      <w:r>
        <w:rPr>
          <w:sz w:val="22"/>
          <w:szCs w:val="22"/>
        </w:rPr>
        <w:t xml:space="preserve">The Contract Price reflects NOVATE's Partnership Discount structure, calculated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sz w:val="20"/>
                <w:szCs w:val="20"/>
              </w:rPr>
              <w:t xml:space="preserve">Platform Modules (4-year license at standard rates)</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right"/>
            </w:pPr>
            <w:r>
              <w:rPr>
                <w:sz w:val="20"/>
                <w:szCs w:val="20"/>
              </w:rPr>
              <w:t xml:space="preserve">$3,800,000</w:t>
            </w:r>
          </w:p>
        </w:tc>
      </w:tr>
      <w:tr>
        <w:tc>
          <w:tcPr>
            <w:tcW w:type="dxa" w:w="624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sz w:val="20"/>
                <w:szCs w:val="20"/>
              </w:rPr>
              <w:t xml:space="preserve">Managed Services (4-year coverage at standard rates)</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right"/>
            </w:pPr>
            <w:r>
              <w:rPr>
                <w:sz w:val="20"/>
                <w:szCs w:val="20"/>
              </w:rPr>
              <w:t xml:space="preserve">$1,550,000</w:t>
            </w:r>
          </w:p>
        </w:tc>
      </w:tr>
      <w:tr>
        <w:tc>
          <w:tcPr>
            <w:tcW w:type="dxa" w:w="624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sz w:val="20"/>
                <w:szCs w:val="20"/>
              </w:rPr>
              <w:t xml:space="preserve">Implementation Services (one-time, standard rates)</w:t>
            </w:r>
          </w:p>
        </w:tc>
        <w:tc>
          <w:tcPr>
            <w:tcW w:type="dxa" w:w="312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jc w:val="right"/>
            </w:pPr>
            <w:r>
              <w:rPr>
                <w:sz w:val="20"/>
                <w:szCs w:val="20"/>
              </w:rPr>
              <w:t xml:space="preserve">$745,000</w:t>
            </w:r>
          </w:p>
        </w:tc>
      </w:tr>
      <w:tr>
        <w:tc>
          <w:tcPr>
            <w:tcW w:type="dxa" w:w="6240"/>
            <w:tcBorders>
              <w:top w:val="single" w:color="CCCCCC" w:sz="1"/>
              <w:left w:val="single" w:color="CCCCCC" w:sz="1"/>
              <w:bottom w:val="single" w:color="CCCCCC" w:sz="1"/>
              <w:right w:val="single" w:color="CCCCCC" w:sz="1"/>
            </w:tcBorders>
            <w:shd w:fill="1A2B4C" w:val="clear"/>
            <w:tcMar>
              <w:top w:type="dxa" w:w="120"/>
              <w:left w:type="dxa" w:w="180"/>
              <w:bottom w:type="dxa" w:w="120"/>
              <w:right w:type="dxa" w:w="180"/>
            </w:tcMar>
          </w:tcPr>
          <w:p>
            <w:r>
              <w:rPr>
                <w:b/>
                <w:bCs/>
                <w:color w:val="FFFFFF"/>
                <w:sz w:val="20"/>
                <w:szCs w:val="20"/>
              </w:rPr>
              <w:t xml:space="preserve">TOTAL STANDARD VALUE</w:t>
            </w:r>
          </w:p>
        </w:tc>
        <w:tc>
          <w:tcPr>
            <w:tcW w:type="dxa" w:w="3120"/>
            <w:tcBorders>
              <w:top w:val="single" w:color="CCCCCC" w:sz="1"/>
              <w:left w:val="single" w:color="CCCCCC" w:sz="1"/>
              <w:bottom w:val="single" w:color="CCCCCC" w:sz="1"/>
              <w:right w:val="single" w:color="CCCCCC" w:sz="1"/>
            </w:tcBorders>
            <w:shd w:fill="1A2B4C" w:val="clear"/>
            <w:tcMar>
              <w:top w:type="dxa" w:w="120"/>
              <w:left w:type="dxa" w:w="180"/>
              <w:bottom w:type="dxa" w:w="120"/>
              <w:right w:type="dxa" w:w="180"/>
            </w:tcMar>
          </w:tcPr>
          <w:p>
            <w:pPr>
              <w:jc w:val="right"/>
            </w:pPr>
            <w:r>
              <w:rPr>
                <w:b/>
                <w:bCs/>
                <w:color w:val="FFFFFF"/>
                <w:sz w:val="20"/>
                <w:szCs w:val="20"/>
              </w:rPr>
              <w:t xml:space="preserve">$6,095,000</w:t>
            </w:r>
          </w:p>
        </w:tc>
      </w:tr>
      <w:tr>
        <w:tc>
          <w:tcPr>
            <w:tcW w:type="dxa" w:w="6240"/>
            <w:tcBorders>
              <w:top w:val="single" w:color="CCCCCC" w:sz="1"/>
              <w:left w:val="single" w:color="CCCCCC" w:sz="1"/>
              <w:bottom w:val="single" w:color="CCCCCC" w:sz="1"/>
              <w:right w:val="single" w:color="CCCCCC" w:sz="1"/>
            </w:tcBorders>
            <w:shd w:fill="2E8B8B" w:val="clear"/>
            <w:tcMar>
              <w:top w:type="dxa" w:w="120"/>
              <w:left w:type="dxa" w:w="180"/>
              <w:bottom w:type="dxa" w:w="120"/>
              <w:right w:type="dxa" w:w="180"/>
            </w:tcMar>
          </w:tcPr>
          <w:p>
            <w:r>
              <w:rPr>
                <w:b/>
                <w:bCs/>
                <w:color w:val="FFFFFF"/>
                <w:sz w:val="20"/>
                <w:szCs w:val="20"/>
              </w:rPr>
              <w:t xml:space="preserve">PARTNERSHIP DISCOUNT</w:t>
            </w:r>
          </w:p>
        </w:tc>
        <w:tc>
          <w:tcPr>
            <w:tcW w:type="dxa" w:w="3120"/>
            <w:tcBorders>
              <w:top w:val="single" w:color="CCCCCC" w:sz="1"/>
              <w:left w:val="single" w:color="CCCCCC" w:sz="1"/>
              <w:bottom w:val="single" w:color="CCCCCC" w:sz="1"/>
              <w:right w:val="single" w:color="CCCCCC" w:sz="1"/>
            </w:tcBorders>
            <w:shd w:fill="2E8B8B" w:val="clear"/>
            <w:tcMar>
              <w:top w:type="dxa" w:w="120"/>
              <w:left w:type="dxa" w:w="180"/>
              <w:bottom w:type="dxa" w:w="120"/>
              <w:right w:type="dxa" w:w="180"/>
            </w:tcMar>
          </w:tcPr>
          <w:p>
            <w:pPr>
              <w:jc w:val="right"/>
            </w:pPr>
            <w:r>
              <w:rPr>
                <w:b/>
                <w:bCs/>
                <w:color w:val="FFFFFF"/>
                <w:sz w:val="20"/>
                <w:szCs w:val="20"/>
              </w:rPr>
              <w:t xml:space="preserve">($4,595,000)</w:t>
            </w:r>
          </w:p>
        </w:tc>
      </w:tr>
      <w:tr>
        <w:tc>
          <w:tcPr>
            <w:tcW w:type="dxa" w:w="6240"/>
            <w:tcBorders>
              <w:top w:val="single" w:color="CCCCCC" w:sz="1"/>
              <w:left w:val="single" w:color="CCCCCC" w:sz="1"/>
              <w:bottom w:val="single" w:color="CCCCCC" w:sz="1"/>
              <w:right w:val="single" w:color="CCCCCC" w:sz="1"/>
            </w:tcBorders>
            <w:shd w:fill="9AA44D" w:val="clear"/>
            <w:tcMar>
              <w:top w:type="dxa" w:w="120"/>
              <w:left w:type="dxa" w:w="180"/>
              <w:bottom w:type="dxa" w:w="120"/>
              <w:right w:type="dxa" w:w="180"/>
            </w:tcMar>
          </w:tcPr>
          <w:p>
            <w:r>
              <w:rPr>
                <w:b/>
                <w:bCs/>
                <w:sz w:val="22"/>
                <w:szCs w:val="22"/>
              </w:rPr>
              <w:t xml:space="preserve">CONTRACT PRICE (75% Discount)</w:t>
            </w:r>
          </w:p>
        </w:tc>
        <w:tc>
          <w:tcPr>
            <w:tcW w:type="dxa" w:w="3120"/>
            <w:tcBorders>
              <w:top w:val="single" w:color="CCCCCC" w:sz="1"/>
              <w:left w:val="single" w:color="CCCCCC" w:sz="1"/>
              <w:bottom w:val="single" w:color="CCCCCC" w:sz="1"/>
              <w:right w:val="single" w:color="CCCCCC" w:sz="1"/>
            </w:tcBorders>
            <w:shd w:fill="9AA44D" w:val="clear"/>
            <w:tcMar>
              <w:top w:type="dxa" w:w="120"/>
              <w:left w:type="dxa" w:w="180"/>
              <w:bottom w:type="dxa" w:w="120"/>
              <w:right w:type="dxa" w:w="180"/>
            </w:tcMar>
          </w:tcPr>
          <w:p>
            <w:pPr>
              <w:jc w:val="right"/>
            </w:pPr>
            <w:r>
              <w:rPr>
                <w:b/>
                <w:bCs/>
                <w:sz w:val="22"/>
                <w:szCs w:val="22"/>
              </w:rPr>
              <w:t xml:space="preserve">$1,500,000</w:t>
            </w:r>
          </w:p>
        </w:tc>
      </w:tr>
    </w:tbl>
    <w:p>
      <w:pPr>
        <w:spacing w:before="240" w:after="180"/>
      </w:pPr>
      <w:r>
        <w:rPr>
          <w:i/>
          <w:iCs/>
          <w:color w:val="2E8B8B"/>
          <w:sz w:val="22"/>
          <w:szCs w:val="22"/>
        </w:rPr>
        <w:t xml:space="preserve">Client acknowledges that the Contract Price represents exceptional value reflecting NOVATE's strategic partnership objectives with NFL. This pricing structure is contingent upon the scope limitations defined in Section 2 and Client's fulfillment of prerequisites specified in Section 5.</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CCCCCC" w:sz="1"/>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left"/>
          </w:pPr>
          <w:r>
            <w:rPr>
              <w:color w:val="666666"/>
              <w:sz w:val="16"/>
              <w:szCs w:val="16"/>
            </w:rPr>
            <w:t xml:space="preserve">NOVATE PROPRIETARY - CONFIDENTIAL</w:t>
          </w:r>
        </w:p>
      </w:tc>
      <w:tc>
        <w:tcPr>
          <w:tcW w:type="pct" w:w="50%"/>
          <w:tcBorders>
            <w:top w:val="none" w:color="FFFFFF" w:sz="0"/>
            <w:left w:val="none" w:color="FFFFFF" w:sz="0"/>
            <w:bottom w:val="none" w:color="FFFFFF" w:sz="0"/>
            <w:right w:val="none" w:color="FFFFFF" w:sz="0"/>
          </w:tcBorders>
        </w:tcPr>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NFL EVERGAME Phase II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lvl w:ilvl="2" w15:tentative="1">
      <w:start w:val="1"/>
      <w:numFmt w:val="lowerLetter"/>
      <w:lvlText w:val="(%3)"/>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B4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B5A8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2026-01-30T18:18:24.137Z</dcterms:created>
  <dcterms:modified xsi:type="dcterms:W3CDTF">2026-01-30T18:18:24.138Z</dcterms:modified>
</cp:coreProperties>
</file>

<file path=docProps/custom.xml><?xml version="1.0" encoding="utf-8"?>
<Properties xmlns="http://schemas.openxmlformats.org/officeDocument/2006/custom-properties" xmlns:vt="http://schemas.openxmlformats.org/officeDocument/2006/docPropsVTypes"/>
</file>