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E9333" w14:textId="77777777" w:rsidR="004D43FB" w:rsidRDefault="00000000">
      <w:pPr>
        <w:spacing w:after="100"/>
      </w:pPr>
      <w:r>
        <w:rPr>
          <w:b/>
          <w:bCs/>
          <w:color w:val="0A1E3D"/>
          <w:sz w:val="32"/>
          <w:szCs w:val="32"/>
        </w:rPr>
        <w:t>SENTRAIS</w:t>
      </w:r>
    </w:p>
    <w:p w14:paraId="1EF20331" w14:textId="77777777" w:rsidR="004D43FB" w:rsidRDefault="004D43FB">
      <w:pPr>
        <w:pBdr>
          <w:bottom w:val="single" w:sz="12" w:space="0" w:color="17A2B8"/>
        </w:pBdr>
        <w:spacing w:after="400"/>
      </w:pPr>
    </w:p>
    <w:p w14:paraId="45712559" w14:textId="77777777" w:rsidR="004D43FB" w:rsidRDefault="00000000">
      <w:pPr>
        <w:spacing w:after="100"/>
        <w:jc w:val="center"/>
      </w:pPr>
      <w:r>
        <w:rPr>
          <w:color w:val="CC0000"/>
          <w:sz w:val="18"/>
          <w:szCs w:val="18"/>
        </w:rPr>
        <w:t>CONFIDENTIAL</w:t>
      </w:r>
    </w:p>
    <w:p w14:paraId="20B2AA2A" w14:textId="77777777" w:rsidR="004D43FB" w:rsidRDefault="00000000">
      <w:pPr>
        <w:spacing w:after="100"/>
        <w:jc w:val="center"/>
      </w:pPr>
      <w:r>
        <w:rPr>
          <w:color w:val="1A5276"/>
          <w:sz w:val="20"/>
          <w:szCs w:val="20"/>
        </w:rPr>
        <w:t>STRATEGIC PARTNERSHIP PROPOSAL</w:t>
      </w:r>
    </w:p>
    <w:p w14:paraId="0136D724" w14:textId="77777777" w:rsidR="004D43FB" w:rsidRDefault="00000000">
      <w:pPr>
        <w:spacing w:after="200"/>
        <w:jc w:val="center"/>
      </w:pPr>
      <w:r>
        <w:rPr>
          <w:b/>
          <w:bCs/>
          <w:color w:val="0A1E3D"/>
          <w:sz w:val="44"/>
          <w:szCs w:val="44"/>
        </w:rPr>
        <w:t>SentraSports, LLC</w:t>
      </w:r>
    </w:p>
    <w:p w14:paraId="2FE8374D" w14:textId="77777777" w:rsidR="004D43FB" w:rsidRDefault="00000000">
      <w:pPr>
        <w:spacing w:after="400"/>
        <w:jc w:val="center"/>
      </w:pPr>
      <w:r>
        <w:rPr>
          <w:color w:val="1A5276"/>
          <w:sz w:val="28"/>
          <w:szCs w:val="28"/>
        </w:rPr>
        <w:t>SEAR Research Collaboration and Equity Partnership</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D43FB" w14:paraId="7AA813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9E59CA" w14:textId="77777777" w:rsidR="004D43FB" w:rsidRDefault="00000000">
            <w:r>
              <w:rPr>
                <w:b/>
                <w:bCs/>
              </w:rPr>
              <w:t>Prepared For: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79767" w14:textId="77777777" w:rsidR="004D43FB" w:rsidRDefault="00000000">
            <w:r>
              <w:t>National Football League, Office of General Counsel</w:t>
            </w:r>
          </w:p>
        </w:tc>
      </w:tr>
      <w:tr w:rsidR="004D43FB" w14:paraId="3601F3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05A65C" w14:textId="77777777" w:rsidR="004D43FB" w:rsidRDefault="00000000">
            <w:r>
              <w:rPr>
                <w:b/>
                <w:bCs/>
              </w:rPr>
              <w:t>Prepared By: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CBEAF7" w14:textId="4D2D0307" w:rsidR="004D43FB" w:rsidRDefault="00000000">
            <w:r>
              <w:t xml:space="preserve"> Sentrais, Inc.</w:t>
            </w:r>
          </w:p>
        </w:tc>
      </w:tr>
      <w:tr w:rsidR="004D43FB" w14:paraId="75FF90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F5B2AB" w14:textId="77777777" w:rsidR="004D43FB" w:rsidRDefault="00000000">
            <w:r>
              <w:rPr>
                <w:b/>
                <w:bCs/>
              </w:rPr>
              <w:t>Date: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3F8E1" w14:textId="77777777" w:rsidR="004D43FB" w:rsidRDefault="00000000">
            <w:r>
              <w:t>April 2026</w:t>
            </w:r>
          </w:p>
        </w:tc>
      </w:tr>
      <w:tr w:rsidR="004D43FB" w14:paraId="4179E75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538FE4" w14:textId="77777777" w:rsidR="004D43FB" w:rsidRDefault="00000000">
            <w:r>
              <w:rPr>
                <w:b/>
                <w:bCs/>
              </w:rPr>
              <w:t>Classification: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3FAD0" w14:textId="77777777" w:rsidR="004D43FB" w:rsidRDefault="00000000">
            <w:r>
              <w:rPr>
                <w:color w:val="CC0000"/>
              </w:rPr>
              <w:t>Attorney-Client Privileged / Settlement Discussion</w:t>
            </w:r>
          </w:p>
        </w:tc>
      </w:tr>
    </w:tbl>
    <w:p w14:paraId="7CADA08A" w14:textId="77777777" w:rsidR="004D43FB" w:rsidRDefault="004D43FB">
      <w:pPr>
        <w:spacing w:before="400"/>
      </w:pPr>
    </w:p>
    <w:p w14:paraId="2BF4D275" w14:textId="77777777" w:rsidR="004D43FB" w:rsidRDefault="00000000">
      <w:pPr>
        <w:pStyle w:val="Heading1"/>
      </w:pPr>
      <w:r>
        <w:t>Executive Summary</w:t>
      </w:r>
    </w:p>
    <w:p w14:paraId="6A3AA3CD" w14:textId="77777777" w:rsidR="004D43FB" w:rsidRDefault="00000000">
      <w:pPr>
        <w:spacing w:after="200"/>
      </w:pPr>
      <w:r>
        <w:t>Sentrais proposes a strategic reset of the parties' relationship through the formation of SentraSports, LLC, a purpose-built subsidiary focused on operational intelligence for professional sports leagues. This proposal replaces all prior negotiations and offers the NFL a path to equity ownership and revenue participation in exchange for anchor partnership in a federally-funded SEAR research initiative.</w:t>
      </w:r>
    </w:p>
    <w:p w14:paraId="66AACC62" w14:textId="77777777" w:rsidR="004D43FB" w:rsidRDefault="00000000">
      <w:pPr>
        <w:spacing w:after="200"/>
      </w:pPr>
      <w:r>
        <w:t>The NFL's participation provides validation and data collaboration essential to the research program's success. In return, the NFL receives ownership stake in SentraSports, revenue sharing on commercial applications and certification programs, and perpetual rights to its own operational data within the platform.</w:t>
      </w:r>
    </w:p>
    <w:p w14:paraId="416FAE6F" w14:textId="77777777" w:rsidR="004D43FB" w:rsidRDefault="00000000">
      <w:pPr>
        <w:spacing w:after="300"/>
      </w:pPr>
      <w:r>
        <w:t>This structure resolves outstanding matters between the parties, establishes clear intellectual property boundaries, and creates aligned incentives for long-term collaboration.</w:t>
      </w:r>
    </w:p>
    <w:p w14:paraId="7483A233" w14:textId="77777777" w:rsidR="004D43FB" w:rsidRDefault="00000000">
      <w:pPr>
        <w:pStyle w:val="Heading1"/>
      </w:pPr>
      <w:r>
        <w:t>Transaction Structure</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D43FB" w14:paraId="1212AB2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8F28279" w14:textId="77777777" w:rsidR="004D43FB" w:rsidRDefault="00000000">
            <w:r>
              <w:rPr>
                <w:b/>
                <w:bCs/>
                <w:color w:val="FFFFFF"/>
                <w:sz w:val="20"/>
                <w:szCs w:val="20"/>
              </w:rPr>
              <w:t>Term</w:t>
            </w:r>
          </w:p>
        </w:tc>
        <w:tc>
          <w:tcPr>
            <w:tcW w:w="67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0A845738" w14:textId="77777777" w:rsidR="004D43FB" w:rsidRDefault="00000000">
            <w:r>
              <w:rPr>
                <w:b/>
                <w:bCs/>
                <w:color w:val="FFFFFF"/>
                <w:sz w:val="20"/>
                <w:szCs w:val="20"/>
              </w:rPr>
              <w:t>Proposed Structure</w:t>
            </w:r>
          </w:p>
        </w:tc>
      </w:tr>
      <w:tr w:rsidR="004D43FB" w14:paraId="6927CCE8"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0A1E3D"/>
            <w:tcMar>
              <w:top w:w="80" w:type="dxa"/>
              <w:left w:w="120" w:type="dxa"/>
              <w:bottom w:w="80" w:type="dxa"/>
              <w:right w:w="120" w:type="dxa"/>
            </w:tcMar>
          </w:tcPr>
          <w:p w14:paraId="713DC126" w14:textId="77777777" w:rsidR="004D43FB" w:rsidRDefault="00000000">
            <w:r>
              <w:rPr>
                <w:b/>
                <w:bCs/>
                <w:color w:val="FFFFFF"/>
              </w:rPr>
              <w:t>ENTITY FORMATION</w:t>
            </w:r>
          </w:p>
        </w:tc>
      </w:tr>
      <w:tr w:rsidR="004D43FB" w14:paraId="46417AD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36ECD518" w14:textId="77777777" w:rsidR="004D43FB" w:rsidRDefault="00000000">
            <w:r>
              <w:rPr>
                <w:b/>
                <w:bCs/>
                <w:sz w:val="21"/>
                <w:szCs w:val="21"/>
              </w:rPr>
              <w:t>New Entity</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6B7DA61" w14:textId="77777777" w:rsidR="004D43FB" w:rsidRDefault="00000000">
            <w:r>
              <w:rPr>
                <w:sz w:val="21"/>
                <w:szCs w:val="21"/>
              </w:rPr>
              <w:t>SentraSports, LLC, a Delaware limited liability company and wholly-owned subsidiary of Sentrais Corporation</w:t>
            </w:r>
          </w:p>
        </w:tc>
      </w:tr>
      <w:tr w:rsidR="004D43FB" w14:paraId="3F131E0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5912DF33" w14:textId="77777777" w:rsidR="004D43FB" w:rsidRDefault="00000000">
            <w:r>
              <w:rPr>
                <w:b/>
                <w:bCs/>
                <w:sz w:val="21"/>
                <w:szCs w:val="21"/>
              </w:rPr>
              <w:t>Purpose</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40997D8" w14:textId="77777777" w:rsidR="004D43FB" w:rsidRDefault="00000000">
            <w:r>
              <w:rPr>
                <w:sz w:val="21"/>
                <w:szCs w:val="21"/>
              </w:rPr>
              <w:t>Development and commercialization of operational intelligence platforms for professional sports leagues, with initial focus on SEAR event coordination and venue certification</w:t>
            </w:r>
          </w:p>
        </w:tc>
      </w:tr>
      <w:tr w:rsidR="004D43FB" w14:paraId="6E6021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5B739CE0" w14:textId="77777777" w:rsidR="004D43FB" w:rsidRDefault="00000000">
            <w:r>
              <w:rPr>
                <w:b/>
                <w:bCs/>
                <w:sz w:val="21"/>
                <w:szCs w:val="21"/>
              </w:rPr>
              <w:t>Parent Relationship</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D562F43" w14:textId="77777777" w:rsidR="004D43FB" w:rsidRDefault="00000000">
            <w:r>
              <w:rPr>
                <w:sz w:val="21"/>
                <w:szCs w:val="21"/>
              </w:rPr>
              <w:t>Sentrais Corporation retains all core IP (Blueprint360, FORGE, SIPE, NIN methodology). SentraSports operates under exclusive license for sports vertical applications</w:t>
            </w:r>
          </w:p>
        </w:tc>
      </w:tr>
      <w:tr w:rsidR="004D43FB" w14:paraId="640718B5"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0A1E3D"/>
            <w:tcMar>
              <w:top w:w="80" w:type="dxa"/>
              <w:left w:w="120" w:type="dxa"/>
              <w:bottom w:w="80" w:type="dxa"/>
              <w:right w:w="120" w:type="dxa"/>
            </w:tcMar>
          </w:tcPr>
          <w:p w14:paraId="78E42908" w14:textId="77777777" w:rsidR="004D43FB" w:rsidRDefault="00000000">
            <w:r>
              <w:rPr>
                <w:b/>
                <w:bCs/>
                <w:color w:val="FFFFFF"/>
              </w:rPr>
              <w:t>NFL INVESTMENT</w:t>
            </w:r>
          </w:p>
        </w:tc>
      </w:tr>
      <w:tr w:rsidR="004D43FB" w14:paraId="0CE37FA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F4BBAE1" w14:textId="77777777" w:rsidR="004D43FB" w:rsidRDefault="00000000">
            <w:r>
              <w:rPr>
                <w:b/>
                <w:bCs/>
                <w:sz w:val="21"/>
                <w:szCs w:val="21"/>
              </w:rPr>
              <w:t>Investment Amount</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74D55DB" w14:textId="77777777" w:rsidR="004D43FB" w:rsidRDefault="00000000">
            <w:r>
              <w:rPr>
                <w:sz w:val="21"/>
                <w:szCs w:val="21"/>
              </w:rPr>
              <w:t>$10,000,000 USD</w:t>
            </w:r>
          </w:p>
        </w:tc>
      </w:tr>
      <w:tr w:rsidR="004D43FB" w14:paraId="2BB3672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EA54CB7" w14:textId="77777777" w:rsidR="004D43FB" w:rsidRDefault="00000000">
            <w:r>
              <w:rPr>
                <w:b/>
                <w:bCs/>
                <w:sz w:val="21"/>
                <w:szCs w:val="21"/>
              </w:rPr>
              <w:t>Equity Stake</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67CC58B" w14:textId="77777777" w:rsidR="004D43FB" w:rsidRDefault="00000000">
            <w:r>
              <w:rPr>
                <w:sz w:val="21"/>
                <w:szCs w:val="21"/>
              </w:rPr>
              <w:t>Initial equity stake in SentraSports, LLC. Specific percentage to be negotiated based on pre-money valuation</w:t>
            </w:r>
          </w:p>
        </w:tc>
      </w:tr>
      <w:tr w:rsidR="004D43FB" w14:paraId="4D5503F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1C87F33F" w14:textId="77777777" w:rsidR="004D43FB" w:rsidRDefault="00000000">
            <w:r>
              <w:rPr>
                <w:b/>
                <w:bCs/>
                <w:sz w:val="21"/>
                <w:szCs w:val="21"/>
              </w:rPr>
              <w:t>Use of Proceeds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68B6957" w14:textId="77777777" w:rsidR="004D43FB" w:rsidRDefault="00000000">
            <w:r>
              <w:rPr>
                <w:sz w:val="21"/>
                <w:szCs w:val="21"/>
              </w:rPr>
              <w:t>Platform development, research program execution, team expansion, infrastructure buildout for multi-league operations</w:t>
            </w:r>
          </w:p>
        </w:tc>
      </w:tr>
      <w:tr w:rsidR="004D43FB" w14:paraId="036186F2"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0A1E3D"/>
            <w:tcMar>
              <w:top w:w="80" w:type="dxa"/>
              <w:left w:w="120" w:type="dxa"/>
              <w:bottom w:w="80" w:type="dxa"/>
              <w:right w:w="120" w:type="dxa"/>
            </w:tcMar>
          </w:tcPr>
          <w:p w14:paraId="518556D8" w14:textId="77777777" w:rsidR="004D43FB" w:rsidRDefault="00000000">
            <w:r>
              <w:rPr>
                <w:b/>
                <w:bCs/>
                <w:color w:val="FFFFFF"/>
              </w:rPr>
              <w:t>ANCHOR PARTNERSHIP</w:t>
            </w:r>
          </w:p>
        </w:tc>
      </w:tr>
      <w:tr w:rsidR="004D43FB" w14:paraId="1ECCD02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4F82A9A9" w14:textId="77777777" w:rsidR="004D43FB" w:rsidRDefault="00000000">
            <w:r>
              <w:rPr>
                <w:b/>
                <w:bCs/>
                <w:sz w:val="21"/>
                <w:szCs w:val="21"/>
              </w:rPr>
              <w:t>FEMA Study Participation</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2B397A0" w14:textId="77777777" w:rsidR="004D43FB" w:rsidRDefault="00000000">
            <w:r>
              <w:rPr>
                <w:sz w:val="21"/>
                <w:szCs w:val="21"/>
              </w:rPr>
              <w:t>NFL designated as anchor partner for SEAR research initiative conducted in collaboration with federal agencies and host cities</w:t>
            </w:r>
          </w:p>
        </w:tc>
      </w:tr>
      <w:tr w:rsidR="004D43FB" w14:paraId="5781684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325A721D" w14:textId="77777777" w:rsidR="004D43FB" w:rsidRDefault="00000000">
            <w:r>
              <w:rPr>
                <w:b/>
                <w:bCs/>
                <w:sz w:val="21"/>
                <w:szCs w:val="21"/>
              </w:rPr>
              <w:t>Data Contribution</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2D8855F" w14:textId="77777777" w:rsidR="004D43FB" w:rsidRDefault="00000000">
            <w:r>
              <w:rPr>
                <w:sz w:val="21"/>
                <w:szCs w:val="21"/>
              </w:rPr>
              <w:t>NFL contributes operational data from SEAR events (Super Bowl, Draft, International Games) to research program under defined data sharing terms</w:t>
            </w:r>
          </w:p>
        </w:tc>
      </w:tr>
      <w:tr w:rsidR="004D43FB" w14:paraId="333452C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1A8937D1" w14:textId="77777777" w:rsidR="004D43FB" w:rsidRDefault="00000000">
            <w:r>
              <w:rPr>
                <w:b/>
                <w:bCs/>
                <w:sz w:val="21"/>
                <w:szCs w:val="21"/>
              </w:rPr>
              <w:t>Innovation Hub Integration</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D2F1B3A" w14:textId="77777777" w:rsidR="004D43FB" w:rsidRDefault="00000000">
            <w:r>
              <w:rPr>
                <w:sz w:val="21"/>
                <w:szCs w:val="21"/>
              </w:rPr>
              <w:t>All NFL Innovation Hub projects eligible for SentraSports platform support; NFL retains ownership of Hub-originated data and submissions</w:t>
            </w:r>
          </w:p>
        </w:tc>
      </w:tr>
    </w:tbl>
    <w:p w14:paraId="7958FD99" w14:textId="77777777" w:rsidR="004D43FB" w:rsidRDefault="00000000">
      <w:r>
        <w:br w:type="page"/>
      </w:r>
    </w:p>
    <w:p w14:paraId="6605DE33" w14:textId="77777777" w:rsidR="004D43FB" w:rsidRDefault="00000000">
      <w:pPr>
        <w:pStyle w:val="Heading1"/>
      </w:pPr>
      <w:r>
        <w:t>Performance-Based League Expansion Rights</w:t>
      </w:r>
    </w:p>
    <w:p w14:paraId="0A2A41E4" w14:textId="77777777" w:rsidR="004D43FB" w:rsidRDefault="00000000">
      <w:pPr>
        <w:spacing w:after="200"/>
      </w:pPr>
      <w:r>
        <w:t>As consideration for anchor partnership and investment, the NFL receives exclusive rights to participate in SentraSports expansion to two adjacent professional leagues. These rights are performance-based and vest upon achievement of defined milestones.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360"/>
        <w:gridCol w:w="2400"/>
      </w:tblGrid>
      <w:tr w:rsidR="004D43FB" w14:paraId="1FA948D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22E88DE" w14:textId="77777777" w:rsidR="004D43FB" w:rsidRDefault="00000000">
            <w:r>
              <w:rPr>
                <w:b/>
                <w:bCs/>
                <w:color w:val="FFFFFF"/>
                <w:sz w:val="20"/>
                <w:szCs w:val="20"/>
              </w:rPr>
              <w:t>Right</w:t>
            </w:r>
          </w:p>
        </w:tc>
        <w:tc>
          <w:tcPr>
            <w:tcW w:w="43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1E45799A" w14:textId="77777777" w:rsidR="004D43FB" w:rsidRDefault="00000000">
            <w:r>
              <w:rPr>
                <w:b/>
                <w:bCs/>
                <w:color w:val="FFFFFF"/>
                <w:sz w:val="20"/>
                <w:szCs w:val="20"/>
              </w:rPr>
              <w:t>Description</w:t>
            </w:r>
          </w:p>
        </w:tc>
        <w:tc>
          <w:tcPr>
            <w:tcW w:w="24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6A56D153" w14:textId="77777777" w:rsidR="004D43FB" w:rsidRDefault="00000000">
            <w:r>
              <w:rPr>
                <w:b/>
                <w:bCs/>
                <w:color w:val="FFFFFF"/>
                <w:sz w:val="20"/>
                <w:szCs w:val="20"/>
              </w:rPr>
              <w:t>Vesting Trigger</w:t>
            </w:r>
          </w:p>
        </w:tc>
      </w:tr>
      <w:tr w:rsidR="004D43FB" w14:paraId="66E29FE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3C5BA12B" w14:textId="77777777" w:rsidR="004D43FB" w:rsidRDefault="00000000">
            <w:r>
              <w:rPr>
                <w:b/>
                <w:bCs/>
                <w:sz w:val="21"/>
                <w:szCs w:val="21"/>
              </w:rPr>
              <w:t>Adjacent League 1</w:t>
            </w:r>
          </w:p>
        </w:tc>
        <w:tc>
          <w:tcPr>
            <w:tcW w:w="4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242B249" w14:textId="77777777" w:rsidR="004D43FB" w:rsidRDefault="00000000">
            <w:r>
              <w:rPr>
                <w:sz w:val="21"/>
                <w:szCs w:val="21"/>
              </w:rPr>
              <w:t>Exclusive right to participate in SentraSports engagement with first adjacent league (e.g., MLS, NHL, or comparable)</w:t>
            </w:r>
          </w:p>
        </w:tc>
        <w:tc>
          <w:tcPr>
            <w:tcW w:w="2400" w:type="dxa"/>
            <w:tcBorders>
              <w:top w:val="single" w:sz="1" w:space="0" w:color="CCCCCC"/>
              <w:left w:val="single" w:sz="1" w:space="0" w:color="CCCCCC"/>
              <w:bottom w:val="single" w:sz="1" w:space="0" w:color="CCCCCC"/>
              <w:right w:val="single" w:sz="1" w:space="0" w:color="CCCCCC"/>
            </w:tcBorders>
            <w:shd w:val="clear" w:color="auto" w:fill="FFF9E6"/>
            <w:tcMar>
              <w:top w:w="100" w:type="dxa"/>
              <w:left w:w="120" w:type="dxa"/>
              <w:bottom w:w="100" w:type="dxa"/>
              <w:right w:w="120" w:type="dxa"/>
            </w:tcMar>
          </w:tcPr>
          <w:p w14:paraId="73BE4ED1" w14:textId="77777777" w:rsidR="004D43FB" w:rsidRDefault="00000000">
            <w:r>
              <w:rPr>
                <w:i/>
                <w:iCs/>
                <w:color w:val="666666"/>
                <w:sz w:val="19"/>
                <w:szCs w:val="19"/>
              </w:rPr>
              <w:t>Year 1 SEAR study  completion</w:t>
            </w:r>
          </w:p>
        </w:tc>
      </w:tr>
      <w:tr w:rsidR="004D43FB" w14:paraId="27D49E4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1F1C99F7" w14:textId="77777777" w:rsidR="004D43FB" w:rsidRDefault="00000000">
            <w:r>
              <w:rPr>
                <w:b/>
                <w:bCs/>
                <w:sz w:val="21"/>
                <w:szCs w:val="21"/>
              </w:rPr>
              <w:t>Adjacent League 2</w:t>
            </w:r>
          </w:p>
        </w:tc>
        <w:tc>
          <w:tcPr>
            <w:tcW w:w="4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74B4BAF" w14:textId="77777777" w:rsidR="004D43FB" w:rsidRDefault="00000000">
            <w:r>
              <w:rPr>
                <w:sz w:val="21"/>
                <w:szCs w:val="21"/>
              </w:rPr>
              <w:t>Exclusive right to participate in SentraSports engagement with second adjacent league</w:t>
            </w:r>
          </w:p>
        </w:tc>
        <w:tc>
          <w:tcPr>
            <w:tcW w:w="2400" w:type="dxa"/>
            <w:tcBorders>
              <w:top w:val="single" w:sz="1" w:space="0" w:color="CCCCCC"/>
              <w:left w:val="single" w:sz="1" w:space="0" w:color="CCCCCC"/>
              <w:bottom w:val="single" w:sz="1" w:space="0" w:color="CCCCCC"/>
              <w:right w:val="single" w:sz="1" w:space="0" w:color="CCCCCC"/>
            </w:tcBorders>
            <w:shd w:val="clear" w:color="auto" w:fill="FFF9E6"/>
            <w:tcMar>
              <w:top w:w="100" w:type="dxa"/>
              <w:left w:w="120" w:type="dxa"/>
              <w:bottom w:w="100" w:type="dxa"/>
              <w:right w:w="120" w:type="dxa"/>
            </w:tcMar>
          </w:tcPr>
          <w:p w14:paraId="0EA33FD6" w14:textId="77777777" w:rsidR="004D43FB" w:rsidRDefault="00000000">
            <w:r>
              <w:rPr>
                <w:i/>
                <w:iCs/>
                <w:color w:val="666666"/>
                <w:sz w:val="19"/>
                <w:szCs w:val="19"/>
              </w:rPr>
              <w:t>Year 2 commercial  deployment</w:t>
            </w:r>
          </w:p>
        </w:tc>
      </w:tr>
      <w:tr w:rsidR="004D43FB" w14:paraId="2610486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2C7EF38" w14:textId="77777777" w:rsidR="004D43FB" w:rsidRDefault="00000000">
            <w:r>
              <w:rPr>
                <w:b/>
                <w:bCs/>
                <w:sz w:val="21"/>
                <w:szCs w:val="21"/>
              </w:rPr>
              <w:t>Revenue Participation</w:t>
            </w:r>
          </w:p>
        </w:tc>
        <w:tc>
          <w:tcPr>
            <w:tcW w:w="4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6B30F562" w14:textId="77777777" w:rsidR="004D43FB" w:rsidRDefault="00000000">
            <w:r>
              <w:rPr>
                <w:sz w:val="21"/>
                <w:szCs w:val="21"/>
              </w:rPr>
              <w:t>NFL receives pro-rata share of net revenue from adjacent league engagements based on equity stake</w:t>
            </w:r>
          </w:p>
        </w:tc>
        <w:tc>
          <w:tcPr>
            <w:tcW w:w="2400" w:type="dxa"/>
            <w:tcBorders>
              <w:top w:val="single" w:sz="1" w:space="0" w:color="CCCCCC"/>
              <w:left w:val="single" w:sz="1" w:space="0" w:color="CCCCCC"/>
              <w:bottom w:val="single" w:sz="1" w:space="0" w:color="CCCCCC"/>
              <w:right w:val="single" w:sz="1" w:space="0" w:color="CCCCCC"/>
            </w:tcBorders>
            <w:shd w:val="clear" w:color="auto" w:fill="FFF9E6"/>
            <w:tcMar>
              <w:top w:w="100" w:type="dxa"/>
              <w:left w:w="120" w:type="dxa"/>
              <w:bottom w:w="100" w:type="dxa"/>
              <w:right w:w="120" w:type="dxa"/>
            </w:tcMar>
          </w:tcPr>
          <w:p w14:paraId="504299BA" w14:textId="77777777" w:rsidR="004D43FB" w:rsidRDefault="00000000">
            <w:r>
              <w:rPr>
                <w:i/>
                <w:iCs/>
                <w:color w:val="666666"/>
                <w:sz w:val="19"/>
                <w:szCs w:val="19"/>
              </w:rPr>
              <w:t>Upon league contract execution</w:t>
            </w:r>
          </w:p>
        </w:tc>
      </w:tr>
      <w:tr w:rsidR="004D43FB" w14:paraId="0A8D43E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59B6EE29" w14:textId="77777777" w:rsidR="004D43FB" w:rsidRDefault="00000000">
            <w:r>
              <w:rPr>
                <w:b/>
                <w:bCs/>
                <w:sz w:val="21"/>
                <w:szCs w:val="21"/>
              </w:rPr>
              <w:t>Research Collaboration</w:t>
            </w:r>
          </w:p>
        </w:tc>
        <w:tc>
          <w:tcPr>
            <w:tcW w:w="4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9DB8B10" w14:textId="77777777" w:rsidR="004D43FB" w:rsidRDefault="00000000">
            <w:r>
              <w:rPr>
                <w:sz w:val="21"/>
                <w:szCs w:val="21"/>
              </w:rPr>
              <w:t>NFL data and learnings contribute to multi-league intelligence model; NFL receives cross-league benchmarking insights</w:t>
            </w:r>
          </w:p>
        </w:tc>
        <w:tc>
          <w:tcPr>
            <w:tcW w:w="2400" w:type="dxa"/>
            <w:tcBorders>
              <w:top w:val="single" w:sz="1" w:space="0" w:color="CCCCCC"/>
              <w:left w:val="single" w:sz="1" w:space="0" w:color="CCCCCC"/>
              <w:bottom w:val="single" w:sz="1" w:space="0" w:color="CCCCCC"/>
              <w:right w:val="single" w:sz="1" w:space="0" w:color="CCCCCC"/>
            </w:tcBorders>
            <w:shd w:val="clear" w:color="auto" w:fill="FFF9E6"/>
            <w:tcMar>
              <w:top w:w="100" w:type="dxa"/>
              <w:left w:w="120" w:type="dxa"/>
              <w:bottom w:w="100" w:type="dxa"/>
              <w:right w:w="120" w:type="dxa"/>
            </w:tcMar>
          </w:tcPr>
          <w:p w14:paraId="5672BB6E" w14:textId="77777777" w:rsidR="004D43FB" w:rsidRDefault="00000000">
            <w:r>
              <w:rPr>
                <w:i/>
                <w:iCs/>
                <w:color w:val="666666"/>
                <w:sz w:val="19"/>
                <w:szCs w:val="19"/>
              </w:rPr>
              <w:t>Ongoing</w:t>
            </w:r>
          </w:p>
        </w:tc>
      </w:tr>
    </w:tbl>
    <w:p w14:paraId="6872BFB2" w14:textId="77777777" w:rsidR="004D43FB" w:rsidRDefault="004D43FB">
      <w:pPr>
        <w:spacing w:before="300"/>
      </w:pPr>
    </w:p>
    <w:p w14:paraId="1530F425" w14:textId="77777777" w:rsidR="004D43FB" w:rsidRDefault="00000000">
      <w:pPr>
        <w:spacing w:after="200"/>
      </w:pPr>
      <w:r>
        <w:rPr>
          <w:b/>
          <w:bCs/>
        </w:rPr>
        <w:t xml:space="preserve">Eligible Adjacent Leagues: </w:t>
      </w:r>
      <w:r>
        <w:t>Major League Soccer (MLS), National Hockey League (NHL), Major League Baseball (MLB), National Basketball Association (NBA), or other professional league mutually agreed by the parties. Selection priority determined by research program requirements and market opportunity.</w:t>
      </w:r>
    </w:p>
    <w:p w14:paraId="1212F92D" w14:textId="77777777" w:rsidR="004D43FB" w:rsidRDefault="00000000">
      <w:pPr>
        <w:pStyle w:val="Heading1"/>
      </w:pPr>
      <w:r>
        <w:t>Revenue Sharing Framework</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D43FB" w14:paraId="0685FA2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0A1E3D"/>
            <w:tcMar>
              <w:top w:w="80" w:type="dxa"/>
              <w:left w:w="120" w:type="dxa"/>
              <w:bottom w:w="80" w:type="dxa"/>
              <w:right w:w="120" w:type="dxa"/>
            </w:tcMar>
          </w:tcPr>
          <w:p w14:paraId="7CEDDCA1" w14:textId="77777777" w:rsidR="004D43FB" w:rsidRDefault="00000000">
            <w:pPr>
              <w:jc w:val="center"/>
            </w:pPr>
            <w:r>
              <w:rPr>
                <w:b/>
                <w:bCs/>
                <w:color w:val="FFFFFF"/>
                <w:sz w:val="20"/>
                <w:szCs w:val="20"/>
              </w:rPr>
              <w:t>Revenue Stream</w:t>
            </w:r>
          </w:p>
        </w:tc>
        <w:tc>
          <w:tcPr>
            <w:tcW w:w="3120" w:type="dxa"/>
            <w:tcBorders>
              <w:top w:val="single" w:sz="1" w:space="0" w:color="CCCCCC"/>
              <w:left w:val="single" w:sz="1" w:space="0" w:color="CCCCCC"/>
              <w:bottom w:val="single" w:sz="1" w:space="0" w:color="CCCCCC"/>
              <w:right w:val="single" w:sz="1" w:space="0" w:color="CCCCCC"/>
            </w:tcBorders>
            <w:shd w:val="clear" w:color="auto" w:fill="0A1E3D"/>
            <w:tcMar>
              <w:top w:w="80" w:type="dxa"/>
              <w:left w:w="120" w:type="dxa"/>
              <w:bottom w:w="80" w:type="dxa"/>
              <w:right w:w="120" w:type="dxa"/>
            </w:tcMar>
          </w:tcPr>
          <w:p w14:paraId="4C360FE9" w14:textId="77777777" w:rsidR="004D43FB" w:rsidRDefault="00000000">
            <w:pPr>
              <w:jc w:val="center"/>
            </w:pPr>
            <w:r>
              <w:rPr>
                <w:b/>
                <w:bCs/>
                <w:color w:val="FFFFFF"/>
                <w:sz w:val="20"/>
                <w:szCs w:val="20"/>
              </w:rPr>
              <w:t>Description</w:t>
            </w:r>
          </w:p>
        </w:tc>
        <w:tc>
          <w:tcPr>
            <w:tcW w:w="3120" w:type="dxa"/>
            <w:tcBorders>
              <w:top w:val="single" w:sz="1" w:space="0" w:color="CCCCCC"/>
              <w:left w:val="single" w:sz="1" w:space="0" w:color="CCCCCC"/>
              <w:bottom w:val="single" w:sz="1" w:space="0" w:color="CCCCCC"/>
              <w:right w:val="single" w:sz="1" w:space="0" w:color="CCCCCC"/>
            </w:tcBorders>
            <w:shd w:val="clear" w:color="auto" w:fill="0A1E3D"/>
            <w:tcMar>
              <w:top w:w="80" w:type="dxa"/>
              <w:left w:w="120" w:type="dxa"/>
              <w:bottom w:w="80" w:type="dxa"/>
              <w:right w:w="120" w:type="dxa"/>
            </w:tcMar>
          </w:tcPr>
          <w:p w14:paraId="510D4E69" w14:textId="77777777" w:rsidR="004D43FB" w:rsidRDefault="00000000">
            <w:pPr>
              <w:jc w:val="center"/>
            </w:pPr>
            <w:r>
              <w:rPr>
                <w:b/>
                <w:bCs/>
                <w:color w:val="FFFFFF"/>
                <w:sz w:val="20"/>
                <w:szCs w:val="20"/>
              </w:rPr>
              <w:t>NFL Participation</w:t>
            </w:r>
          </w:p>
        </w:tc>
      </w:tr>
      <w:tr w:rsidR="004D43FB" w14:paraId="57DB5C2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A3BC6" w14:textId="77777777" w:rsidR="004D43FB" w:rsidRDefault="00000000">
            <w:r>
              <w:rPr>
                <w:b/>
                <w:bCs/>
                <w:sz w:val="20"/>
                <w:szCs w:val="20"/>
              </w:rPr>
              <w:t>Commercial Applications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40F12" w14:textId="77777777" w:rsidR="004D43FB" w:rsidRDefault="00000000">
            <w:r>
              <w:rPr>
                <w:sz w:val="20"/>
                <w:szCs w:val="20"/>
              </w:rPr>
              <w:t>Platform licensing to leagues, venues, and host cities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2EDD8" w14:textId="77777777" w:rsidR="004D43FB" w:rsidRDefault="00000000">
            <w:pPr>
              <w:jc w:val="center"/>
            </w:pPr>
            <w:r>
              <w:rPr>
                <w:b/>
                <w:bCs/>
                <w:sz w:val="20"/>
                <w:szCs w:val="20"/>
              </w:rPr>
              <w:t>Pro-rata equity share</w:t>
            </w:r>
          </w:p>
        </w:tc>
      </w:tr>
      <w:tr w:rsidR="004D43FB" w14:paraId="129275B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BE29F" w14:textId="77777777" w:rsidR="004D43FB" w:rsidRDefault="00000000">
            <w:r>
              <w:rPr>
                <w:b/>
                <w:bCs/>
                <w:sz w:val="20"/>
                <w:szCs w:val="20"/>
              </w:rPr>
              <w:t>Certification Revenue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1B10C" w14:textId="77777777" w:rsidR="004D43FB" w:rsidRDefault="00000000">
            <w:r>
              <w:rPr>
                <w:sz w:val="20"/>
                <w:szCs w:val="20"/>
              </w:rPr>
              <w:t>Venue certification (</w:t>
            </w:r>
            <w:proofErr w:type="spellStart"/>
            <w:r>
              <w:rPr>
                <w:sz w:val="20"/>
                <w:szCs w:val="20"/>
              </w:rPr>
              <w:t>eVenu</w:t>
            </w:r>
            <w:proofErr w:type="spellEnd"/>
            <w:r>
              <w:rPr>
                <w:sz w:val="20"/>
                <w:szCs w:val="20"/>
              </w:rPr>
              <w:t>), operational readiness audits, compliance programs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1F78A" w14:textId="77777777" w:rsidR="004D43FB" w:rsidRDefault="00000000">
            <w:pPr>
              <w:jc w:val="center"/>
            </w:pPr>
            <w:r>
              <w:rPr>
                <w:b/>
                <w:bCs/>
                <w:sz w:val="20"/>
                <w:szCs w:val="20"/>
              </w:rPr>
              <w:t>Pro-rata equity share</w:t>
            </w:r>
          </w:p>
        </w:tc>
      </w:tr>
      <w:tr w:rsidR="004D43FB" w14:paraId="5DA8B7C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A2494" w14:textId="77777777" w:rsidR="004D43FB" w:rsidRDefault="00000000">
            <w:r>
              <w:rPr>
                <w:b/>
                <w:bCs/>
                <w:sz w:val="20"/>
                <w:szCs w:val="20"/>
              </w:rPr>
              <w:t>Adjacent League Revenue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9FF5B" w14:textId="77777777" w:rsidR="004D43FB" w:rsidRDefault="00000000">
            <w:r>
              <w:rPr>
                <w:sz w:val="20"/>
                <w:szCs w:val="20"/>
              </w:rPr>
              <w:t>Net revenue from two vested adjacent league engagements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62BBD" w14:textId="77777777" w:rsidR="004D43FB" w:rsidRDefault="00000000">
            <w:pPr>
              <w:jc w:val="center"/>
            </w:pPr>
            <w:r>
              <w:rPr>
                <w:b/>
                <w:bCs/>
                <w:sz w:val="20"/>
                <w:szCs w:val="20"/>
              </w:rPr>
              <w:t>Pro-rata equity share</w:t>
            </w:r>
          </w:p>
        </w:tc>
      </w:tr>
      <w:tr w:rsidR="004D43FB" w14:paraId="61C5B02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FC130" w14:textId="77777777" w:rsidR="004D43FB" w:rsidRDefault="00000000">
            <w:r>
              <w:rPr>
                <w:b/>
                <w:bCs/>
                <w:sz w:val="20"/>
                <w:szCs w:val="20"/>
              </w:rPr>
              <w:t>Innovation Hub Projects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30B22" w14:textId="77777777" w:rsidR="004D43FB" w:rsidRDefault="00000000">
            <w:r>
              <w:rPr>
                <w:sz w:val="20"/>
                <w:szCs w:val="20"/>
              </w:rPr>
              <w:t>NFL Innovation Hub submissions and challenges supported by SentraSports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8ECFC5" w14:textId="77777777" w:rsidR="004D43FB" w:rsidRDefault="00000000">
            <w:pPr>
              <w:jc w:val="center"/>
            </w:pPr>
            <w:r>
              <w:rPr>
                <w:b/>
                <w:bCs/>
                <w:sz w:val="20"/>
                <w:szCs w:val="20"/>
              </w:rPr>
              <w:t>NFL retains 100% of Hub data</w:t>
            </w:r>
          </w:p>
        </w:tc>
      </w:tr>
    </w:tbl>
    <w:p w14:paraId="78039E1C" w14:textId="77777777" w:rsidR="004D43FB" w:rsidRDefault="00000000">
      <w:r>
        <w:br w:type="page"/>
      </w:r>
    </w:p>
    <w:p w14:paraId="3DD57F20" w14:textId="77777777" w:rsidR="004D43FB" w:rsidRDefault="00000000">
      <w:pPr>
        <w:pStyle w:val="Heading1"/>
      </w:pPr>
      <w:r>
        <w:t>Data Ownership and IP Boundaries</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D43FB" w14:paraId="2A0EA12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427AB821" w14:textId="77777777" w:rsidR="004D43FB" w:rsidRDefault="00000000">
            <w:r>
              <w:rPr>
                <w:b/>
                <w:bCs/>
                <w:color w:val="FFFFFF"/>
                <w:sz w:val="20"/>
                <w:szCs w:val="20"/>
              </w:rPr>
              <w:t>Category</w:t>
            </w:r>
          </w:p>
        </w:tc>
        <w:tc>
          <w:tcPr>
            <w:tcW w:w="676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14:paraId="78F6AB18" w14:textId="77777777" w:rsidR="004D43FB" w:rsidRDefault="00000000">
            <w:r>
              <w:rPr>
                <w:b/>
                <w:bCs/>
                <w:color w:val="FFFFFF"/>
                <w:sz w:val="20"/>
                <w:szCs w:val="20"/>
              </w:rPr>
              <w:t>Ownership and Rights</w:t>
            </w:r>
          </w:p>
        </w:tc>
      </w:tr>
      <w:tr w:rsidR="004D43FB" w14:paraId="1AA55248"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0A1E3D"/>
            <w:tcMar>
              <w:top w:w="80" w:type="dxa"/>
              <w:left w:w="120" w:type="dxa"/>
              <w:bottom w:w="80" w:type="dxa"/>
              <w:right w:w="120" w:type="dxa"/>
            </w:tcMar>
          </w:tcPr>
          <w:p w14:paraId="0E48D1CD" w14:textId="77777777" w:rsidR="004D43FB" w:rsidRDefault="00000000">
            <w:r>
              <w:rPr>
                <w:b/>
                <w:bCs/>
                <w:color w:val="FFFFFF"/>
              </w:rPr>
              <w:t>NFL OWNED (Perpetual)</w:t>
            </w:r>
          </w:p>
        </w:tc>
      </w:tr>
      <w:tr w:rsidR="004D43FB" w14:paraId="17A6EE4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53525F75" w14:textId="77777777" w:rsidR="004D43FB" w:rsidRDefault="00000000">
            <w:r>
              <w:rPr>
                <w:b/>
                <w:bCs/>
                <w:sz w:val="21"/>
                <w:szCs w:val="21"/>
              </w:rPr>
              <w:t>NFL Operational Data</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A24FA67" w14:textId="77777777" w:rsidR="004D43FB" w:rsidRDefault="00000000">
            <w:r>
              <w:rPr>
                <w:sz w:val="21"/>
                <w:szCs w:val="21"/>
              </w:rPr>
              <w:t>All NFL-originated operational data contributed to the research program remains NFL property in perpetuity</w:t>
            </w:r>
          </w:p>
        </w:tc>
      </w:tr>
      <w:tr w:rsidR="004D43FB" w14:paraId="2E465A4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A10D23E" w14:textId="77777777" w:rsidR="004D43FB" w:rsidRDefault="00000000">
            <w:r>
              <w:rPr>
                <w:b/>
                <w:bCs/>
                <w:sz w:val="21"/>
                <w:szCs w:val="21"/>
              </w:rPr>
              <w:t>Innovation Hub Data</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25E7F4B" w14:textId="77777777" w:rsidR="004D43FB" w:rsidRDefault="00000000">
            <w:r>
              <w:rPr>
                <w:sz w:val="21"/>
                <w:szCs w:val="21"/>
              </w:rPr>
              <w:t>All submissions, evaluations, and project data from NFL Innovation Hub programs</w:t>
            </w:r>
          </w:p>
        </w:tc>
      </w:tr>
      <w:tr w:rsidR="004D43FB" w14:paraId="7B84AF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5C033821" w14:textId="77777777" w:rsidR="004D43FB" w:rsidRDefault="00000000">
            <w:r>
              <w:rPr>
                <w:b/>
                <w:bCs/>
                <w:sz w:val="21"/>
                <w:szCs w:val="21"/>
              </w:rPr>
              <w:t>NFL 360 Instance</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28D2302" w14:textId="77777777" w:rsidR="004D43FB" w:rsidRDefault="00000000">
            <w:r>
              <w:rPr>
                <w:sz w:val="21"/>
                <w:szCs w:val="21"/>
              </w:rPr>
              <w:t>NFL-specific platform configuration, dashboards, and operational views</w:t>
            </w:r>
          </w:p>
        </w:tc>
      </w:tr>
      <w:tr w:rsidR="004D43FB" w14:paraId="7A61336F"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0A1E3D"/>
            <w:tcMar>
              <w:top w:w="80" w:type="dxa"/>
              <w:left w:w="120" w:type="dxa"/>
              <w:bottom w:w="80" w:type="dxa"/>
              <w:right w:w="120" w:type="dxa"/>
            </w:tcMar>
          </w:tcPr>
          <w:p w14:paraId="2C3EA589" w14:textId="77777777" w:rsidR="004D43FB" w:rsidRDefault="00000000">
            <w:r>
              <w:rPr>
                <w:b/>
                <w:bCs/>
                <w:color w:val="FFFFFF"/>
              </w:rPr>
              <w:t>SENTRAIS OWNED (Reserved)</w:t>
            </w:r>
          </w:p>
        </w:tc>
      </w:tr>
      <w:tr w:rsidR="004D43FB" w14:paraId="4D2F645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7DFF3224" w14:textId="77777777" w:rsidR="004D43FB" w:rsidRDefault="00000000">
            <w:r>
              <w:rPr>
                <w:b/>
                <w:bCs/>
                <w:sz w:val="21"/>
                <w:szCs w:val="21"/>
              </w:rPr>
              <w:t>Core IP</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423382D8" w14:textId="77777777" w:rsidR="004D43FB" w:rsidRDefault="00000000">
            <w:r>
              <w:rPr>
                <w:sz w:val="21"/>
                <w:szCs w:val="21"/>
              </w:rPr>
              <w:t>Blueprint360, FORGE, SIPE, NIN methodology, Evidence Ledger, and all underlying architectures remain exclusive Sentrais property</w:t>
            </w:r>
          </w:p>
        </w:tc>
      </w:tr>
      <w:tr w:rsidR="004D43FB" w14:paraId="6F12E96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E2A6A6D" w14:textId="77777777" w:rsidR="004D43FB" w:rsidRDefault="00000000">
            <w:r>
              <w:rPr>
                <w:b/>
                <w:bCs/>
                <w:sz w:val="21"/>
                <w:szCs w:val="21"/>
              </w:rPr>
              <w:t>Platform Technology</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C41B03D" w14:textId="77777777" w:rsidR="004D43FB" w:rsidRDefault="00000000">
            <w:r>
              <w:rPr>
                <w:sz w:val="21"/>
                <w:szCs w:val="21"/>
              </w:rPr>
              <w:t>All software, algorithms, data models, and system components powering SentraSports</w:t>
            </w:r>
          </w:p>
        </w:tc>
      </w:tr>
      <w:tr w:rsidR="004D43FB" w14:paraId="2C4FA5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4391EF90" w14:textId="77777777" w:rsidR="004D43FB" w:rsidRDefault="00000000">
            <w:r>
              <w:rPr>
                <w:b/>
                <w:bCs/>
                <w:sz w:val="21"/>
                <w:szCs w:val="21"/>
              </w:rPr>
              <w:t>Cross-League Intelligence</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50A02F9E" w14:textId="77777777" w:rsidR="004D43FB" w:rsidRDefault="00000000">
            <w:r>
              <w:rPr>
                <w:sz w:val="21"/>
                <w:szCs w:val="21"/>
              </w:rPr>
              <w:t>Anonymized, aggregated insights derived from multi-league data (no single-league attribution)</w:t>
            </w:r>
          </w:p>
        </w:tc>
      </w:tr>
      <w:tr w:rsidR="004D43FB" w14:paraId="1F98A9EB" w14:textId="77777777">
        <w:tblPrEx>
          <w:tblCellMar>
            <w:top w:w="0" w:type="dxa"/>
            <w:bottom w:w="0" w:type="dxa"/>
          </w:tblCellMar>
        </w:tblPrEx>
        <w:tc>
          <w:tcPr>
            <w:tcW w:w="9360" w:type="dxa"/>
            <w:gridSpan w:val="2"/>
            <w:tcBorders>
              <w:top w:val="single" w:sz="1" w:space="0" w:color="CCCCCC"/>
              <w:left w:val="single" w:sz="1" w:space="0" w:color="CCCCCC"/>
              <w:bottom w:val="single" w:sz="1" w:space="0" w:color="CCCCCC"/>
              <w:right w:val="single" w:sz="1" w:space="0" w:color="CCCCCC"/>
            </w:tcBorders>
            <w:shd w:val="clear" w:color="auto" w:fill="0A1E3D"/>
            <w:tcMar>
              <w:top w:w="80" w:type="dxa"/>
              <w:left w:w="120" w:type="dxa"/>
              <w:bottom w:w="80" w:type="dxa"/>
              <w:right w:w="120" w:type="dxa"/>
            </w:tcMar>
          </w:tcPr>
          <w:p w14:paraId="067DB515" w14:textId="77777777" w:rsidR="004D43FB" w:rsidRDefault="00000000">
            <w:r>
              <w:rPr>
                <w:b/>
                <w:bCs/>
                <w:color w:val="FFFFFF"/>
              </w:rPr>
              <w:t>JOINTLY DEVELOPED</w:t>
            </w:r>
          </w:p>
        </w:tc>
      </w:tr>
      <w:tr w:rsidR="004D43FB" w14:paraId="2CB470E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3EBB5431" w14:textId="77777777" w:rsidR="004D43FB" w:rsidRDefault="00000000">
            <w:r>
              <w:rPr>
                <w:b/>
                <w:bCs/>
                <w:sz w:val="21"/>
                <w:szCs w:val="21"/>
              </w:rPr>
              <w:t>SEAR Research Outputs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399C201" w14:textId="77777777" w:rsidR="004D43FB" w:rsidRDefault="00000000">
            <w:r>
              <w:rPr>
                <w:sz w:val="21"/>
                <w:szCs w:val="21"/>
              </w:rPr>
              <w:t>Research findings, publications, and methodologies developed through the FEMA study collaboration. Joint authorship with defined commercialization rights</w:t>
            </w:r>
          </w:p>
        </w:tc>
      </w:tr>
      <w:tr w:rsidR="004D43FB" w14:paraId="4511657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215C7E9A" w14:textId="77777777" w:rsidR="004D43FB" w:rsidRDefault="00000000">
            <w:r>
              <w:rPr>
                <w:b/>
                <w:bCs/>
                <w:sz w:val="21"/>
                <w:szCs w:val="21"/>
              </w:rPr>
              <w:t>Sports-Specific Models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74719942" w14:textId="77777777" w:rsidR="004D43FB" w:rsidRDefault="00000000">
            <w:r>
              <w:rPr>
                <w:sz w:val="21"/>
                <w:szCs w:val="21"/>
              </w:rPr>
              <w:t>Operational models developed for professional sports applications. NFL receives perpetual license; Sentrais retains ownership for multi-league deployment</w:t>
            </w:r>
          </w:p>
        </w:tc>
      </w:tr>
    </w:tbl>
    <w:p w14:paraId="476EAD65" w14:textId="77777777" w:rsidR="004D43FB" w:rsidRDefault="004D43FB">
      <w:pPr>
        <w:spacing w:before="400"/>
      </w:pPr>
    </w:p>
    <w:p w14:paraId="7BFEDEBE" w14:textId="77777777" w:rsidR="004D43FB" w:rsidRDefault="00000000">
      <w:pPr>
        <w:pStyle w:val="Heading1"/>
      </w:pPr>
      <w:r>
        <w:t>Resolution of Prior Matters</w:t>
      </w:r>
    </w:p>
    <w:p w14:paraId="7BB4242B" w14:textId="77777777" w:rsidR="004D43FB" w:rsidRDefault="00000000">
      <w:pPr>
        <w:spacing w:after="200"/>
      </w:pPr>
      <w:r>
        <w:t>Execution of this agreement supersedes all prior negotiations, proposals, and draft agreements between the parties, including the EVERGAME Phase II Implementation Proposal and all versions of the Master Services Agreement. Upon execution:</w:t>
      </w:r>
    </w:p>
    <w:p w14:paraId="48DC7D48" w14:textId="77777777" w:rsidR="004D43FB" w:rsidRDefault="00000000">
      <w:pPr>
        <w:spacing w:after="100"/>
        <w:ind w:left="720"/>
      </w:pPr>
      <w:r>
        <w:t>All prior draft agreements are void and of no effect</w:t>
      </w:r>
    </w:p>
    <w:p w14:paraId="4DBF1024" w14:textId="77777777" w:rsidR="004D43FB" w:rsidRDefault="00000000">
      <w:pPr>
        <w:spacing w:after="100"/>
        <w:ind w:left="720"/>
      </w:pPr>
      <w:r>
        <w:t>Outstanding invoices for work performed are settled through investment proceeds</w:t>
      </w:r>
    </w:p>
    <w:p w14:paraId="35DB1EE1" w14:textId="77777777" w:rsidR="004D43FB" w:rsidRDefault="00000000">
      <w:pPr>
        <w:spacing w:after="100"/>
        <w:ind w:left="720"/>
      </w:pPr>
      <w:r>
        <w:t>Sentrais intellectual property rights are confirmed as reserved per April 2026 notice</w:t>
      </w:r>
    </w:p>
    <w:p w14:paraId="323C637F" w14:textId="77777777" w:rsidR="004D43FB" w:rsidRDefault="00000000">
      <w:pPr>
        <w:spacing w:after="100"/>
        <w:ind w:left="720"/>
      </w:pPr>
      <w:r>
        <w:t>Parties release all claims arising from prior engagement</w:t>
      </w:r>
    </w:p>
    <w:p w14:paraId="51C1DD19" w14:textId="77777777" w:rsidR="004D43FB" w:rsidRDefault="00000000">
      <w:pPr>
        <w:spacing w:after="300"/>
        <w:ind w:left="720"/>
      </w:pPr>
      <w:r>
        <w:t>Closeout documentation for GDA Dashboard and Innovation Hub delivered upon execution</w:t>
      </w:r>
    </w:p>
    <w:p w14:paraId="154BD962" w14:textId="77777777" w:rsidR="004D43FB" w:rsidRDefault="00000000">
      <w:pPr>
        <w:pStyle w:val="Heading1"/>
      </w:pPr>
      <w:r>
        <w:t>Governance</w:t>
      </w:r>
    </w:p>
    <w:tbl>
      <w:tblPr>
        <w:tblW w:w="9360"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D43FB" w14:paraId="56B14E1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19DF3B27" w14:textId="77777777" w:rsidR="004D43FB" w:rsidRDefault="00000000">
            <w:r>
              <w:rPr>
                <w:b/>
                <w:bCs/>
                <w:sz w:val="21"/>
                <w:szCs w:val="21"/>
              </w:rPr>
              <w:t>Board Representation</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3ED03A3" w14:textId="77777777" w:rsidR="004D43FB" w:rsidRDefault="00000000">
            <w:r>
              <w:rPr>
                <w:sz w:val="21"/>
                <w:szCs w:val="21"/>
              </w:rPr>
              <w:t>NFL entitled to one board observer seat; voting seat upon achievement of Year 2 milestones</w:t>
            </w:r>
          </w:p>
        </w:tc>
      </w:tr>
      <w:tr w:rsidR="004D43FB" w14:paraId="082A46B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6B0DCC4D" w14:textId="77777777" w:rsidR="004D43FB" w:rsidRDefault="00000000">
            <w:r>
              <w:rPr>
                <w:b/>
                <w:bCs/>
                <w:sz w:val="21"/>
                <w:szCs w:val="21"/>
              </w:rPr>
              <w:t>Information Rights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0B63A129" w14:textId="77777777" w:rsidR="004D43FB" w:rsidRDefault="00000000">
            <w:r>
              <w:rPr>
                <w:sz w:val="21"/>
                <w:szCs w:val="21"/>
              </w:rPr>
              <w:t>Quarterly financial reporting, annual audited statements, material event notification</w:t>
            </w:r>
          </w:p>
        </w:tc>
      </w:tr>
      <w:tr w:rsidR="004D43FB" w14:paraId="5C92B6B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58E68888" w14:textId="77777777" w:rsidR="004D43FB" w:rsidRDefault="00000000">
            <w:r>
              <w:rPr>
                <w:b/>
                <w:bCs/>
                <w:sz w:val="21"/>
                <w:szCs w:val="21"/>
              </w:rPr>
              <w:t>Protective Provisions</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F10A4E5" w14:textId="77777777" w:rsidR="004D43FB" w:rsidRDefault="00000000">
            <w:r>
              <w:rPr>
                <w:sz w:val="21"/>
                <w:szCs w:val="21"/>
              </w:rPr>
              <w:t>Standard minority investor protections for material transactions, debt, and equity issuances</w:t>
            </w:r>
          </w:p>
        </w:tc>
      </w:tr>
      <w:tr w:rsidR="004D43FB" w14:paraId="2FCA704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20" w:type="dxa"/>
              <w:bottom w:w="100" w:type="dxa"/>
              <w:right w:w="120" w:type="dxa"/>
            </w:tcMar>
          </w:tcPr>
          <w:p w14:paraId="037855F0" w14:textId="77777777" w:rsidR="004D43FB" w:rsidRDefault="00000000">
            <w:r>
              <w:rPr>
                <w:b/>
                <w:bCs/>
                <w:sz w:val="21"/>
                <w:szCs w:val="21"/>
              </w:rPr>
              <w:t>Operating Control</w:t>
            </w:r>
          </w:p>
        </w:tc>
        <w:tc>
          <w:tcPr>
            <w:tcW w:w="67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3A85884B" w14:textId="77777777" w:rsidR="004D43FB" w:rsidRDefault="00000000">
            <w:r>
              <w:rPr>
                <w:sz w:val="21"/>
                <w:szCs w:val="21"/>
              </w:rPr>
              <w:t>Sentrais retains full operational control of SentraSports; NFL participation is passive investment plus data collaboration</w:t>
            </w:r>
          </w:p>
        </w:tc>
      </w:tr>
    </w:tbl>
    <w:p w14:paraId="04411A46" w14:textId="77777777" w:rsidR="004D43FB" w:rsidRDefault="004D43FB">
      <w:pPr>
        <w:spacing w:before="400"/>
      </w:pPr>
    </w:p>
    <w:sectPr w:rsidR="004D43F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C02CCF"/>
    <w:multiLevelType w:val="hybridMultilevel"/>
    <w:tmpl w:val="FFFFFFFF"/>
    <w:lvl w:ilvl="0" w:tplc="608A1312">
      <w:start w:val="1"/>
      <w:numFmt w:val="bullet"/>
      <w:lvlText w:val="●"/>
      <w:lvlJc w:val="left"/>
      <w:pPr>
        <w:ind w:left="720" w:hanging="360"/>
      </w:pPr>
    </w:lvl>
    <w:lvl w:ilvl="1" w:tplc="1B76F81E">
      <w:start w:val="1"/>
      <w:numFmt w:val="bullet"/>
      <w:lvlText w:val="○"/>
      <w:lvlJc w:val="left"/>
      <w:pPr>
        <w:ind w:left="1440" w:hanging="360"/>
      </w:pPr>
    </w:lvl>
    <w:lvl w:ilvl="2" w:tplc="604E21E2">
      <w:start w:val="1"/>
      <w:numFmt w:val="bullet"/>
      <w:lvlText w:val="■"/>
      <w:lvlJc w:val="left"/>
      <w:pPr>
        <w:ind w:left="2160" w:hanging="360"/>
      </w:pPr>
    </w:lvl>
    <w:lvl w:ilvl="3" w:tplc="27600454">
      <w:start w:val="1"/>
      <w:numFmt w:val="bullet"/>
      <w:lvlText w:val="●"/>
      <w:lvlJc w:val="left"/>
      <w:pPr>
        <w:ind w:left="2880" w:hanging="360"/>
      </w:pPr>
    </w:lvl>
    <w:lvl w:ilvl="4" w:tplc="86D8A332">
      <w:start w:val="1"/>
      <w:numFmt w:val="bullet"/>
      <w:lvlText w:val="○"/>
      <w:lvlJc w:val="left"/>
      <w:pPr>
        <w:ind w:left="3600" w:hanging="360"/>
      </w:pPr>
    </w:lvl>
    <w:lvl w:ilvl="5" w:tplc="523C5FCE">
      <w:start w:val="1"/>
      <w:numFmt w:val="bullet"/>
      <w:lvlText w:val="■"/>
      <w:lvlJc w:val="left"/>
      <w:pPr>
        <w:ind w:left="4320" w:hanging="360"/>
      </w:pPr>
    </w:lvl>
    <w:lvl w:ilvl="6" w:tplc="E7E026CC">
      <w:start w:val="1"/>
      <w:numFmt w:val="bullet"/>
      <w:lvlText w:val="●"/>
      <w:lvlJc w:val="left"/>
      <w:pPr>
        <w:ind w:left="5040" w:hanging="360"/>
      </w:pPr>
    </w:lvl>
    <w:lvl w:ilvl="7" w:tplc="C52A5298">
      <w:start w:val="1"/>
      <w:numFmt w:val="bullet"/>
      <w:lvlText w:val="●"/>
      <w:lvlJc w:val="left"/>
      <w:pPr>
        <w:ind w:left="5760" w:hanging="360"/>
      </w:pPr>
    </w:lvl>
    <w:lvl w:ilvl="8" w:tplc="FBF0DC72">
      <w:start w:val="1"/>
      <w:numFmt w:val="bullet"/>
      <w:lvlText w:val="●"/>
      <w:lvlJc w:val="left"/>
      <w:pPr>
        <w:ind w:left="6480" w:hanging="360"/>
      </w:pPr>
    </w:lvl>
  </w:abstractNum>
  <w:num w:numId="1" w16cid:durableId="143842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3FB"/>
    <w:rsid w:val="00112123"/>
    <w:rsid w:val="004D43FB"/>
    <w:rsid w:val="00C3614D"/>
    <w:rsid w:val="00D93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B62208"/>
  <w15:docId w15:val="{A0BD1239-3944-8745-A086-59A9F74C4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0A1E3D"/>
      <w:sz w:val="36"/>
      <w:szCs w:val="36"/>
    </w:rPr>
  </w:style>
  <w:style w:type="paragraph" w:styleId="Heading2">
    <w:name w:val="heading 2"/>
    <w:uiPriority w:val="9"/>
    <w:semiHidden/>
    <w:unhideWhenUsed/>
    <w:qFormat/>
    <w:pPr>
      <w:spacing w:before="240" w:after="120"/>
      <w:outlineLvl w:val="1"/>
    </w:pPr>
    <w:rPr>
      <w:b/>
      <w:bCs/>
      <w:color w:val="1A527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991</Words>
  <Characters>5650</Characters>
  <Application>Microsoft Office Word</Application>
  <DocSecurity>0</DocSecurity>
  <Lines>47</Lines>
  <Paragraphs>13</Paragraphs>
  <ScaleCrop>false</ScaleCrop>
  <Company/>
  <LinksUpToDate>false</LinksUpToDate>
  <CharactersWithSpaces>6628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Tye Hayes</cp:lastModifiedBy>
  <cp:revision>3</cp:revision>
  <dcterms:created xsi:type="dcterms:W3CDTF">2026-04-10T11:09:00Z</dcterms:created>
  <dcterms:modified xsi:type="dcterms:W3CDTF">2026-04-10T11:47:00Z</dcterms:modified>
</cp:coreProperties>
</file>