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b/>
          <w:bCs/>
          <w:color w:val="1A365D"/>
          <w:sz w:val="44"/>
          <w:szCs w:val="44"/>
        </w:rPr>
        <w:t xml:space="preserve">PLAYBOOKS &amp; ENGINES</w:t>
      </w:r>
    </w:p>
    <w:p>
      <w:pPr>
        <w:spacing w:after="100"/>
        <w:jc w:val="center"/>
      </w:pPr>
      <w:r>
        <w:rPr>
          <w:color w:val="0F766E"/>
          <w:sz w:val="32"/>
          <w:szCs w:val="32"/>
        </w:rPr>
        <w:t xml:space="preserve">Complete IP Reference Documentation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Sentrais Corporation | NOVATELabs</w:t>
      </w:r>
    </w:p>
    <w:p>
      <w:pPr>
        <w:pStyle w:val="Heading1"/>
      </w:pPr>
      <w:r>
        <w:t xml:space="preserve">Contents</w:t>
      </w:r>
    </w:p>
    <w:p>
      <w:pPr>
        <w:spacing w:after="50"/>
      </w:pPr>
      <w:r>
        <w:t xml:space="preserve">PART 1: CORE ENGINES</w:t>
      </w:r>
    </w:p>
    <w:p>
      <w:pPr>
        <w:pStyle w:val="ListParagraph"/>
        <w:numPr>
          <w:ilvl w:val="0"/>
          <w:numId w:val="2"/>
        </w:numPr>
      </w:pPr>
      <w:r>
        <w:t xml:space="preserve">1.1 SentraisOS — Intelligence Operating System</w:t>
      </w:r>
    </w:p>
    <w:p>
      <w:pPr>
        <w:pStyle w:val="ListParagraph"/>
        <w:numPr>
          <w:ilvl w:val="0"/>
          <w:numId w:val="2"/>
        </w:numPr>
      </w:pPr>
      <w:r>
        <w:t xml:space="preserve">1.2 EVERGAME AI Frame — Unified Intelligence Layer</w:t>
      </w:r>
    </w:p>
    <w:p>
      <w:pPr>
        <w:pStyle w:val="ListParagraph"/>
        <w:numPr>
          <w:ilvl w:val="0"/>
          <w:numId w:val="2"/>
        </w:numPr>
      </w:pPr>
      <w:r>
        <w:t xml:space="preserve">1.3 Blueprint Engine — Digital Twin Foundation</w:t>
      </w:r>
    </w:p>
    <w:p>
      <w:pPr>
        <w:pStyle w:val="ListParagraph"/>
        <w:numPr>
          <w:ilvl w:val="0"/>
          <w:numId w:val="2"/>
        </w:numPr>
      </w:pPr>
      <w:r>
        <w:t xml:space="preserve">1.4 Evidence Ledger — Immutable Audit Trail</w:t>
      </w:r>
    </w:p>
    <w:p>
      <w:pPr>
        <w:pStyle w:val="ListParagraph"/>
        <w:numPr>
          <w:ilvl w:val="0"/>
          <w:numId w:val="2"/>
        </w:numPr>
      </w:pPr>
      <w:r>
        <w:t xml:space="preserve">1.5 Simulation Engine — Scenario Modeling</w:t>
      </w:r>
    </w:p>
    <w:p>
      <w:pPr>
        <w:pStyle w:val="ListParagraph"/>
        <w:numPr>
          <w:ilvl w:val="0"/>
          <w:numId w:val="2"/>
        </w:numPr>
      </w:pPr>
      <w:r>
        <w:t xml:space="preserve">1.6 SIPE Engine — IP Extraction &amp; Royalty Calculation</w:t>
      </w:r>
    </w:p>
    <w:p>
      <w:pPr>
        <w:pStyle w:val="ListParagraph"/>
        <w:numPr>
          <w:ilvl w:val="0"/>
          <w:numId w:val="2"/>
        </w:numPr>
      </w:pPr>
      <w:r>
        <w:t xml:space="preserve">1.7 Revenue Oracle — Predictive Forecasting</w:t>
      </w:r>
    </w:p>
    <w:p>
      <w:pPr>
        <w:spacing w:before="100" w:after="50"/>
      </w:pPr>
      <w:r>
        <w:t xml:space="preserve">PART 2: OPERATIONAL PLAYBOOKS</w:t>
      </w:r>
    </w:p>
    <w:p>
      <w:pPr>
        <w:pStyle w:val="ListParagraph"/>
        <w:numPr>
          <w:ilvl w:val="0"/>
          <w:numId w:val="2"/>
        </w:numPr>
      </w:pPr>
      <w:r>
        <w:t xml:space="preserve">2.1 GameDay Operations Playbook</w:t>
      </w:r>
    </w:p>
    <w:p>
      <w:pPr>
        <w:pStyle w:val="ListParagraph"/>
        <w:numPr>
          <w:ilvl w:val="0"/>
          <w:numId w:val="2"/>
        </w:numPr>
      </w:pPr>
      <w:r>
        <w:t xml:space="preserve">2.2 Crisis Response Playbook</w:t>
      </w:r>
    </w:p>
    <w:p>
      <w:pPr>
        <w:pStyle w:val="ListParagraph"/>
        <w:numPr>
          <w:ilvl w:val="0"/>
          <w:numId w:val="2"/>
        </w:numPr>
      </w:pPr>
      <w:r>
        <w:t xml:space="preserve">2.3 Innovation Program Office (IPO) Playbook</w:t>
      </w:r>
    </w:p>
    <w:p>
      <w:pPr>
        <w:pStyle w:val="ListParagraph"/>
        <w:numPr>
          <w:ilvl w:val="0"/>
          <w:numId w:val="2"/>
        </w:numPr>
      </w:pPr>
      <w:r>
        <w:t xml:space="preserve">2.4 Venue Operations Playbook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2.5 Client Engagement Playbook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PART 1: CORE ENGINES</w:t>
            </w:r>
          </w:p>
        </w:tc>
      </w:tr>
    </w:tbl>
    <w:p>
      <w:pPr>
        <w:pStyle w:val="Heading1"/>
        <w:spacing w:before="400"/>
      </w:pPr>
      <w:r>
        <w:t xml:space="preserve">1.1 SentraisOS™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Intelligence Operating System</w:t>
      </w:r>
      <w:r>
        <w:rPr>
          <w:b/>
          <w:bCs/>
        </w:rPr>
        <w:t xml:space="preserve"> | Status: </w:t>
      </w:r>
      <w:r>
        <w:t xml:space="preserve">Production</w:t>
      </w:r>
      <w:r>
        <w:rPr>
          <w:b/>
          <w:bCs/>
        </w:rPr>
        <w:t xml:space="preserve"> | Protection: </w:t>
      </w:r>
      <w:r>
        <w:t xml:space="preserve">Trade Secret + Patent</w:t>
      </w:r>
    </w:p>
    <w:p>
      <w:pPr>
        <w:spacing w:after="200"/>
      </w:pPr>
      <w:r>
        <w:rPr>
          <w:b/>
          <w:bCs/>
          <w:color w:val="0F766E"/>
        </w:rPr>
        <w:t xml:space="preserve">Tagline: </w:t>
      </w:r>
      <w:r>
        <w:rPr>
          <w:i/>
          <w:iCs/>
        </w:rPr>
        <w:t xml:space="preserve">"Your Operating System for Operational Intelligence"</w:t>
      </w:r>
    </w:p>
    <w:p>
      <w:pPr>
        <w:pStyle w:val="Heading3"/>
      </w:pPr>
      <w:r>
        <w:t xml:space="preserve">Description</w:t>
      </w:r>
    </w:p>
    <w:p>
      <w:pPr>
        <w:spacing w:after="200"/>
      </w:pPr>
      <w:r>
        <w:t xml:space="preserve">SentraisOS is the foundational intelligence operating system that powers all Sentrais platforms. It transforms fragmented tools and disconnected workflows into unified, mission-ready systems through layered intelligence, adaptive logic, and embedded foresight.</w:t>
      </w:r>
    </w:p>
    <w:p>
      <w:pPr>
        <w:pStyle w:val="Heading3"/>
      </w:pPr>
      <w:r>
        <w:t xml:space="preserve">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EVERGAME (Sports), Evenu.ai (Venues), CiviGrid (Government)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Intelligence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Blueprint Engine, NIN Forensics, Predictive Analytics, Evidence Ledger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Unified API (REST + GraphQL), Connectors, ETL Pipelines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(Cloud SQL, Cloud Run, BigQuery, Vertex AI), Security</w:t>
            </w:r>
          </w:p>
        </w:tc>
      </w:tr>
    </w:tbl>
    <w:p>
      <w:pPr>
        <w:pStyle w:val="Heading3"/>
        <w:spacing w:before="200"/>
      </w:pPr>
      <w:r>
        <w:t xml:space="preserve">Value Proposition</w:t>
      </w:r>
    </w:p>
    <w:p>
      <w:pPr>
        <w:pStyle w:val="ListParagraph"/>
        <w:numPr>
          <w:ilvl w:val="0"/>
          <w:numId w:val="2"/>
        </w:numPr>
      </w:pPr>
      <w:r>
        <w:t xml:space="preserve">Real-time data for real-time decisions</w:t>
      </w:r>
    </w:p>
    <w:p>
      <w:pPr>
        <w:pStyle w:val="ListParagraph"/>
        <w:numPr>
          <w:ilvl w:val="0"/>
          <w:numId w:val="2"/>
        </w:numPr>
      </w:pPr>
      <w:r>
        <w:t xml:space="preserve">Orchestrates people, systems, and response across organizational boundaries</w:t>
      </w:r>
    </w:p>
    <w:p>
      <w:pPr>
        <w:pStyle w:val="ListParagraph"/>
        <w:numPr>
          <w:ilvl w:val="0"/>
          <w:numId w:val="2"/>
        </w:numPr>
      </w:pPr>
      <w:r>
        <w:t xml:space="preserve">Federated architecture maintains organizational autonomy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Multi-tenant with security isolation</w:t>
      </w:r>
    </w:p>
    <w:p>
      <w:pPr>
        <w:pStyle w:val="Heading1"/>
      </w:pPr>
      <w:r>
        <w:t xml:space="preserve">1.2 EVERGAME AI Frame™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Unified Intelligence Layer / Translation Engine</w:t>
      </w:r>
      <w:r>
        <w:rPr>
          <w:b/>
          <w:bCs/>
        </w:rPr>
        <w:t xml:space="preserve"> | Status: </w:t>
      </w:r>
      <w:r>
        <w:t xml:space="preserve">Live (NFL)</w:t>
      </w:r>
    </w:p>
    <w:p>
      <w:pPr>
        <w:pStyle w:val="Heading3"/>
      </w:pPr>
      <w:r>
        <w:t xml:space="preserve">Description</w:t>
      </w:r>
    </w:p>
    <w:p>
      <w:pPr>
        <w:spacing w:after="200"/>
      </w:pPr>
      <w:r>
        <w:t xml:space="preserve">The EVERGAME AI Frame is the translation layer that converts static operational documents (PDFs, playbooks, SOPs) into executable, measurable, adaptive coordination workflows. It enables multi-stakeholder synchronization in real-time.</w:t>
      </w:r>
    </w:p>
    <w:p>
      <w:pPr>
        <w:pStyle w:val="Heading3"/>
      </w:pPr>
      <w:r>
        <w:t xml:space="preserve">Core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 Translation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Converts static plans into executable state machines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Decision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Adaptive recommendations during live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Cross-deployment pattern recognition and learning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Coordination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Multi-agency coordination bus with role-based access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1.3 Blueprint Engine™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Digital Twin Foundation</w:t>
      </w:r>
      <w:r>
        <w:rPr>
          <w:b/>
          <w:bCs/>
        </w:rPr>
        <w:t xml:space="preserve"> | Status: </w:t>
      </w:r>
      <w:r>
        <w:t xml:space="preserve">Production</w:t>
      </w:r>
    </w:p>
    <w:p>
      <w:pPr>
        <w:pStyle w:val="Heading3"/>
      </w:pPr>
      <w:r>
        <w:t xml:space="preserve">Description</w:t>
      </w:r>
    </w:p>
    <w:p>
      <w:pPr>
        <w:spacing w:after="200"/>
      </w:pPr>
      <w:r>
        <w:t xml:space="preserve">The Blueprint Engine captures and models the unique DNA of each client's operational ecosystem. It creates a digital twin of entities, relationships, dependencies, and workflows that powers all downstream intelligence.</w:t>
      </w:r>
    </w:p>
    <w:p>
      <w:pPr>
        <w:pStyle w:val="Heading3"/>
      </w:pPr>
      <w:r>
        <w:t xml:space="preserve">Blueprinting Inputs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Operational Ecosystem Map: </w:t>
      </w:r>
      <w:r>
        <w:t xml:space="preserve">All stakeholders, systems, and relationships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Process Workflows: </w:t>
      </w:r>
      <w:r>
        <w:t xml:space="preserve">Current-state procedures and decision trees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Sources: </w:t>
      </w:r>
      <w:r>
        <w:t xml:space="preserve">Existing systems, data flows, and integration points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Governance Rules: </w:t>
      </w:r>
      <w:r>
        <w:t xml:space="preserve">Compliance requirements, SLAs, escalation policies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Performance Baselines: </w:t>
      </w:r>
      <w:r>
        <w:t xml:space="preserve">Current metrics and target outcomes</w:t>
      </w:r>
    </w:p>
    <w:p>
      <w:pPr>
        <w:pStyle w:val="Heading3"/>
      </w:pPr>
      <w:r>
        <w:t xml:space="preserve">Outputs</w:t>
      </w:r>
    </w:p>
    <w:p>
      <w:pPr>
        <w:pStyle w:val="ListParagraph"/>
        <w:numPr>
          <w:ilvl w:val="0"/>
          <w:numId w:val="2"/>
        </w:numPr>
      </w:pPr>
      <w:r>
        <w:t xml:space="preserve">Digital twin of operational environment</w:t>
      </w:r>
    </w:p>
    <w:p>
      <w:pPr>
        <w:pStyle w:val="ListParagraph"/>
        <w:numPr>
          <w:ilvl w:val="0"/>
          <w:numId w:val="2"/>
        </w:numPr>
      </w:pPr>
      <w:r>
        <w:t xml:space="preserve">AI-ready rule sets for automation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Simulation-ready scenarios</w:t>
      </w:r>
    </w:p>
    <w:p>
      <w:pPr>
        <w:pStyle w:val="Heading1"/>
      </w:pPr>
      <w:r>
        <w:t xml:space="preserve">1.4 Evidence Ledger™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Immutable Audit Trail</w:t>
      </w:r>
      <w:r>
        <w:rPr>
          <w:b/>
          <w:bCs/>
        </w:rPr>
        <w:t xml:space="preserve"> | Status: </w:t>
      </w:r>
      <w:r>
        <w:t xml:space="preserve">Production</w:t>
      </w:r>
    </w:p>
    <w:p>
      <w:pPr>
        <w:pStyle w:val="Heading3"/>
      </w:pPr>
      <w:r>
        <w:t xml:space="preserve">Description</w:t>
      </w:r>
    </w:p>
    <w:p>
      <w:pPr>
        <w:spacing w:after="200"/>
      </w:pPr>
      <w:r>
        <w:t xml:space="preserve">The Evidence Ledger creates an immutable record of every decision, action, communication, and outcome during operations. It supports compliance documentation, after-action review, and continuous improvement.</w:t>
      </w:r>
    </w:p>
    <w:p>
      <w:pPr>
        <w:pStyle w:val="Heading3"/>
      </w:pPr>
      <w:r>
        <w:t xml:space="preserve">Captured Data</w:t>
      </w:r>
    </w:p>
    <w:p>
      <w:pPr>
        <w:pStyle w:val="ListParagraph"/>
        <w:numPr>
          <w:ilvl w:val="0"/>
          <w:numId w:val="2"/>
        </w:numPr>
      </w:pPr>
      <w:r>
        <w:t xml:space="preserve">All task assignments, completions, and escalations</w:t>
      </w:r>
    </w:p>
    <w:p>
      <w:pPr>
        <w:pStyle w:val="ListParagraph"/>
        <w:numPr>
          <w:ilvl w:val="0"/>
          <w:numId w:val="2"/>
        </w:numPr>
      </w:pPr>
      <w:r>
        <w:t xml:space="preserve">Decision points with context and rationale</w:t>
      </w:r>
    </w:p>
    <w:p>
      <w:pPr>
        <w:pStyle w:val="ListParagraph"/>
        <w:numPr>
          <w:ilvl w:val="0"/>
          <w:numId w:val="2"/>
        </w:numPr>
      </w:pPr>
      <w:r>
        <w:t xml:space="preserve">Communication logs across stakeholders</w:t>
      </w:r>
    </w:p>
    <w:p>
      <w:pPr>
        <w:pStyle w:val="ListParagraph"/>
        <w:numPr>
          <w:ilvl w:val="0"/>
          <w:numId w:val="2"/>
        </w:numPr>
      </w:pPr>
      <w:r>
        <w:t xml:space="preserve">System state changes and anomalies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Timestamps with sub-second precision</w:t>
      </w:r>
    </w:p>
    <w:p>
      <w:pPr>
        <w:pStyle w:val="Heading3"/>
      </w:pPr>
      <w:r>
        <w:t xml:space="preserve">Value</w:t>
      </w:r>
    </w:p>
    <w:p>
      <w:pPr>
        <w:pStyle w:val="ListParagraph"/>
        <w:numPr>
          <w:ilvl w:val="0"/>
          <w:numId w:val="2"/>
        </w:numPr>
      </w:pPr>
      <w:r>
        <w:t xml:space="preserve">Compliance documentation for audits and insurance</w:t>
      </w:r>
    </w:p>
    <w:p>
      <w:pPr>
        <w:pStyle w:val="ListParagraph"/>
        <w:numPr>
          <w:ilvl w:val="0"/>
          <w:numId w:val="2"/>
        </w:numPr>
      </w:pPr>
      <w:r>
        <w:t xml:space="preserve">HSEEP-aligned after-action reports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Pattern recognition for continuous improvement</w:t>
      </w:r>
    </w:p>
    <w:p>
      <w:pPr>
        <w:pStyle w:val="Heading1"/>
      </w:pPr>
      <w:r>
        <w:t xml:space="preserve">1.5 Simulation Engine™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Scenario Modeling &amp; Digital Twin Testing</w:t>
      </w:r>
      <w:r>
        <w:rPr>
          <w:b/>
          <w:bCs/>
        </w:rPr>
        <w:t xml:space="preserve"> | Status: </w:t>
      </w:r>
      <w:r>
        <w:t xml:space="preserve">Production</w:t>
      </w:r>
    </w:p>
    <w:p>
      <w:pPr>
        <w:pStyle w:val="Heading3"/>
      </w:pPr>
      <w:r>
        <w:t xml:space="preserve">Description</w:t>
      </w:r>
    </w:p>
    <w:p>
      <w:pPr>
        <w:spacing w:after="200"/>
      </w:pPr>
      <w:r>
        <w:t xml:space="preserve">The Simulation Engine enables testing of operational scenarios before live deployment. It supports tabletop exercises, functional drills, and full-scale simulations at variable speeds (1x, 2x, 8x).</w:t>
      </w:r>
    </w:p>
    <w:p>
      <w:pPr>
        <w:pStyle w:val="Heading3"/>
      </w:pPr>
      <w:r>
        <w:t xml:space="preserve">Scenario Types</w:t>
      </w:r>
    </w:p>
    <w:p>
      <w:pPr>
        <w:pStyle w:val="ListParagraph"/>
        <w:numPr>
          <w:ilvl w:val="0"/>
          <w:numId w:val="2"/>
        </w:numPr>
      </w:pPr>
      <w:r>
        <w:t xml:space="preserve">Severe weather events (hurricane, tornado, flood)</w:t>
      </w:r>
    </w:p>
    <w:p>
      <w:pPr>
        <w:pStyle w:val="ListParagraph"/>
        <w:numPr>
          <w:ilvl w:val="0"/>
          <w:numId w:val="2"/>
        </w:numPr>
      </w:pPr>
      <w:r>
        <w:t xml:space="preserve">Cyber-physical incidents (infrastructure breach, system failure)</w:t>
      </w:r>
    </w:p>
    <w:p>
      <w:pPr>
        <w:pStyle w:val="ListParagraph"/>
        <w:numPr>
          <w:ilvl w:val="0"/>
          <w:numId w:val="2"/>
        </w:numPr>
      </w:pPr>
      <w:r>
        <w:t xml:space="preserve">VIP/NSSE scenarios (dignitary visits, national events)</w:t>
      </w:r>
    </w:p>
    <w:p>
      <w:pPr>
        <w:pStyle w:val="ListParagraph"/>
        <w:numPr>
          <w:ilvl w:val="0"/>
          <w:numId w:val="2"/>
        </w:numPr>
      </w:pPr>
      <w:r>
        <w:t xml:space="preserve">Crowd surge and evacuation scenarios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Multi-agency coordination exercises</w:t>
      </w:r>
    </w:p>
    <w:p>
      <w:r>
        <w:br w:type="page"/>
      </w:r>
    </w:p>
    <w:p>
      <w:pPr>
        <w:pStyle w:val="Heading1"/>
      </w:pPr>
      <w:r>
        <w:t xml:space="preserve">1.6 SIPE Engine™ (Founders Engine Component)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IP Extraction &amp; Royalty Calculation</w:t>
      </w:r>
      <w:r>
        <w:rPr>
          <w:b/>
          <w:bCs/>
        </w:rPr>
        <w:t xml:space="preserve"> | Status: </w:t>
      </w:r>
      <w:r>
        <w:t xml:space="preserve">Specification Complete</w:t>
      </w:r>
      <w:r>
        <w:rPr>
          <w:b/>
          <w:bCs/>
          <w:color w:val="DC2626"/>
        </w:rPr>
        <w:t xml:space="preserve"> | Classification: </w:t>
      </w:r>
      <w:r>
        <w:rPr>
          <w:color w:val="DC2626"/>
        </w:rPr>
        <w:t xml:space="preserve">Founder Eyes Only</w:t>
      </w:r>
    </w:p>
    <w:p>
      <w:pPr>
        <w:pStyle w:val="Heading3"/>
      </w:pPr>
      <w:r>
        <w:t xml:space="preserve">Description</w:t>
      </w:r>
    </w:p>
    <w:p>
      <w:pPr>
        <w:spacing w:after="200"/>
      </w:pPr>
      <w:r>
        <w:t xml:space="preserve">SIPE (Sentrais IP Extraction) automatically calculates founder royalties based on IP usage in sales and implementations. It tracks which IP assets are used, by which entity, for what revenue.</w:t>
      </w:r>
    </w:p>
    <w:p>
      <w:pPr>
        <w:pStyle w:val="Heading3"/>
      </w:pPr>
      <w:r>
        <w:t xml:space="preserve">Royalty Rate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IP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Base Royalty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Methodology (NIN, frameworks)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</w:tr>
    </w:tbl>
    <w:p>
      <w:pPr>
        <w:pStyle w:val="Heading1"/>
        <w:spacing w:before="300"/>
      </w:pPr>
      <w:r>
        <w:t xml:space="preserve">1.7 Revenue Oracle™ (Founders Engine Component)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Predictive Forecasting</w:t>
      </w:r>
      <w:r>
        <w:rPr>
          <w:b/>
          <w:bCs/>
          <w:color w:val="DC2626"/>
        </w:rPr>
        <w:t xml:space="preserve"> | Classification: </w:t>
      </w:r>
      <w:r>
        <w:rPr>
          <w:color w:val="DC2626"/>
        </w:rPr>
        <w:t xml:space="preserve">Founder Eyes Only</w:t>
      </w:r>
    </w:p>
    <w:p>
      <w:pPr>
        <w:pStyle w:val="Heading3"/>
      </w:pPr>
      <w:r>
        <w:t xml:space="preserve">Description</w:t>
      </w:r>
    </w:p>
    <w:p>
      <w:pPr>
        <w:spacing w:after="200"/>
      </w:pPr>
      <w:r>
        <w:t xml:space="preserve">The Revenue Oracle provides forward-looking predictions of founder income based on pipeline deals, active implementations, and historical patterns. It forecasts royalties 12-24 months ahead.</w:t>
      </w:r>
    </w:p>
    <w:p>
      <w:pPr>
        <w:pStyle w:val="Heading3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t xml:space="preserve">Closed deals with IP attribution</w:t>
      </w:r>
    </w:p>
    <w:p>
      <w:pPr>
        <w:pStyle w:val="ListParagraph"/>
        <w:numPr>
          <w:ilvl w:val="0"/>
          <w:numId w:val="2"/>
        </w:numPr>
      </w:pPr>
      <w:r>
        <w:t xml:space="preserve">Pipeline deals with probability weighting</w:t>
      </w:r>
    </w:p>
    <w:p>
      <w:pPr>
        <w:pStyle w:val="ListParagraph"/>
        <w:numPr>
          <w:ilvl w:val="0"/>
          <w:numId w:val="2"/>
        </w:numPr>
      </w:pPr>
      <w:r>
        <w:t xml:space="preserve">Historical close rates by deal type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Seasonal patterns and market trends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PART 2: OPERATIONAL PLAYBOOKS</w:t>
            </w:r>
          </w:p>
        </w:tc>
      </w:tr>
    </w:tbl>
    <w:p>
      <w:pPr>
        <w:pStyle w:val="Heading1"/>
        <w:spacing w:before="400"/>
      </w:pPr>
      <w:r>
        <w:t xml:space="preserve">2.1 GameDay Operations Playbook</w:t>
      </w:r>
    </w:p>
    <w:p>
      <w:pPr>
        <w:spacing w:after="100"/>
      </w:pPr>
      <w:r>
        <w:rPr>
          <w:b/>
          <w:bCs/>
        </w:rPr>
        <w:t xml:space="preserve">Platform: </w:t>
      </w:r>
      <w:r>
        <w:t xml:space="preserve">EVERGAME</w:t>
      </w:r>
      <w:r>
        <w:rPr>
          <w:b/>
          <w:bCs/>
        </w:rPr>
        <w:t xml:space="preserve"> | Status: </w:t>
      </w:r>
      <w:r>
        <w:t xml:space="preserve">Active (NFL)</w:t>
      </w:r>
    </w:p>
    <w:p>
      <w:pPr>
        <w:pStyle w:val="Heading3"/>
      </w:pPr>
      <w:r>
        <w:t xml:space="preserve">Purpose</w:t>
      </w:r>
    </w:p>
    <w:p>
      <w:pPr>
        <w:spacing w:after="200"/>
      </w:pPr>
      <w:r>
        <w:t xml:space="preserve">Orchestrates all game day technology operations across stadium systems, ensuring synchronized execution from T-24 hours through T+1 hour post-event.</w:t>
      </w:r>
    </w:p>
    <w:p>
      <w:pPr>
        <w:pStyle w:val="Heading3"/>
      </w:pPr>
      <w:r>
        <w:t xml:space="preserve">Systems Orchestrated</w:t>
      </w:r>
    </w:p>
    <w:p>
      <w:pPr>
        <w:spacing w:after="200"/>
      </w:pPr>
      <w:r>
        <w:t xml:space="preserve">8 stadium technology systems: IVRS, FTR, IR TECH, O2O, WiFi, C2P, SVS, EFC</w:t>
      </w:r>
    </w:p>
    <w:p>
      <w:pPr>
        <w:pStyle w:val="Heading3"/>
      </w:pPr>
      <w:r>
        <w:t xml:space="preserve">Critical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T-24h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readiness checks, role assignments, pre-flight 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T-4h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system activation, stakeholder briefing, contingency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T-0 (Kickoff)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operations, real-time monitoring, incident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T+1h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shutdown, evidence capture, preliminary debrief</w:t>
            </w:r>
          </w:p>
        </w:tc>
      </w:tr>
    </w:tbl>
    <w:p>
      <w:pPr>
        <w:pStyle w:val="Heading3"/>
        <w:spacing w:before="200"/>
      </w:pPr>
      <w:r>
        <w:t xml:space="preserve">Role Types</w:t>
      </w:r>
    </w:p>
    <w:p>
      <w:pPr>
        <w:spacing w:after="300"/>
      </w:pPr>
      <w:r>
        <w:t xml:space="preserve">6 role types coordinating 50+ tasks across all milestones</w:t>
      </w:r>
    </w:p>
    <w:p>
      <w:pPr>
        <w:pStyle w:val="Heading1"/>
      </w:pPr>
      <w:r>
        <w:t xml:space="preserve">2.2 Crisis Response Playbook</w:t>
      </w:r>
    </w:p>
    <w:p>
      <w:pPr>
        <w:spacing w:after="100"/>
      </w:pPr>
      <w:r>
        <w:rPr>
          <w:b/>
          <w:bCs/>
        </w:rPr>
        <w:t xml:space="preserve">Platform: </w:t>
      </w:r>
      <w:r>
        <w:t xml:space="preserve">CiviGrid</w:t>
      </w:r>
      <w:r>
        <w:rPr>
          <w:b/>
          <w:bCs/>
        </w:rPr>
        <w:t xml:space="preserve"> | Status: </w:t>
      </w:r>
      <w:r>
        <w:t xml:space="preserve">Production</w:t>
      </w:r>
    </w:p>
    <w:p>
      <w:pPr>
        <w:pStyle w:val="Heading3"/>
      </w:pPr>
      <w:r>
        <w:t xml:space="preserve">Purpose</w:t>
      </w:r>
    </w:p>
    <w:p>
      <w:pPr>
        <w:spacing w:after="200"/>
      </w:pPr>
      <w:r>
        <w:t xml:space="preserve">Coordinates multi-agency emergency response for SEAR-level events, integrating police, fire, EMS, transit, utilities, and federal partners into unified command.</w:t>
      </w:r>
    </w:p>
    <w:p>
      <w:pPr>
        <w:pStyle w:val="Heading3"/>
      </w:pPr>
      <w:r>
        <w:t xml:space="preserve">Orchestration Stages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Readiness &amp; Compliance: </w:t>
      </w:r>
      <w:r>
        <w:t xml:space="preserve">Living blueprints, certification pre-checks, digital simulations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 Operations: </w:t>
      </w:r>
      <w:r>
        <w:t xml:space="preserve">Digital playbooks, incident response, multi-agency COP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After-Action Learning: </w:t>
      </w:r>
      <w:r>
        <w:t xml:space="preserve">Evidence ledger, auto-generated analytics, benchmarking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Certification &amp; Renewal: </w:t>
      </w:r>
      <w:r>
        <w:t xml:space="preserve">Readiness scores, FEMA alignment, continuous updates</w:t>
      </w:r>
    </w:p>
    <w:p>
      <w:r>
        <w:br w:type="page"/>
      </w:r>
    </w:p>
    <w:p>
      <w:pPr>
        <w:pStyle w:val="Heading1"/>
      </w:pPr>
      <w:r>
        <w:t xml:space="preserve">2.3 Innovation Program Office (IPO) Playbook</w:t>
      </w:r>
    </w:p>
    <w:p>
      <w:pPr>
        <w:spacing w:after="100"/>
      </w:pPr>
      <w:r>
        <w:rPr>
          <w:b/>
          <w:bCs/>
        </w:rPr>
        <w:t xml:space="preserve">Platform: </w:t>
      </w:r>
      <w:r>
        <w:t xml:space="preserve">Sentrais Innovation Hub</w:t>
      </w:r>
      <w:r>
        <w:rPr>
          <w:b/>
          <w:bCs/>
        </w:rPr>
        <w:t xml:space="preserve"> | Status: </w:t>
      </w:r>
      <w:r>
        <w:t xml:space="preserve">Active (NFL Innovation Hub)</w:t>
      </w:r>
    </w:p>
    <w:p>
      <w:pPr>
        <w:pStyle w:val="Heading3"/>
      </w:pPr>
      <w:r>
        <w:t xml:space="preserve">Purpose</w:t>
      </w:r>
    </w:p>
    <w:p>
      <w:pPr>
        <w:spacing w:after="200"/>
      </w:pPr>
      <w:r>
        <w:t xml:space="preserve">Operates as a performance-driven innovation lab modeled after venture capital accelerators. Tracks business outcomes, monetization opportunities, and measurable ROI from innovation challenges.</w:t>
      </w:r>
    </w:p>
    <w:p>
      <w:pPr>
        <w:pStyle w:val="Heading3"/>
      </w:pPr>
      <w:r>
        <w:t xml:space="preserve">IPO Engagement Lifecycle (NIN-Aligned)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Forensic Discovery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 full innovation context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Brief, Innovation Thesis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Diagnose Constraints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 blockers &amp; opportunities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Profile, Monetization 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Targeted POC Design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outcome-driven pilot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Canvas, ROI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Sign-Off &amp; Launch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 approval, stakeholder sign-off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 Plan, Funding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+ Reporting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velocity, iterate, report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Readouts, Outcome Summary</w:t>
            </w:r>
          </w:p>
        </w:tc>
      </w:tr>
    </w:tbl>
    <w:p>
      <w:pPr>
        <w:pStyle w:val="Heading1"/>
        <w:spacing w:before="300"/>
      </w:pPr>
      <w:r>
        <w:t xml:space="preserve">2.4 Venue Operations Playbook</w:t>
      </w:r>
    </w:p>
    <w:p>
      <w:pPr>
        <w:spacing w:after="100"/>
      </w:pPr>
      <w:r>
        <w:rPr>
          <w:b/>
          <w:bCs/>
        </w:rPr>
        <w:t xml:space="preserve">Platform: </w:t>
      </w:r>
      <w:r>
        <w:t xml:space="preserve">Evenu.ai</w:t>
      </w:r>
      <w:r>
        <w:rPr>
          <w:b/>
          <w:bCs/>
          <w:color w:val="0F766E"/>
        </w:rPr>
        <w:t xml:space="preserve"> | Tagline: </w:t>
      </w:r>
      <w:r>
        <w:rPr>
          <w:i/>
          <w:iCs/>
        </w:rPr>
        <w:t xml:space="preserve">"Every Seat, System, Second"</w:t>
      </w:r>
    </w:p>
    <w:p>
      <w:pPr>
        <w:pStyle w:val="Heading3"/>
      </w:pPr>
      <w:r>
        <w:t xml:space="preserve">Purpose</w:t>
      </w:r>
    </w:p>
    <w:p>
      <w:pPr>
        <w:spacing w:after="200"/>
      </w:pPr>
      <w:r>
        <w:t xml:space="preserve">Orchestrates venue-level operations including facilities management, asset telemetry, crowd awareness, infrastructure monitoring, and coordination with city-level systems (CiviGrid).</w:t>
      </w:r>
    </w:p>
    <w:p>
      <w:pPr>
        <w:pStyle w:val="Heading3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</w:pPr>
      <w:r>
        <w:t xml:space="preserve">Facilities and asset telemetry monitoring</w:t>
      </w:r>
    </w:p>
    <w:p>
      <w:pPr>
        <w:pStyle w:val="ListParagraph"/>
        <w:numPr>
          <w:ilvl w:val="0"/>
          <w:numId w:val="2"/>
        </w:numPr>
      </w:pPr>
      <w:r>
        <w:t xml:space="preserve">Crowd density and flow awareness</w:t>
      </w:r>
    </w:p>
    <w:p>
      <w:pPr>
        <w:pStyle w:val="ListParagraph"/>
        <w:numPr>
          <w:ilvl w:val="0"/>
          <w:numId w:val="2"/>
        </w:numPr>
      </w:pPr>
      <w:r>
        <w:t xml:space="preserve">Infrastructure health monitoring</w:t>
      </w:r>
    </w:p>
    <w:p>
      <w:pPr>
        <w:pStyle w:val="ListParagraph"/>
        <w:numPr>
          <w:ilvl w:val="0"/>
          <w:numId w:val="2"/>
        </w:numPr>
      </w:pPr>
      <w:r>
        <w:t xml:space="preserve">Integration with city coordination (CiviGrid)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Evacuation decision support</w:t>
      </w:r>
    </w:p>
    <w:p>
      <w:pPr>
        <w:pStyle w:val="Heading1"/>
      </w:pPr>
      <w:r>
        <w:t xml:space="preserve">2.5 Client Engagement Playbook</w:t>
      </w:r>
    </w:p>
    <w:p>
      <w:pPr>
        <w:spacing w:after="100"/>
      </w:pPr>
      <w:r>
        <w:rPr>
          <w:b/>
          <w:bCs/>
        </w:rPr>
        <w:t xml:space="preserve">Methodology: </w:t>
      </w:r>
      <w:r>
        <w:t xml:space="preserve">NIN (N-Ovate Innovation Nexus)</w:t>
      </w:r>
      <w:r>
        <w:rPr>
          <w:b/>
          <w:bCs/>
        </w:rPr>
        <w:t xml:space="preserve"> | Status: </w:t>
      </w:r>
      <w:r>
        <w:t xml:space="preserve">Active</w:t>
      </w:r>
    </w:p>
    <w:p>
      <w:pPr>
        <w:pStyle w:val="Heading3"/>
      </w:pPr>
      <w:r>
        <w:t xml:space="preserve">Five-Phase Engagement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</w:rPr>
              <w:t xml:space="preserve">DISCOVER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the unseen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Blueprint, Stakeholder Trust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DIAGNOSE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friction, name patterns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Gap Analysis, Risk Matrix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</w:rPr>
              <w:t xml:space="preserve">DESIGN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with context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Digitized Blueprint, AI-Ready Rules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DEPLOY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 it live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Twin, Live Feedback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DEBRIEF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Truth over performance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Next-Gen Blueprint, Retraining Triggers</w:t>
            </w:r>
          </w:p>
        </w:tc>
      </w:tr>
    </w:tbl>
    <w:p>
      <w:pPr>
        <w:spacing w:before="400"/>
        <w:jc w:val="center"/>
      </w:pPr>
      <w:r>
        <w:rPr>
          <w:color w:val="999999"/>
          <w:sz w:val="18"/>
          <w:szCs w:val="18"/>
        </w:rPr>
        <w:t xml:space="preserve">© Sentrais Corporation | Playbooks &amp; Engines Reference</w:t>
      </w:r>
    </w:p>
    <w:p>
      <w:pPr>
        <w:jc w:val="center"/>
      </w:pPr>
      <w:r>
        <w:rPr>
          <w:color w:val="999999"/>
          <w:sz w:val="18"/>
          <w:szCs w:val="18"/>
        </w:rPr>
        <w:t xml:space="preserve">Version 1.0 |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CONFIDENTIAL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A365D"/>
        <w:sz w:val="18"/>
        <w:szCs w:val="18"/>
      </w:rPr>
      <w:t xml:space="preserve">SENTRAIS | </w:t>
    </w:r>
    <w:r>
      <w:rPr>
        <w:color w:val="666666"/>
        <w:sz w:val="18"/>
        <w:szCs w:val="18"/>
      </w:rPr>
      <w:t xml:space="preserve">Playbooks &amp; Engines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2026-01-25T21:32:55.650Z</dcterms:created>
  <dcterms:modified xsi:type="dcterms:W3CDTF">2026-01-25T21:32:55.651Z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