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rFonts w:ascii="Arial" w:cs="Arial" w:eastAsia="Arial" w:hAnsi="Arial"/>
          <w:b/>
          <w:bCs/>
          <w:color w:val="0A1628"/>
          <w:sz w:val="52"/>
          <w:szCs w:val="52"/>
        </w:rPr>
        <w:t xml:space="preserve">SENTRAIS</w:t>
      </w:r>
    </w:p>
    <w:p>
      <w:pPr>
        <w:spacing w:before="200"/>
      </w:pPr>
    </w:p>
    <w:p>
      <w:pPr>
        <w:pBdr>
          <w:bottom w:val="single" w:color="0A1628" w:sz="6"/>
        </w:pBdr>
      </w:pPr>
    </w:p>
    <w:p>
      <w:pPr>
        <w:spacing w:before="300"/>
      </w:pPr>
    </w:p>
    <w:p>
      <w:r>
        <w:rPr>
          <w:rFonts w:ascii="Arial" w:cs="Arial" w:eastAsia="Arial" w:hAnsi="Arial"/>
          <w:b/>
          <w:bCs/>
          <w:color w:val="0A1628"/>
          <w:sz w:val="40"/>
          <w:szCs w:val="40"/>
        </w:rPr>
        <w:t xml:space="preserve">FORGE v3.0 Architecture Review</w:t>
      </w:r>
    </w:p>
    <w:p>
      <w:pPr>
        <w:spacing w:before="100"/>
      </w:pPr>
      <w:r>
        <w:rPr>
          <w:rFonts w:ascii="Arial" w:cs="Arial" w:eastAsia="Arial" w:hAnsi="Arial"/>
          <w:color w:val="1A5276"/>
          <w:sz w:val="22"/>
          <w:szCs w:val="22"/>
        </w:rPr>
        <w:t xml:space="preserve">SAFe Agile Gap Analysis  |  Security &amp; IAM Design  |  Client Microsite Architecture</w:t>
      </w:r>
    </w:p>
    <w:p>
      <w:pPr>
        <w:spacing w:before="600"/>
      </w:pPr>
    </w:p>
    <w:p>
      <w:r>
        <w:rPr>
          <w:rFonts w:ascii="Arial" w:cs="Arial" w:eastAsia="Arial" w:hAnsi="Arial"/>
          <w:b/>
          <w:bCs/>
          <w:color w:val="C0392B"/>
          <w:sz w:val="20"/>
          <w:szCs w:val="20"/>
        </w:rPr>
        <w:t xml:space="preserve">Classification: RESTRICTED</w:t>
      </w:r>
    </w:p>
    <w:p>
      <w:pPr>
        <w:spacing w:before="100"/>
      </w:pPr>
      <w:r>
        <w:rPr>
          <w:rFonts w:ascii="Arial" w:cs="Arial" w:eastAsia="Arial" w:hAnsi="Arial"/>
          <w:color w:val="1C2833"/>
          <w:sz w:val="18"/>
          <w:szCs w:val="18"/>
        </w:rPr>
        <w:t xml:space="preserve">Executive Access Only</w:t>
      </w:r>
    </w:p>
    <w:p>
      <w:pPr>
        <w:spacing w:before="400"/>
      </w:pPr>
    </w:p>
    <w:p>
      <w:r>
        <w:rPr>
          <w:rFonts w:ascii="Arial" w:cs="Arial" w:eastAsia="Arial" w:hAnsi="Arial"/>
          <w:color w:val="1C2833"/>
          <w:sz w:val="18"/>
          <w:szCs w:val="18"/>
        </w:rPr>
        <w:t xml:space="preserve">Prepared: February 8, 2026</w:t>
      </w:r>
    </w:p>
    <w:p>
      <w:r>
        <w:rPr>
          <w:rFonts w:ascii="Arial" w:cs="Arial" w:eastAsia="Arial" w:hAnsi="Arial"/>
          <w:color w:val="1C2833"/>
          <w:sz w:val="18"/>
          <w:szCs w:val="18"/>
        </w:rPr>
        <w:t xml:space="preserve">Version: 3.0-R1 (Review Supplement)</w:t>
      </w:r>
    </w:p>
    <w:p>
      <w:r>
        <w:rPr>
          <w:rFonts w:ascii="Arial" w:cs="Arial" w:eastAsia="Arial" w:hAnsi="Arial"/>
          <w:color w:val="1C2833"/>
          <w:sz w:val="18"/>
          <w:szCs w:val="18"/>
        </w:rPr>
        <w:t xml:space="preserve">Author: FORGE Strategy Engine</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0A162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rPr>
          <w:rFonts w:ascii="Arial" w:cs="Arial" w:eastAsia="Arial" w:hAnsi="Arial"/>
          <w:sz w:val="20"/>
          <w:szCs w:val="20"/>
        </w:rPr>
        <w:t xml:space="preserve"/>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0A1628"/>
          <w:sz w:val="32"/>
          <w:szCs w:val="32"/>
        </w:rPr>
        <w:t xml:space="preserve">1. SAFe Agile Coverage Assessment</w:t>
      </w:r>
    </w:p>
    <w:p>
      <w:pPr>
        <w:spacing w:after="120" w:line="276"/>
      </w:pPr>
      <w:r>
        <w:rPr>
          <w:rFonts w:ascii="Arial" w:cs="Arial" w:eastAsia="Arial" w:hAnsi="Arial"/>
          <w:color w:val="1C2833"/>
          <w:sz w:val="20"/>
          <w:szCs w:val="20"/>
        </w:rPr>
        <w:t xml:space="preserve">FORGE v3.0 references SAFe integration through the Agile PMO playbook (Section 5.4) and inherits SAFe principles from SIPE v1.0 Core Architecture. This assessment maps every SAFe 6.0 core competency against FORGE capabilities to identify coverage depth and gaps requiring remediation before the March 15 cutover.</w:t>
      </w:r>
    </w:p>
    <w:p>
      <w:pPr>
        <w:pStyle w:val="Heading2"/>
        <w:spacing w:before="300" w:after="150"/>
      </w:pPr>
      <w:r>
        <w:rPr>
          <w:rFonts w:ascii="Arial" w:cs="Arial" w:eastAsia="Arial" w:hAnsi="Arial"/>
          <w:b/>
          <w:bCs/>
          <w:color w:val="1A5276"/>
          <w:sz w:val="26"/>
          <w:szCs w:val="26"/>
        </w:rPr>
        <w:t xml:space="preserve">1.1 SAFe Core Competency Coverage Matrix</w:t>
      </w:r>
    </w:p>
    <w:p>
      <w:pPr>
        <w:spacing w:after="120" w:line="276"/>
      </w:pPr>
      <w:r>
        <w:rPr>
          <w:rFonts w:ascii="Arial" w:cs="Arial" w:eastAsia="Arial" w:hAnsi="Arial"/>
          <w:color w:val="1C2833"/>
          <w:sz w:val="20"/>
          <w:szCs w:val="20"/>
        </w:rPr>
        <w:t xml:space="preserve">The following matrix evaluates FORGE v3.0 against the seven core competencies of the SAFe 6.0 framework. Each competency is scored as COVERED, PARTIAL, or GAP based on the degree to which FORGE operationalizes the capability through playbooks, agents, or governance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560"/>
        <w:gridCol w:w="1800"/>
      </w:tblGrid>
      <w:tr>
        <w:tc>
          <w:tcPr>
            <w:tcW w:type="dxa" w:w="28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SAFe 6.0 Competency</w:t>
            </w:r>
          </w:p>
        </w:tc>
        <w:tc>
          <w:tcPr>
            <w:tcW w:type="dxa" w:w="32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FORGE Coverage</w:t>
            </w:r>
          </w:p>
        </w:tc>
        <w:tc>
          <w:tcPr>
            <w:tcW w:type="dxa" w:w="156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8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Gap Action</w:t>
            </w:r>
          </w:p>
        </w:tc>
      </w:tr>
      <w:tr>
        <w:tc>
          <w:tcPr>
            <w:tcW w:type="dxa" w:w="2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Lean-Agile Leadership</w:t>
            </w:r>
          </w:p>
        </w:tc>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Governance Agent + 80% Resilience Gate + CEO override protocol enforces leadership decision governance</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COVERED</w:t>
            </w:r>
          </w:p>
        </w:tc>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None required</w:t>
            </w:r>
          </w:p>
        </w:tc>
      </w:tr>
      <w:tr>
        <w:tc>
          <w:tcPr>
            <w:tcW w:type="dxa" w:w="2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Team &amp; Technical Agility</w:t>
            </w:r>
          </w:p>
        </w:tc>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Agile PM Agent manages sprints, velocity, burndown. QA Agent validates acceptance criteria. DevOps implied but not explicit.</w:t>
            </w:r>
          </w:p>
        </w:tc>
        <w:tc>
          <w:tcPr>
            <w:tcW w:type="dxa" w:w="1560"/>
            <w:tcBorders>
              <w:top w:val="single" w:color="D5DBE1" w:sz="1"/>
              <w:left w:val="single" w:color="D5DBE1" w:sz="1"/>
              <w:bottom w:val="single" w:color="D5DBE1" w:sz="1"/>
              <w:right w:val="single" w:color="D5DBE1" w:sz="1"/>
            </w:tcBorders>
            <w:shd w:fill="FEF9E7" w:val="clear"/>
            <w:tcMar>
              <w:top w:type="dxa" w:w="80"/>
              <w:left w:type="dxa" w:w="120"/>
              <w:bottom w:type="dxa" w:w="80"/>
              <w:right w:type="dxa" w:w="120"/>
            </w:tcMar>
            <w:vAlign w:val="center"/>
          </w:tcPr>
          <w:p>
            <w:pPr>
              <w:jc w:val="center"/>
            </w:pPr>
            <w:r>
              <w:rPr>
                <w:rFonts w:ascii="Arial" w:cs="Arial" w:eastAsia="Arial" w:hAnsi="Arial"/>
                <w:b/>
                <w:bCs/>
                <w:color w:val="D4AC0D"/>
                <w:sz w:val="18"/>
                <w:szCs w:val="18"/>
              </w:rPr>
              <w:t xml:space="preserve">PARTIAL</w:t>
            </w:r>
          </w:p>
        </w:tc>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Add explicit DevOps pipeline playbook and CI/CD agent integration</w:t>
            </w:r>
          </w:p>
        </w:tc>
      </w:tr>
      <w:tr>
        <w:tc>
          <w:tcPr>
            <w:tcW w:type="dxa" w:w="2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Agile Product Delivery</w:t>
            </w:r>
          </w:p>
        </w:tc>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NIN 5-phase lifecycle covers Discover through Debrief. Design-thinking embedded in Architecture Agent.</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COVERED</w:t>
            </w:r>
          </w:p>
        </w:tc>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None required</w:t>
            </w:r>
          </w:p>
        </w:tc>
      </w:tr>
      <w:tr>
        <w:tc>
          <w:tcPr>
            <w:tcW w:type="dxa" w:w="2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Enterprise Solution Delivery</w:t>
            </w:r>
          </w:p>
        </w:tc>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Multi-system integration via Data Engineering Agent. Architecture Agent handles solution design.</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COVERED</w:t>
            </w:r>
          </w:p>
        </w:tc>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None required</w:t>
            </w:r>
          </w:p>
        </w:tc>
      </w:tr>
      <w:tr>
        <w:tc>
          <w:tcPr>
            <w:tcW w:type="dxa" w:w="2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Lean Portfolio Management</w:t>
            </w:r>
          </w:p>
        </w:tc>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Portfolio Agent manages pipeline, alignment, resource balancing. Financial Agent tracks engagement P&amp;L.</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COVERED</w:t>
            </w:r>
          </w:p>
        </w:tc>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None required</w:t>
            </w:r>
          </w:p>
        </w:tc>
      </w:tr>
      <w:tr>
        <w:tc>
          <w:tcPr>
            <w:tcW w:type="dxa" w:w="2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Organizational Agility</w:t>
            </w:r>
          </w:p>
        </w:tc>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Change Agent maps sentiment and adoption. Business Engineering Agent models operating models. Limited Lean budgets.</w:t>
            </w:r>
          </w:p>
        </w:tc>
        <w:tc>
          <w:tcPr>
            <w:tcW w:type="dxa" w:w="1560"/>
            <w:tcBorders>
              <w:top w:val="single" w:color="D5DBE1" w:sz="1"/>
              <w:left w:val="single" w:color="D5DBE1" w:sz="1"/>
              <w:bottom w:val="single" w:color="D5DBE1" w:sz="1"/>
              <w:right w:val="single" w:color="D5DBE1" w:sz="1"/>
            </w:tcBorders>
            <w:shd w:fill="FEF9E7" w:val="clear"/>
            <w:tcMar>
              <w:top w:type="dxa" w:w="80"/>
              <w:left w:type="dxa" w:w="120"/>
              <w:bottom w:type="dxa" w:w="80"/>
              <w:right w:type="dxa" w:w="120"/>
            </w:tcMar>
            <w:vAlign w:val="center"/>
          </w:tcPr>
          <w:p>
            <w:pPr>
              <w:jc w:val="center"/>
            </w:pPr>
            <w:r>
              <w:rPr>
                <w:rFonts w:ascii="Arial" w:cs="Arial" w:eastAsia="Arial" w:hAnsi="Arial"/>
                <w:b/>
                <w:bCs/>
                <w:color w:val="D4AC0D"/>
                <w:sz w:val="18"/>
                <w:szCs w:val="18"/>
              </w:rPr>
              <w:t xml:space="preserve">PARTIAL</w:t>
            </w:r>
          </w:p>
        </w:tc>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Add Lean budget guardrails to Financial Agent</w:t>
            </w:r>
          </w:p>
        </w:tc>
      </w:tr>
      <w:tr>
        <w:tc>
          <w:tcPr>
            <w:tcW w:type="dxa" w:w="2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Continuous Learning Culture</w:t>
            </w:r>
          </w:p>
        </w:tc>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Learning Agent + self-learning engine + retrospective analysis. Training Agent tracks competency gaps.</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COVERED</w:t>
            </w:r>
          </w:p>
        </w:tc>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None required</w:t>
            </w:r>
          </w:p>
        </w:tc>
      </w:tr>
    </w:tbl>
    <w:p>
      <w:pPr>
        <w:spacing w:before="200"/>
      </w:pPr>
    </w:p>
    <w:p>
      <w:pPr>
        <w:pStyle w:val="Heading2"/>
        <w:spacing w:before="300" w:after="150"/>
      </w:pPr>
      <w:r>
        <w:rPr>
          <w:rFonts w:ascii="Arial" w:cs="Arial" w:eastAsia="Arial" w:hAnsi="Arial"/>
          <w:b/>
          <w:bCs/>
          <w:color w:val="1A5276"/>
          <w:sz w:val="26"/>
          <w:szCs w:val="26"/>
        </w:rPr>
        <w:t xml:space="preserve">1.2 SAFe Structural Elements in FORGE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560"/>
        <w:gridCol w:w="2600"/>
      </w:tblGrid>
      <w:tr>
        <w:tc>
          <w:tcPr>
            <w:tcW w:type="dxa" w:w="22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SAFe Element</w:t>
            </w:r>
          </w:p>
        </w:tc>
        <w:tc>
          <w:tcPr>
            <w:tcW w:type="dxa" w:w="30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FORGE Equivalent</w:t>
            </w:r>
          </w:p>
        </w:tc>
        <w:tc>
          <w:tcPr>
            <w:tcW w:type="dxa" w:w="156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26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Recommendation</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Agile Release Train (ART)</w:t>
            </w:r>
          </w:p>
        </w:tc>
        <w:tc>
          <w:tcPr>
            <w:tcW w:type="dxa" w:w="3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Multi-engagement coordination through Portfolio Agent + Agile PM Agent</w:t>
            </w:r>
          </w:p>
        </w:tc>
        <w:tc>
          <w:tcPr>
            <w:tcW w:type="dxa" w:w="1560"/>
            <w:tcBorders>
              <w:top w:val="single" w:color="D5DBE1" w:sz="1"/>
              <w:left w:val="single" w:color="D5DBE1" w:sz="1"/>
              <w:bottom w:val="single" w:color="D5DBE1" w:sz="1"/>
              <w:right w:val="single" w:color="D5DBE1" w:sz="1"/>
            </w:tcBorders>
            <w:shd w:fill="FEF9E7" w:val="clear"/>
            <w:tcMar>
              <w:top w:type="dxa" w:w="80"/>
              <w:left w:type="dxa" w:w="120"/>
              <w:bottom w:type="dxa" w:w="80"/>
              <w:right w:type="dxa" w:w="120"/>
            </w:tcMar>
            <w:vAlign w:val="center"/>
          </w:tcPr>
          <w:p>
            <w:pPr>
              <w:jc w:val="center"/>
            </w:pPr>
            <w:r>
              <w:rPr>
                <w:rFonts w:ascii="Arial" w:cs="Arial" w:eastAsia="Arial" w:hAnsi="Arial"/>
                <w:b/>
                <w:bCs/>
                <w:color w:val="D4AC0D"/>
                <w:sz w:val="18"/>
                <w:szCs w:val="18"/>
              </w:rPr>
              <w:t xml:space="preserve">PARTIAL</w:t>
            </w:r>
          </w:p>
        </w:tc>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Formalize ART ceremony cadence: PI Planning, System Demo, Inspect &amp; Adapt within FORGE governance calendar</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Program Increment (PI)</w:t>
            </w:r>
          </w:p>
        </w:tc>
        <w:tc>
          <w:tcPr>
            <w:tcW w:type="dxa" w:w="3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NIN phases serve as natural PI boundaries. Quarterly cycles referenced in SIPE v1.0.</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COVERED</w:t>
            </w:r>
          </w:p>
        </w:tc>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Align NIN phase gates to 8-12 week PI cadence explicitly in Agile PMO playbook</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Value Streams</w:t>
            </w:r>
          </w:p>
        </w:tc>
        <w:tc>
          <w:tcPr>
            <w:tcW w:type="dxa" w:w="3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Operational Efficiency playbook includes value stream mapping</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COVERED</w:t>
            </w:r>
          </w:p>
        </w:tc>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None required</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Solution Train</w:t>
            </w:r>
          </w:p>
        </w:tc>
        <w:tc>
          <w:tcPr>
            <w:tcW w:type="dxa" w:w="3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Not explicitly referenced. Architecture Agent + multi-team coordination implied.</w:t>
            </w:r>
          </w:p>
        </w:tc>
        <w:tc>
          <w:tcPr>
            <w:tcW w:type="dxa" w:w="156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GAP</w:t>
            </w:r>
          </w:p>
        </w:tc>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Add Solution Train construct for engagements with 3+ concurrent ARTs (NFL-scale)</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WSJF Prioritization</w:t>
            </w:r>
          </w:p>
        </w:tc>
        <w:tc>
          <w:tcPr>
            <w:tcW w:type="dxa" w:w="3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Automated priority scoring in Agile PM Agent backlog grooming</w:t>
            </w:r>
          </w:p>
        </w:tc>
        <w:tc>
          <w:tcPr>
            <w:tcW w:type="dxa" w:w="1560"/>
            <w:tcBorders>
              <w:top w:val="single" w:color="D5DBE1" w:sz="1"/>
              <w:left w:val="single" w:color="D5DBE1" w:sz="1"/>
              <w:bottom w:val="single" w:color="D5DBE1" w:sz="1"/>
              <w:right w:val="single" w:color="D5DBE1" w:sz="1"/>
            </w:tcBorders>
            <w:shd w:fill="FEF9E7" w:val="clear"/>
            <w:tcMar>
              <w:top w:type="dxa" w:w="80"/>
              <w:left w:type="dxa" w:w="120"/>
              <w:bottom w:type="dxa" w:w="80"/>
              <w:right w:type="dxa" w:w="120"/>
            </w:tcMar>
            <w:vAlign w:val="center"/>
          </w:tcPr>
          <w:p>
            <w:pPr>
              <w:jc w:val="center"/>
            </w:pPr>
            <w:r>
              <w:rPr>
                <w:rFonts w:ascii="Arial" w:cs="Arial" w:eastAsia="Arial" w:hAnsi="Arial"/>
                <w:b/>
                <w:bCs/>
                <w:color w:val="D4AC0D"/>
                <w:sz w:val="18"/>
                <w:szCs w:val="18"/>
              </w:rPr>
              <w:t xml:space="preserve">PARTIAL</w:t>
            </w:r>
          </w:p>
        </w:tc>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Explicitly implement WSJF (Weighted Shortest Job First) formula in priority scoring algorithm</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Inspect &amp; Adapt</w:t>
            </w:r>
          </w:p>
        </w:tc>
        <w:tc>
          <w:tcPr>
            <w:tcW w:type="dxa" w:w="3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NIN Debrief phase + Learning Agent retrospective analysis</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COVERED</w:t>
            </w:r>
          </w:p>
        </w:tc>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None required</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DevOps &amp; CI/CD</w:t>
            </w:r>
          </w:p>
        </w:tc>
        <w:tc>
          <w:tcPr>
            <w:tcW w:type="dxa" w:w="3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Not explicitly addressed. QA Agent covers testing but not pipeline automation.</w:t>
            </w:r>
          </w:p>
        </w:tc>
        <w:tc>
          <w:tcPr>
            <w:tcW w:type="dxa" w:w="156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GAP</w:t>
            </w:r>
          </w:p>
        </w:tc>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Create Playbook 5.16: DevOps &amp; Release Engineering with dedicated CI/CD Agent</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Built-in Quality</w:t>
            </w:r>
          </w:p>
        </w:tc>
        <w:tc>
          <w:tcPr>
            <w:tcW w:type="dxa" w:w="3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Quality Agent tracks sigma levels. QA Agent validates acceptance criteria.</w:t>
            </w:r>
          </w:p>
        </w:tc>
        <w:tc>
          <w:tcPr>
            <w:tcW w:type="dxa" w:w="15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COVERED</w:t>
            </w:r>
          </w:p>
        </w:tc>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None required</w:t>
            </w:r>
          </w:p>
        </w:tc>
      </w:tr>
    </w:tbl>
    <w:p>
      <w:pPr>
        <w:spacing w:before="200"/>
      </w:pPr>
    </w:p>
    <w:p>
      <w:pPr>
        <w:pStyle w:val="Heading2"/>
        <w:spacing w:before="300" w:after="150"/>
      </w:pPr>
      <w:r>
        <w:rPr>
          <w:rFonts w:ascii="Arial" w:cs="Arial" w:eastAsia="Arial" w:hAnsi="Arial"/>
          <w:b/>
          <w:bCs/>
          <w:color w:val="1A5276"/>
          <w:sz w:val="26"/>
          <w:szCs w:val="26"/>
        </w:rPr>
        <w:t xml:space="preserve">1.3 SAFe Assessment Summary</w:t>
      </w:r>
    </w:p>
    <w:p>
      <w:pPr>
        <w:spacing w:after="120" w:line="276"/>
      </w:pPr>
      <w:r>
        <w:rPr>
          <w:rFonts w:ascii="Arial" w:cs="Arial" w:eastAsia="Arial" w:hAnsi="Arial"/>
          <w:color w:val="1C2833"/>
          <w:sz w:val="20"/>
          <w:szCs w:val="20"/>
        </w:rPr>
        <w:t xml:space="preserve">FORGE v3.0 covers 71% of SAFe 6.0 core competencies at a COVERED level, with 21% at PARTIAL and 8% with identified gaps. The two primary gaps are the absence of a formal Solution Train construct for NFL-scale multi-ART engagements and the lack of an explicit DevOps/CI/CD playbook with a dedicated agent.</w:t>
      </w:r>
    </w:p>
    <w:p>
      <w:pPr>
        <w:spacing w:after="120" w:line="276"/>
      </w:pPr>
      <w:r>
        <w:rPr>
          <w:rFonts w:ascii="Arial" w:cs="Arial" w:eastAsia="Arial" w:hAnsi="Arial"/>
          <w:color w:val="1C2833"/>
          <w:sz w:val="20"/>
          <w:szCs w:val="20"/>
        </w:rPr>
        <w:t xml:space="preserve">The PARTIAL ratings primarily reflect capabilities that exist but need explicit SAFe terminology and ceremony formalization. The Agile PM Agent handles sprint mechanics well but does not enforce PI Planning ceremonies or ART-level coordination protocols. The Financial Agent tracks engagement economics but does not implement SAFe Lean budget guardrails.</w:t>
      </w:r>
    </w:p>
    <w:p>
      <w:pPr>
        <w:spacing w:after="120" w:line="276"/>
      </w:pPr>
      <w:r>
        <w:rPr>
          <w:rFonts w:ascii="Arial" w:cs="Arial" w:eastAsia="Arial" w:hAnsi="Arial"/>
          <w:b/>
          <w:bCs/>
          <w:color w:val="1C2833"/>
          <w:sz w:val="20"/>
          <w:szCs w:val="20"/>
        </w:rPr>
        <w:t xml:space="preserve">Recommended Action: </w:t>
      </w:r>
      <w:r>
        <w:rPr>
          <w:rFonts w:ascii="Arial" w:cs="Arial" w:eastAsia="Arial" w:hAnsi="Arial"/>
          <w:color w:val="1C2833"/>
          <w:sz w:val="20"/>
          <w:szCs w:val="20"/>
        </w:rPr>
        <w:t xml:space="preserve">Add two items to the Intelligence phase (Mar 1-15): formalize ART/PI ceremony integration in the Agile PMO playbook and create Playbook 5.16 for DevOps &amp; Release Engineering. Both are achievable within the existing timeline without impacting the March 15 cutover.</w:t>
      </w:r>
    </w:p>
    <w:p>
      <w:r>
        <w:br w:type="page"/>
      </w:r>
    </w:p>
    <w:p>
      <w:pPr>
        <w:pStyle w:val="Heading1"/>
        <w:spacing w:before="400" w:after="200"/>
      </w:pPr>
      <w:r>
        <w:rPr>
          <w:rFonts w:ascii="Arial" w:cs="Arial" w:eastAsia="Arial" w:hAnsi="Arial"/>
          <w:b/>
          <w:bCs/>
          <w:color w:val="0A1628"/>
          <w:sz w:val="32"/>
          <w:szCs w:val="32"/>
        </w:rPr>
        <w:t xml:space="preserve">2. Security, IAM &amp; Infrastructure Architecture</w:t>
      </w:r>
    </w:p>
    <w:p>
      <w:pPr>
        <w:spacing w:after="120" w:line="276"/>
      </w:pPr>
      <w:r>
        <w:rPr>
          <w:rFonts w:ascii="Arial" w:cs="Arial" w:eastAsia="Arial" w:hAnsi="Arial"/>
          <w:color w:val="1C2833"/>
          <w:sz w:val="20"/>
          <w:szCs w:val="20"/>
        </w:rPr>
        <w:t xml:space="preserve">This section defines the complete security architecture, identity and access management model, and infrastructure design for FORGE v3.0 on Google Cloud Platform. The architecture enforces zero-trust principles, role-based access control with least-privilege enforcement, and complete audit trail integration with the Evidence Ledger.</w:t>
      </w:r>
    </w:p>
    <w:p>
      <w:pPr>
        <w:pStyle w:val="Heading2"/>
        <w:spacing w:before="300" w:after="150"/>
      </w:pPr>
      <w:r>
        <w:rPr>
          <w:rFonts w:ascii="Arial" w:cs="Arial" w:eastAsia="Arial" w:hAnsi="Arial"/>
          <w:b/>
          <w:bCs/>
          <w:color w:val="1A5276"/>
          <w:sz w:val="26"/>
          <w:szCs w:val="26"/>
        </w:rPr>
        <w:t xml:space="preserve">2.1 Role-Based Access Control (RBAC) Model</w:t>
      </w:r>
    </w:p>
    <w:p>
      <w:pPr>
        <w:spacing w:after="120" w:line="276"/>
      </w:pPr>
      <w:r>
        <w:rPr>
          <w:rFonts w:ascii="Arial" w:cs="Arial" w:eastAsia="Arial" w:hAnsi="Arial"/>
          <w:color w:val="1C2833"/>
          <w:sz w:val="20"/>
          <w:szCs w:val="20"/>
        </w:rPr>
        <w:t xml:space="preserve">FORGE implements a five-tier RBAC model that governs access to every system component. The Strategy Engine, which contains competitive intelligence, pricing algorithms, and methodology IP, is restricted to three roles only: Founder, CRO, and PMO Director. Tionna serves as the System Administrator with full provisioning authority but no Strategy Engine access unless explicitly granted.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1200"/>
        <w:gridCol w:w="1200"/>
        <w:gridCol w:w="1100"/>
        <w:gridCol w:w="1060"/>
      </w:tblGrid>
      <w:tr>
        <w:tc>
          <w:tcPr>
            <w:tcW w:type="dxa" w:w="16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16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Assigned To</w:t>
            </w:r>
          </w:p>
        </w:tc>
        <w:tc>
          <w:tcPr>
            <w:tcW w:type="dxa" w:w="12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Strategy Engine</w:t>
            </w:r>
          </w:p>
        </w:tc>
        <w:tc>
          <w:tcPr>
            <w:tcW w:type="dxa" w:w="12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Playbooks</w:t>
            </w:r>
          </w:p>
        </w:tc>
        <w:tc>
          <w:tcPr>
            <w:tcW w:type="dxa" w:w="12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Ledger</w:t>
            </w:r>
          </w:p>
        </w:tc>
        <w:tc>
          <w:tcPr>
            <w:tcW w:type="dxa" w:w="11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Agent Config</w:t>
            </w:r>
          </w:p>
        </w:tc>
        <w:tc>
          <w:tcPr>
            <w:tcW w:type="dxa" w:w="106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Admin Console</w:t>
            </w:r>
          </w:p>
        </w:tc>
      </w:tr>
      <w:tr>
        <w:tc>
          <w:tcPr>
            <w:tcW w:type="dxa" w:w="1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Founder</w:t>
            </w:r>
          </w:p>
        </w:tc>
        <w:tc>
          <w:tcPr>
            <w:tcW w:type="dxa" w:w="1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Tye Hayes</w:t>
            </w:r>
          </w:p>
        </w:tc>
        <w:tc>
          <w:tcPr>
            <w:tcW w:type="dxa" w:w="120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YES</w:t>
            </w:r>
          </w:p>
        </w:tc>
        <w:tc>
          <w:tcPr>
            <w:tcW w:type="dxa" w:w="120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YES</w:t>
            </w:r>
          </w:p>
        </w:tc>
        <w:tc>
          <w:tcPr>
            <w:tcW w:type="dxa" w:w="120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YES</w:t>
            </w:r>
          </w:p>
        </w:tc>
        <w:tc>
          <w:tcPr>
            <w:tcW w:type="dxa" w:w="110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YES</w:t>
            </w:r>
          </w:p>
        </w:tc>
        <w:tc>
          <w:tcPr>
            <w:tcW w:type="dxa" w:w="10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YES</w:t>
            </w:r>
          </w:p>
        </w:tc>
      </w:tr>
      <w:tr>
        <w:tc>
          <w:tcPr>
            <w:tcW w:type="dxa" w:w="1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CRO</w:t>
            </w:r>
          </w:p>
        </w:tc>
        <w:tc>
          <w:tcPr>
            <w:tcW w:type="dxa" w:w="1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Knox Phillips</w:t>
            </w:r>
          </w:p>
        </w:tc>
        <w:tc>
          <w:tcPr>
            <w:tcW w:type="dxa" w:w="120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YES</w:t>
            </w:r>
          </w:p>
        </w:tc>
        <w:tc>
          <w:tcPr>
            <w:tcW w:type="dxa" w:w="120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YES</w:t>
            </w:r>
          </w:p>
        </w:tc>
        <w:tc>
          <w:tcPr>
            <w:tcW w:type="dxa" w:w="120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YES</w:t>
            </w:r>
          </w:p>
        </w:tc>
        <w:tc>
          <w:tcPr>
            <w:tcW w:type="dxa" w:w="110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NO</w:t>
            </w:r>
          </w:p>
        </w:tc>
        <w:tc>
          <w:tcPr>
            <w:tcW w:type="dxa" w:w="106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NO</w:t>
            </w:r>
          </w:p>
        </w:tc>
      </w:tr>
      <w:tr>
        <w:tc>
          <w:tcPr>
            <w:tcW w:type="dxa" w:w="1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PMO Director</w:t>
            </w:r>
          </w:p>
        </w:tc>
        <w:tc>
          <w:tcPr>
            <w:tcW w:type="dxa" w:w="1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TBD</w:t>
            </w:r>
          </w:p>
        </w:tc>
        <w:tc>
          <w:tcPr>
            <w:tcW w:type="dxa" w:w="120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YES</w:t>
            </w:r>
          </w:p>
        </w:tc>
        <w:tc>
          <w:tcPr>
            <w:tcW w:type="dxa" w:w="120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YES</w:t>
            </w:r>
          </w:p>
        </w:tc>
        <w:tc>
          <w:tcPr>
            <w:tcW w:type="dxa" w:w="120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YES</w:t>
            </w:r>
          </w:p>
        </w:tc>
        <w:tc>
          <w:tcPr>
            <w:tcW w:type="dxa" w:w="110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NO</w:t>
            </w:r>
          </w:p>
        </w:tc>
        <w:tc>
          <w:tcPr>
            <w:tcW w:type="dxa" w:w="106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NO</w:t>
            </w:r>
          </w:p>
        </w:tc>
      </w:tr>
      <w:tr>
        <w:tc>
          <w:tcPr>
            <w:tcW w:type="dxa" w:w="1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System Admin</w:t>
            </w:r>
          </w:p>
        </w:tc>
        <w:tc>
          <w:tcPr>
            <w:tcW w:type="dxa" w:w="1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Tionna</w:t>
            </w:r>
          </w:p>
        </w:tc>
        <w:tc>
          <w:tcPr>
            <w:tcW w:type="dxa" w:w="120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NO</w:t>
            </w:r>
          </w:p>
        </w:tc>
        <w:tc>
          <w:tcPr>
            <w:tcW w:type="dxa" w:w="120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YES</w:t>
            </w:r>
          </w:p>
        </w:tc>
        <w:tc>
          <w:tcPr>
            <w:tcW w:type="dxa" w:w="120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YES</w:t>
            </w:r>
          </w:p>
        </w:tc>
        <w:tc>
          <w:tcPr>
            <w:tcW w:type="dxa" w:w="110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YES</w:t>
            </w:r>
          </w:p>
        </w:tc>
        <w:tc>
          <w:tcPr>
            <w:tcW w:type="dxa" w:w="106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YES</w:t>
            </w:r>
          </w:p>
        </w:tc>
      </w:tr>
      <w:tr>
        <w:tc>
          <w:tcPr>
            <w:tcW w:type="dxa" w:w="1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CTO</w:t>
            </w:r>
          </w:p>
        </w:tc>
        <w:tc>
          <w:tcPr>
            <w:tcW w:type="dxa" w:w="1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Ryan Harrelson</w:t>
            </w:r>
          </w:p>
        </w:tc>
        <w:tc>
          <w:tcPr>
            <w:tcW w:type="dxa" w:w="120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NO</w:t>
            </w:r>
          </w:p>
        </w:tc>
        <w:tc>
          <w:tcPr>
            <w:tcW w:type="dxa" w:w="120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YES</w:t>
            </w:r>
          </w:p>
        </w:tc>
        <w:tc>
          <w:tcPr>
            <w:tcW w:type="dxa" w:w="120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YES</w:t>
            </w:r>
          </w:p>
        </w:tc>
        <w:tc>
          <w:tcPr>
            <w:tcW w:type="dxa" w:w="110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YES</w:t>
            </w:r>
          </w:p>
        </w:tc>
        <w:tc>
          <w:tcPr>
            <w:tcW w:type="dxa" w:w="106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NO</w:t>
            </w:r>
          </w:p>
        </w:tc>
      </w:tr>
      <w:tr>
        <w:tc>
          <w:tcPr>
            <w:tcW w:type="dxa" w:w="1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CISO</w:t>
            </w:r>
          </w:p>
        </w:tc>
        <w:tc>
          <w:tcPr>
            <w:tcW w:type="dxa" w:w="1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Kirby Winters</w:t>
            </w:r>
          </w:p>
        </w:tc>
        <w:tc>
          <w:tcPr>
            <w:tcW w:type="dxa" w:w="120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NO</w:t>
            </w:r>
          </w:p>
        </w:tc>
        <w:tc>
          <w:tcPr>
            <w:tcW w:type="dxa" w:w="120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YES</w:t>
            </w:r>
          </w:p>
        </w:tc>
        <w:tc>
          <w:tcPr>
            <w:tcW w:type="dxa" w:w="120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YES</w:t>
            </w:r>
          </w:p>
        </w:tc>
        <w:tc>
          <w:tcPr>
            <w:tcW w:type="dxa" w:w="1100"/>
            <w:tcBorders>
              <w:top w:val="single" w:color="D5DBE1" w:sz="1"/>
              <w:left w:val="single" w:color="D5DBE1" w:sz="1"/>
              <w:bottom w:val="single" w:color="D5DBE1" w:sz="1"/>
              <w:right w:val="single" w:color="D5DBE1" w:sz="1"/>
            </w:tcBorders>
            <w:shd w:fill="E8F8F5"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YES</w:t>
            </w:r>
          </w:p>
        </w:tc>
        <w:tc>
          <w:tcPr>
            <w:tcW w:type="dxa" w:w="106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NO</w:t>
            </w:r>
          </w:p>
        </w:tc>
      </w:tr>
      <w:tr>
        <w:tc>
          <w:tcPr>
            <w:tcW w:type="dxa" w:w="1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Engagement Lead</w:t>
            </w:r>
          </w:p>
        </w:tc>
        <w:tc>
          <w:tcPr>
            <w:tcW w:type="dxa" w:w="1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Per Engagement</w:t>
            </w:r>
          </w:p>
        </w:tc>
        <w:tc>
          <w:tcPr>
            <w:tcW w:type="dxa" w:w="120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NO</w:t>
            </w:r>
          </w:p>
        </w:tc>
        <w:tc>
          <w:tcPr>
            <w:tcW w:type="dxa" w:w="1200"/>
            <w:tcBorders>
              <w:top w:val="single" w:color="D5DBE1" w:sz="1"/>
              <w:left w:val="single" w:color="D5DBE1" w:sz="1"/>
              <w:bottom w:val="single" w:color="D5DBE1" w:sz="1"/>
              <w:right w:val="single" w:color="D5DBE1" w:sz="1"/>
            </w:tcBorders>
            <w:shd w:fill="FEF9E7" w:val="clear"/>
            <w:tcMar>
              <w:top w:type="dxa" w:w="80"/>
              <w:left w:type="dxa" w:w="120"/>
              <w:bottom w:type="dxa" w:w="80"/>
              <w:right w:type="dxa" w:w="120"/>
            </w:tcMar>
            <w:vAlign w:val="center"/>
          </w:tcPr>
          <w:p>
            <w:pPr>
              <w:jc w:val="center"/>
            </w:pPr>
            <w:r>
              <w:rPr>
                <w:rFonts w:ascii="Arial" w:cs="Arial" w:eastAsia="Arial" w:hAnsi="Arial"/>
                <w:b/>
                <w:bCs/>
                <w:color w:val="D4AC0D"/>
                <w:sz w:val="18"/>
                <w:szCs w:val="18"/>
              </w:rPr>
              <w:t xml:space="preserve">PARTIAL</w:t>
            </w:r>
          </w:p>
        </w:tc>
        <w:tc>
          <w:tcPr>
            <w:tcW w:type="dxa" w:w="1200"/>
            <w:tcBorders>
              <w:top w:val="single" w:color="D5DBE1" w:sz="1"/>
              <w:left w:val="single" w:color="D5DBE1" w:sz="1"/>
              <w:bottom w:val="single" w:color="D5DBE1" w:sz="1"/>
              <w:right w:val="single" w:color="D5DBE1" w:sz="1"/>
            </w:tcBorders>
            <w:shd w:fill="FEF9E7" w:val="clear"/>
            <w:tcMar>
              <w:top w:type="dxa" w:w="80"/>
              <w:left w:type="dxa" w:w="120"/>
              <w:bottom w:type="dxa" w:w="80"/>
              <w:right w:type="dxa" w:w="120"/>
            </w:tcMar>
            <w:vAlign w:val="center"/>
          </w:tcPr>
          <w:p>
            <w:pPr>
              <w:jc w:val="center"/>
            </w:pPr>
            <w:r>
              <w:rPr>
                <w:rFonts w:ascii="Arial" w:cs="Arial" w:eastAsia="Arial" w:hAnsi="Arial"/>
                <w:b/>
                <w:bCs/>
                <w:color w:val="D4AC0D"/>
                <w:sz w:val="18"/>
                <w:szCs w:val="18"/>
              </w:rPr>
              <w:t xml:space="preserve">PARTIAL</w:t>
            </w:r>
          </w:p>
        </w:tc>
        <w:tc>
          <w:tcPr>
            <w:tcW w:type="dxa" w:w="110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NO</w:t>
            </w:r>
          </w:p>
        </w:tc>
        <w:tc>
          <w:tcPr>
            <w:tcW w:type="dxa" w:w="106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NO</w:t>
            </w:r>
          </w:p>
        </w:tc>
      </w:tr>
      <w:tr>
        <w:tc>
          <w:tcPr>
            <w:tcW w:type="dxa" w:w="1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Delivery Team</w:t>
            </w:r>
          </w:p>
        </w:tc>
        <w:tc>
          <w:tcPr>
            <w:tcW w:type="dxa" w:w="1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Per Engagement</w:t>
            </w:r>
          </w:p>
        </w:tc>
        <w:tc>
          <w:tcPr>
            <w:tcW w:type="dxa" w:w="120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NO</w:t>
            </w:r>
          </w:p>
        </w:tc>
        <w:tc>
          <w:tcPr>
            <w:tcW w:type="dxa" w:w="1200"/>
            <w:tcBorders>
              <w:top w:val="single" w:color="D5DBE1" w:sz="1"/>
              <w:left w:val="single" w:color="D5DBE1" w:sz="1"/>
              <w:bottom w:val="single" w:color="D5DBE1" w:sz="1"/>
              <w:right w:val="single" w:color="D5DBE1" w:sz="1"/>
            </w:tcBorders>
            <w:shd w:fill="FEF9E7" w:val="clear"/>
            <w:tcMar>
              <w:top w:type="dxa" w:w="80"/>
              <w:left w:type="dxa" w:w="120"/>
              <w:bottom w:type="dxa" w:w="80"/>
              <w:right w:type="dxa" w:w="120"/>
            </w:tcMar>
            <w:vAlign w:val="center"/>
          </w:tcPr>
          <w:p>
            <w:pPr>
              <w:jc w:val="center"/>
            </w:pPr>
            <w:r>
              <w:rPr>
                <w:rFonts w:ascii="Arial" w:cs="Arial" w:eastAsia="Arial" w:hAnsi="Arial"/>
                <w:b/>
                <w:bCs/>
                <w:color w:val="D4AC0D"/>
                <w:sz w:val="18"/>
                <w:szCs w:val="18"/>
              </w:rPr>
              <w:t xml:space="preserve">PARTIAL</w:t>
            </w:r>
          </w:p>
        </w:tc>
        <w:tc>
          <w:tcPr>
            <w:tcW w:type="dxa" w:w="120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NO</w:t>
            </w:r>
          </w:p>
        </w:tc>
        <w:tc>
          <w:tcPr>
            <w:tcW w:type="dxa" w:w="110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NO</w:t>
            </w:r>
          </w:p>
        </w:tc>
        <w:tc>
          <w:tcPr>
            <w:tcW w:type="dxa" w:w="106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NO</w:t>
            </w:r>
          </w:p>
        </w:tc>
      </w:tr>
      <w:tr>
        <w:tc>
          <w:tcPr>
            <w:tcW w:type="dxa" w:w="1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Client (Portal)</w:t>
            </w:r>
          </w:p>
        </w:tc>
        <w:tc>
          <w:tcPr>
            <w:tcW w:type="dxa" w:w="1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Client Stakeholders</w:t>
            </w:r>
          </w:p>
        </w:tc>
        <w:tc>
          <w:tcPr>
            <w:tcW w:type="dxa" w:w="120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NO</w:t>
            </w:r>
          </w:p>
        </w:tc>
        <w:tc>
          <w:tcPr>
            <w:tcW w:type="dxa" w:w="120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NO</w:t>
            </w:r>
          </w:p>
        </w:tc>
        <w:tc>
          <w:tcPr>
            <w:tcW w:type="dxa" w:w="120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NO</w:t>
            </w:r>
          </w:p>
        </w:tc>
        <w:tc>
          <w:tcPr>
            <w:tcW w:type="dxa" w:w="110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NO</w:t>
            </w:r>
          </w:p>
        </w:tc>
        <w:tc>
          <w:tcPr>
            <w:tcW w:type="dxa" w:w="1060"/>
            <w:tcBorders>
              <w:top w:val="single" w:color="D5DBE1" w:sz="1"/>
              <w:left w:val="single" w:color="D5DBE1" w:sz="1"/>
              <w:bottom w:val="single" w:color="D5DBE1" w:sz="1"/>
              <w:right w:val="single" w:color="D5DBE1"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NO</w:t>
            </w:r>
          </w:p>
        </w:tc>
      </w:tr>
    </w:tbl>
    <w:p>
      <w:pPr>
        <w:spacing w:before="200"/>
      </w:pPr>
    </w:p>
    <w:p>
      <w:pPr>
        <w:pStyle w:val="Heading2"/>
        <w:spacing w:before="300" w:after="150"/>
      </w:pPr>
      <w:r>
        <w:rPr>
          <w:rFonts w:ascii="Arial" w:cs="Arial" w:eastAsia="Arial" w:hAnsi="Arial"/>
          <w:b/>
          <w:bCs/>
          <w:color w:val="1A5276"/>
          <w:sz w:val="26"/>
          <w:szCs w:val="26"/>
        </w:rPr>
        <w:t xml:space="preserve">2.2 Strategy Engine Access Control</w:t>
      </w:r>
    </w:p>
    <w:p>
      <w:pPr>
        <w:spacing w:after="120" w:line="276"/>
      </w:pPr>
      <w:r>
        <w:rPr>
          <w:rFonts w:ascii="Arial" w:cs="Arial" w:eastAsia="Arial" w:hAnsi="Arial"/>
          <w:color w:val="1C2833"/>
          <w:sz w:val="20"/>
          <w:szCs w:val="20"/>
        </w:rPr>
        <w:t xml:space="preserve">The Strategy Engine is the most restricted component of FORGE. It houses competitive intelligence outputs, pricing algorithms, engagement economic models, and methodology IP that constitutes Sentrais core trade secrets. Access is limited to three named roles: Founder (Tye Hayes), CRO (Knox Phillips), and PMO Director.</w:t>
      </w:r>
    </w:p>
    <w:p>
      <w:pPr>
        <w:spacing w:after="120" w:line="276"/>
      </w:pPr>
      <w:r>
        <w:rPr>
          <w:rFonts w:ascii="Arial" w:cs="Arial" w:eastAsia="Arial" w:hAnsi="Arial"/>
          <w:color w:val="1C2833"/>
          <w:sz w:val="20"/>
          <w:szCs w:val="20"/>
        </w:rPr>
        <w:t xml:space="preserve">Strategy Engine access requires multi-factor authentication with hardware key enforcement. All access events are logged immutably in the Evidence Ledger with session recording enabled. No data export is permitted from the Strategy Engine without Founder authorization. The System Administrator (Tionna) can provision user accounts and manage infrastructure but cannot access Strategy Engine data, models, or outputs.</w:t>
      </w:r>
    </w:p>
    <w:p>
      <w:pPr>
        <w:spacing w:after="120" w:line="276"/>
      </w:pPr>
      <w:r>
        <w:rPr>
          <w:rFonts w:ascii="Arial" w:cs="Arial" w:eastAsia="Arial" w:hAnsi="Arial"/>
          <w:b/>
          <w:bCs/>
          <w:color w:val="1C2833"/>
          <w:sz w:val="20"/>
          <w:szCs w:val="20"/>
        </w:rPr>
        <w:t xml:space="preserve">Enforcement: </w:t>
      </w:r>
      <w:r>
        <w:rPr>
          <w:rFonts w:ascii="Arial" w:cs="Arial" w:eastAsia="Arial" w:hAnsi="Arial"/>
          <w:color w:val="1C2833"/>
          <w:sz w:val="20"/>
          <w:szCs w:val="20"/>
        </w:rPr>
        <w:t xml:space="preserve">Google Cloud IAM custom roles with deny policies on Strategy Engine resources for all principals except the three authorized roles. VPC Service Controls create a security perimeter around Strategy Engine data stores. Access Context Manager enforces device posture and location requirements.</w:t>
      </w:r>
    </w:p>
    <w:p>
      <w:pPr>
        <w:pStyle w:val="Heading2"/>
        <w:spacing w:before="300" w:after="150"/>
      </w:pPr>
      <w:r>
        <w:rPr>
          <w:rFonts w:ascii="Arial" w:cs="Arial" w:eastAsia="Arial" w:hAnsi="Arial"/>
          <w:b/>
          <w:bCs/>
          <w:color w:val="1A5276"/>
          <w:sz w:val="26"/>
          <w:szCs w:val="26"/>
        </w:rPr>
        <w:t xml:space="preserve">2.3 Administrator Scope and Boundaries</w:t>
      </w:r>
    </w:p>
    <w:p>
      <w:pPr>
        <w:spacing w:after="120" w:line="276"/>
      </w:pPr>
      <w:r>
        <w:rPr>
          <w:rFonts w:ascii="Arial" w:cs="Arial" w:eastAsia="Arial" w:hAnsi="Arial"/>
          <w:color w:val="1C2833"/>
          <w:sz w:val="20"/>
          <w:szCs w:val="20"/>
        </w:rPr>
        <w:t xml:space="preserve">Tionna operates as the System Administrator with full authority over infrastructure provisioning, user lifecycle management, agent runtime configuration, and system health monitoring. The Admin Console provides access to GCP project management, Cloud IAM policy administration, monitoring dashboards, and deployment pipelines.</w:t>
      </w:r>
    </w:p>
    <w:p>
      <w:pPr>
        <w:spacing w:after="120" w:line="276"/>
      </w:pPr>
      <w:r>
        <w:rPr>
          <w:rFonts w:ascii="Arial" w:cs="Arial" w:eastAsia="Arial" w:hAnsi="Arial"/>
          <w:color w:val="1C2833"/>
          <w:sz w:val="20"/>
          <w:szCs w:val="20"/>
        </w:rPr>
        <w:t xml:space="preserve">Critical boundary: The System Administrator role has explicit deny policies on the following resources, which cannot be overridden without Founder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Restricted Resource</w:t>
            </w:r>
          </w:p>
        </w:tc>
        <w:tc>
          <w:tcPr>
            <w:tcW w:type="dxa" w:w="316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Deny Scope</w:t>
            </w:r>
          </w:p>
        </w:tc>
        <w:tc>
          <w:tcPr>
            <w:tcW w:type="dxa" w:w="30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Override Authority</w:t>
            </w:r>
          </w:p>
        </w:tc>
      </w:tr>
      <w:tr>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Competitive Intelligence Dataset</w:t>
            </w:r>
          </w:p>
        </w:tc>
        <w:tc>
          <w:tcPr>
            <w:tcW w:type="dxa" w:w="31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Read, Write, Admin on BigQuery dataset: forge_strategy.*</w:t>
            </w:r>
          </w:p>
        </w:tc>
        <w:tc>
          <w:tcPr>
            <w:tcW w:type="dxa" w:w="3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Founder only</w:t>
            </w:r>
          </w:p>
        </w:tc>
      </w:tr>
      <w:tr>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Pricing Algorithm Models</w:t>
            </w:r>
          </w:p>
        </w:tc>
        <w:tc>
          <w:tcPr>
            <w:tcW w:type="dxa" w:w="31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Read, Write, Deploy on Vertex AI model registry: pricing-*</w:t>
            </w:r>
          </w:p>
        </w:tc>
        <w:tc>
          <w:tcPr>
            <w:tcW w:type="dxa" w:w="3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Founder only</w:t>
            </w:r>
          </w:p>
        </w:tc>
      </w:tr>
      <w:tr>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Engagement Economic Models</w:t>
            </w:r>
          </w:p>
        </w:tc>
        <w:tc>
          <w:tcPr>
            <w:tcW w:type="dxa" w:w="31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Read, Write on Firestore collection: strategy/economics/*</w:t>
            </w:r>
          </w:p>
        </w:tc>
        <w:tc>
          <w:tcPr>
            <w:tcW w:type="dxa" w:w="3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Founder + CRO</w:t>
            </w:r>
          </w:p>
        </w:tc>
      </w:tr>
      <w:tr>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IP Registry &amp; Classification</w:t>
            </w:r>
          </w:p>
        </w:tc>
        <w:tc>
          <w:tcPr>
            <w:tcW w:type="dxa" w:w="31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Write, Delete on Cloud Storage: gs://sentrais-ip-registry/</w:t>
            </w:r>
          </w:p>
        </w:tc>
        <w:tc>
          <w:tcPr>
            <w:tcW w:type="dxa" w:w="3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Founder + CISO</w:t>
            </w:r>
          </w:p>
        </w:tc>
      </w:tr>
      <w:tr>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Gate Override Logs</w:t>
            </w:r>
          </w:p>
        </w:tc>
        <w:tc>
          <w:tcPr>
            <w:tcW w:type="dxa" w:w="31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Delete, Modify on Evidence Ledger: gate_overrides/*</w:t>
            </w:r>
          </w:p>
        </w:tc>
        <w:tc>
          <w:tcPr>
            <w:tcW w:type="dxa" w:w="3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No override (immutable)</w:t>
            </w:r>
          </w:p>
        </w:tc>
      </w:tr>
    </w:tbl>
    <w:p>
      <w:pPr>
        <w:spacing w:before="200"/>
      </w:pPr>
    </w:p>
    <w:p>
      <w:r>
        <w:br w:type="page"/>
      </w:r>
    </w:p>
    <w:p>
      <w:pPr>
        <w:pStyle w:val="Heading2"/>
        <w:spacing w:before="300" w:after="150"/>
      </w:pPr>
      <w:r>
        <w:rPr>
          <w:rFonts w:ascii="Arial" w:cs="Arial" w:eastAsia="Arial" w:hAnsi="Arial"/>
          <w:b/>
          <w:bCs/>
          <w:color w:val="1A5276"/>
          <w:sz w:val="26"/>
          <w:szCs w:val="26"/>
        </w:rPr>
        <w:t xml:space="preserve">2.4 GCP IAM Architecture</w:t>
      </w:r>
    </w:p>
    <w:p>
      <w:pPr>
        <w:spacing w:after="120" w:line="276"/>
      </w:pPr>
      <w:r>
        <w:rPr>
          <w:rFonts w:ascii="Arial" w:cs="Arial" w:eastAsia="Arial" w:hAnsi="Arial"/>
          <w:color w:val="1C2833"/>
          <w:sz w:val="20"/>
          <w:szCs w:val="20"/>
        </w:rPr>
        <w:t xml:space="preserve">The IAM architecture uses a multi-project structure within a single GCP organization. Each logical boundary operates in its own GCP project with cross-project access controlled through Workload Identity Federation and IAM policy bindings. VPC Service Controls create security perimeters that prevent data exfiltration across project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c>
          <w:tcPr>
            <w:tcW w:type="dxa" w:w="20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GCP Project</w:t>
            </w:r>
          </w:p>
        </w:tc>
        <w:tc>
          <w:tcPr>
            <w:tcW w:type="dxa" w:w="24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256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Services</w:t>
            </w:r>
          </w:p>
        </w:tc>
        <w:tc>
          <w:tcPr>
            <w:tcW w:type="dxa" w:w="24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Access Tier</w:t>
            </w:r>
          </w:p>
        </w:tc>
      </w:tr>
      <w:tr>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sentrais-forge-core</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Evidence Ledger, agent runtime, playbook engine, governance</w:t>
            </w:r>
          </w:p>
        </w:tc>
        <w:tc>
          <w:tcPr>
            <w:tcW w:type="dxa" w:w="2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BigQuery, Firestore, Cloud Run, Cloud Functions, Workflows</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Internal: CTO, CISO, Admin, Eng Leads</w:t>
            </w:r>
          </w:p>
        </w:tc>
      </w:tr>
      <w:tr>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sentrais-forge-strategy</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Strategy Engine, competitive intel, pricing, engagement economics</w:t>
            </w:r>
          </w:p>
        </w:tc>
        <w:tc>
          <w:tcPr>
            <w:tcW w:type="dxa" w:w="2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BigQuery, Vertex AI, Cloud Storage (encrypted)</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RESTRICTED: Founder, CRO, PMO Director only</w:t>
            </w:r>
          </w:p>
        </w:tc>
      </w:tr>
      <w:tr>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sentrais-forge-clients</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Client microsites, dashboards, portal hosting</w:t>
            </w:r>
          </w:p>
        </w:tc>
        <w:tc>
          <w:tcPr>
            <w:tcW w:type="dxa" w:w="2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Cloud Run, Firebase Hosting, Firestore (client-scoped)</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Client: Role-based per engagement</w:t>
            </w:r>
          </w:p>
        </w:tc>
      </w:tr>
      <w:tr>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sentrais-forge-ai</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AI agent orchestration, ML pipelines, model serving</w:t>
            </w:r>
          </w:p>
        </w:tc>
        <w:tc>
          <w:tcPr>
            <w:tcW w:type="dxa" w:w="2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Vertex AI, Claude API proxy, Gemini API, Cloud Workflows</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Internal: CTO, CISO, Data Eng</w:t>
            </w:r>
          </w:p>
        </w:tc>
      </w:tr>
      <w:tr>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sentrais-forge-design</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Design Agent production pipeline, template library, asset storage</w:t>
            </w:r>
          </w:p>
        </w:tc>
        <w:tc>
          <w:tcPr>
            <w:tcW w:type="dxa" w:w="2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Cloud Run, Cloud Storage, Figma API proxy</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Internal: Design Agent, Eng Leads</w:t>
            </w:r>
          </w:p>
        </w:tc>
      </w:tr>
    </w:tbl>
    <w:p>
      <w:pPr>
        <w:spacing w:before="200"/>
      </w:pPr>
    </w:p>
    <w:p>
      <w:pPr>
        <w:pStyle w:val="Heading2"/>
        <w:spacing w:before="300" w:after="150"/>
      </w:pPr>
      <w:r>
        <w:rPr>
          <w:rFonts w:ascii="Arial" w:cs="Arial" w:eastAsia="Arial" w:hAnsi="Arial"/>
          <w:b/>
          <w:bCs/>
          <w:color w:val="1A5276"/>
          <w:sz w:val="26"/>
          <w:szCs w:val="26"/>
        </w:rPr>
        <w:t xml:space="preserve">2.5 Zero-Trust Security Architecture</w:t>
      </w:r>
    </w:p>
    <w:p>
      <w:pPr>
        <w:spacing w:after="120" w:line="276"/>
      </w:pPr>
      <w:r>
        <w:rPr>
          <w:rFonts w:ascii="Arial" w:cs="Arial" w:eastAsia="Arial" w:hAnsi="Arial"/>
          <w:color w:val="1C2833"/>
          <w:sz w:val="20"/>
          <w:szCs w:val="20"/>
        </w:rPr>
        <w:t xml:space="preserve">FORGE implements zero-trust principles across all layers. No implicit trust is granted based on network location, user identity, or device status. Every access request is evaluated against identity, device posture, context, and authorization policy before granting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Security Layer</w:t>
            </w:r>
          </w:p>
        </w:tc>
        <w:tc>
          <w:tcPr>
            <w:tcW w:type="dxa" w:w="36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w:t>
            </w:r>
          </w:p>
        </w:tc>
        <w:tc>
          <w:tcPr>
            <w:tcW w:type="dxa" w:w="356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GCP Service</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Identity Verification</w:t>
            </w:r>
          </w:p>
        </w:tc>
        <w:tc>
          <w:tcPr>
            <w:tcW w:type="dxa" w:w="3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Google Cloud Identity with enforced MFA. Hardware security keys required for Strategy Engine and Admin Console access.</w:t>
            </w:r>
          </w:p>
        </w:tc>
        <w:tc>
          <w:tcPr>
            <w:tcW w:type="dxa" w:w="3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Cloud Identity + Identity Platform + BeyondCorp Enterprise</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Device Posture</w:t>
            </w:r>
          </w:p>
        </w:tc>
        <w:tc>
          <w:tcPr>
            <w:tcW w:type="dxa" w:w="3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Endpoint verification required. Managed devices only for RESTRICTED resources. BYOD permitted for CLIENT-tier access with additional controls.</w:t>
            </w:r>
          </w:p>
        </w:tc>
        <w:tc>
          <w:tcPr>
            <w:tcW w:type="dxa" w:w="3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Access Context Manager + Endpoint Verification</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Network Security</w:t>
            </w:r>
          </w:p>
        </w:tc>
        <w:tc>
          <w:tcPr>
            <w:tcW w:type="dxa" w:w="3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VPC Service Controls around all GCP projects. Private Google Access for all services. No public IPs on compute resources except client-facing load balancers.</w:t>
            </w:r>
          </w:p>
        </w:tc>
        <w:tc>
          <w:tcPr>
            <w:tcW w:type="dxa" w:w="3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VPC Service Controls + Cloud Armor + Private Google Access</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Data Encryption</w:t>
            </w:r>
          </w:p>
        </w:tc>
        <w:tc>
          <w:tcPr>
            <w:tcW w:type="dxa" w:w="3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Customer-managed encryption keys (CMEK) for Strategy Engine data. Google-managed keys for all other data. TLS 1.3 for all transit.</w:t>
            </w:r>
          </w:p>
        </w:tc>
        <w:tc>
          <w:tcPr>
            <w:tcW w:type="dxa" w:w="3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Cloud KMS + CMEK + Certificate Authority Service</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Audit &amp; Logging</w:t>
            </w:r>
          </w:p>
        </w:tc>
        <w:tc>
          <w:tcPr>
            <w:tcW w:type="dxa" w:w="3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All API calls logged to Cloud Audit Logs. Strategy Engine access events streamed to Evidence Ledger in real-time. 7-year retention.</w:t>
            </w:r>
          </w:p>
        </w:tc>
        <w:tc>
          <w:tcPr>
            <w:tcW w:type="dxa" w:w="3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Cloud Audit Logs + Cloud Logging + BigQuery (Evidence Ledger)</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Threat Detection</w:t>
            </w:r>
          </w:p>
        </w:tc>
        <w:tc>
          <w:tcPr>
            <w:tcW w:type="dxa" w:w="3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Security Command Center Premium for vulnerability scanning and threat detection. Web Security Scanner for client microsites.</w:t>
            </w:r>
          </w:p>
        </w:tc>
        <w:tc>
          <w:tcPr>
            <w:tcW w:type="dxa" w:w="3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Security Command Center + Web Security Scanner + Chronicle SIEM</w:t>
            </w:r>
          </w:p>
        </w:tc>
      </w:tr>
    </w:tbl>
    <w:p>
      <w:pPr>
        <w:spacing w:before="200"/>
      </w:pPr>
    </w:p>
    <w:p>
      <w:pPr>
        <w:pStyle w:val="Heading2"/>
        <w:spacing w:before="300" w:after="150"/>
      </w:pPr>
      <w:r>
        <w:rPr>
          <w:rFonts w:ascii="Arial" w:cs="Arial" w:eastAsia="Arial" w:hAnsi="Arial"/>
          <w:b/>
          <w:bCs/>
          <w:color w:val="1A5276"/>
          <w:sz w:val="26"/>
          <w:szCs w:val="26"/>
        </w:rPr>
        <w:t xml:space="preserve">2.6 Data Classification &amp;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22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Content Examples</w:t>
            </w:r>
          </w:p>
        </w:tc>
        <w:tc>
          <w:tcPr>
            <w:tcW w:type="dxa" w:w="28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Encryption</w:t>
            </w:r>
          </w:p>
        </w:tc>
        <w:tc>
          <w:tcPr>
            <w:tcW w:type="dxa" w:w="256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Access Control</w:t>
            </w:r>
          </w:p>
        </w:tc>
      </w:tr>
      <w:tr>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RESTRICTED</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Strategy Engine data, pricing models, agent configs, ML model weights</w:t>
            </w:r>
          </w:p>
        </w:tc>
        <w:tc>
          <w:tcPr>
            <w:tcW w:type="dxa" w:w="2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CMEK with Cloud KMS. Key rotation every 90 days. Key access restricted to Founder + CISO.</w:t>
            </w:r>
          </w:p>
        </w:tc>
        <w:tc>
          <w:tcPr>
            <w:tcW w:type="dxa" w:w="2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Founder, CRO, PMO Director. VPC perimeter. Hardware MFA.</w:t>
            </w:r>
          </w:p>
        </w:tc>
      </w:tr>
      <w:tr>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A5276"/>
                <w:sz w:val="18"/>
                <w:szCs w:val="18"/>
              </w:rPr>
              <w:t xml:space="preserve">INTERNAL</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Playbooks, templates, engagement data, team dashboards</w:t>
            </w:r>
          </w:p>
        </w:tc>
        <w:tc>
          <w:tcPr>
            <w:tcW w:type="dxa" w:w="2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Google-managed encryption at rest and in transit. Default CMEK for engagement-specific data.</w:t>
            </w:r>
          </w:p>
        </w:tc>
        <w:tc>
          <w:tcPr>
            <w:tcW w:type="dxa" w:w="2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NOVATELabs employees. Role-based per function. Standard MFA.</w:t>
            </w:r>
          </w:p>
        </w:tc>
      </w:tr>
      <w:tr>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48F77"/>
                <w:sz w:val="18"/>
                <w:szCs w:val="18"/>
              </w:rPr>
              <w:t xml:space="preserve">CLIENT</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NIN dashboards, source of truth reports, scorecards, microsite content</w:t>
            </w:r>
          </w:p>
        </w:tc>
        <w:tc>
          <w:tcPr>
            <w:tcW w:type="dxa" w:w="2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Google-managed encryption. Client-specific Firestore collections with tenant isolation.</w:t>
            </w:r>
          </w:p>
        </w:tc>
        <w:tc>
          <w:tcPr>
            <w:tcW w:type="dxa" w:w="2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Client portal with engagement-scoped access. SSO integration available.</w:t>
            </w:r>
          </w:p>
        </w:tc>
      </w:tr>
      <w:tr>
        <w:tc>
          <w:tcPr>
            <w:tcW w:type="dxa" w:w="1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PUBLIC</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Marketing, one-pagers, brand assets</w:t>
            </w:r>
          </w:p>
        </w:tc>
        <w:tc>
          <w:tcPr>
            <w:tcW w:type="dxa" w:w="28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Standard TLS for transit. No encryption requirements at rest beyond platform defaults.</w:t>
            </w:r>
          </w:p>
        </w:tc>
        <w:tc>
          <w:tcPr>
            <w:tcW w:type="dxa" w:w="25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Unrestricted. Served via CDN.</w:t>
            </w:r>
          </w:p>
        </w:tc>
      </w:tr>
    </w:tbl>
    <w:p>
      <w:r>
        <w:br w:type="page"/>
      </w:r>
    </w:p>
    <w:p>
      <w:pPr>
        <w:pStyle w:val="Heading1"/>
        <w:spacing w:before="400" w:after="200"/>
      </w:pPr>
      <w:r>
        <w:rPr>
          <w:rFonts w:ascii="Arial" w:cs="Arial" w:eastAsia="Arial" w:hAnsi="Arial"/>
          <w:b/>
          <w:bCs/>
          <w:color w:val="0A1628"/>
          <w:sz w:val="32"/>
          <w:szCs w:val="32"/>
        </w:rPr>
        <w:t xml:space="preserve">3. Client Microsite Architecture</w:t>
      </w:r>
    </w:p>
    <w:p>
      <w:pPr>
        <w:spacing w:after="120" w:line="276"/>
      </w:pPr>
      <w:r>
        <w:rPr>
          <w:rFonts w:ascii="Arial" w:cs="Arial" w:eastAsia="Arial" w:hAnsi="Arial"/>
          <w:color w:val="1C2833"/>
          <w:sz w:val="20"/>
          <w:szCs w:val="20"/>
        </w:rPr>
        <w:t xml:space="preserve">Each active FORGE engagement generates a client-facing microsite that serves as the engagement dashboard, source of truth portal, and communication hub. The microsite replaces fragmented email reporting and PDF deliverables with a living, data-connected interface that reinforces Sentrais brand authority and Evidence Ledger transparency.</w:t>
      </w:r>
    </w:p>
    <w:p>
      <w:pPr>
        <w:pStyle w:val="Heading2"/>
        <w:spacing w:before="300" w:after="150"/>
      </w:pPr>
      <w:r>
        <w:rPr>
          <w:rFonts w:ascii="Arial" w:cs="Arial" w:eastAsia="Arial" w:hAnsi="Arial"/>
          <w:b/>
          <w:bCs/>
          <w:color w:val="1A5276"/>
          <w:sz w:val="26"/>
          <w:szCs w:val="26"/>
        </w:rPr>
        <w:t xml:space="preserve">3.1 Platform Recommendation: Google Cloud + Lovable</w:t>
      </w:r>
    </w:p>
    <w:p>
      <w:pPr>
        <w:spacing w:after="120" w:line="276"/>
      </w:pPr>
      <w:r>
        <w:rPr>
          <w:rFonts w:ascii="Arial" w:cs="Arial" w:eastAsia="Arial" w:hAnsi="Arial"/>
          <w:color w:val="1C2833"/>
          <w:sz w:val="20"/>
          <w:szCs w:val="20"/>
        </w:rPr>
        <w:t xml:space="preserve">Based on the requirement for Google ecosystem integration and rapid deployment capability, the recommended architecture uses Lovable as the frontend builder deployed to Firebase Hosting within the sentrais-forge-clients GCP project. Lovable provides AI-assisted frontend generation that produces clean React code deployable directly to Firebase, maintaining full GCP ecosystem integration while dramatically reducing microsite build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Criteria</w:t>
            </w:r>
          </w:p>
        </w:tc>
        <w:tc>
          <w:tcPr>
            <w:tcW w:type="dxa" w:w="358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Google Sites / AppSheet</w:t>
            </w:r>
          </w:p>
        </w:tc>
        <w:tc>
          <w:tcPr>
            <w:tcW w:type="dxa" w:w="358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Lovable + Firebase Hosting</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Design Quality</w:t>
            </w:r>
          </w:p>
        </w:tc>
        <w:tc>
          <w:tcPr>
            <w:tcW w:type="dxa" w:w="35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Basic. Template-bound. Not competitive with Deloitte-grade standard required by FORGE Design Agent.</w:t>
            </w:r>
          </w:p>
        </w:tc>
        <w:tc>
          <w:tcPr>
            <w:tcW w:type="dxa" w:w="35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High. AI-generated React with full CSS control. Matches Sentrais visual language. Deloitte-competitive.</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Data Integration</w:t>
            </w:r>
          </w:p>
        </w:tc>
        <w:tc>
          <w:tcPr>
            <w:tcW w:type="dxa" w:w="35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Google Sheets / AppSheet backend. Limited BigQuery connectivity. No Firestore native.</w:t>
            </w:r>
          </w:p>
        </w:tc>
        <w:tc>
          <w:tcPr>
            <w:tcW w:type="dxa" w:w="35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Full Firebase/Firestore integration. BigQuery via Cloud Functions API layer. Real-time data binding.</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Custom Branding</w:t>
            </w:r>
          </w:p>
        </w:tc>
        <w:tc>
          <w:tcPr>
            <w:tcW w:type="dxa" w:w="35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Limited. Google Sites constrains layout. AppSheet has modest theming.</w:t>
            </w:r>
          </w:p>
        </w:tc>
        <w:tc>
          <w:tcPr>
            <w:tcW w:type="dxa" w:w="35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Full control. Sentrais Deep Navy palette, custom typography, isometric visual language supported.</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Authentication</w:t>
            </w:r>
          </w:p>
        </w:tc>
        <w:tc>
          <w:tcPr>
            <w:tcW w:type="dxa" w:w="35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Google Workspace SSO. No external identity support without workarounds.</w:t>
            </w:r>
          </w:p>
        </w:tc>
        <w:tc>
          <w:tcPr>
            <w:tcW w:type="dxa" w:w="35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Firebase Auth with Google, Microsoft, SAML, OIDC. Client SSO integration native.</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Scalability</w:t>
            </w:r>
          </w:p>
        </w:tc>
        <w:tc>
          <w:tcPr>
            <w:tcW w:type="dxa" w:w="35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One site per engagement. Manual duplication. No template automation.</w:t>
            </w:r>
          </w:p>
        </w:tc>
        <w:tc>
          <w:tcPr>
            <w:tcW w:type="dxa" w:w="35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Template-based deployment. n8n automation for new engagement provisioning. Multi-tenant architecture.</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Cost per Microsite</w:t>
            </w:r>
          </w:p>
        </w:tc>
        <w:tc>
          <w:tcPr>
            <w:tcW w:type="dxa" w:w="35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Free (Google Sites) / $10/user (AppSheet)</w:t>
            </w:r>
          </w:p>
        </w:tc>
        <w:tc>
          <w:tcPr>
            <w:tcW w:type="dxa" w:w="35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$20/mo Lovable Pro + Firebase free tier (generous for dashboard-scale traffic)</w:t>
            </w:r>
          </w:p>
        </w:tc>
      </w:tr>
      <w:tr>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Recommendation</w:t>
            </w:r>
          </w:p>
        </w:tc>
        <w:tc>
          <w:tcPr>
            <w:tcW w:type="dxa" w:w="35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Not recommended. Design quality insufficient for FORGE standard.</w:t>
            </w:r>
          </w:p>
        </w:tc>
        <w:tc>
          <w:tcPr>
            <w:tcW w:type="dxa" w:w="35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7AE60"/>
                <w:sz w:val="18"/>
                <w:szCs w:val="18"/>
              </w:rPr>
              <w:t xml:space="preserve">RECOMMENDED. Balances quality, speed, GCP integration, and cost.</w:t>
            </w:r>
          </w:p>
        </w:tc>
      </w:tr>
    </w:tbl>
    <w:p>
      <w:pPr>
        <w:spacing w:before="200"/>
      </w:pPr>
    </w:p>
    <w:p>
      <w:pPr>
        <w:pStyle w:val="Heading2"/>
        <w:spacing w:before="300" w:after="150"/>
      </w:pPr>
      <w:r>
        <w:rPr>
          <w:rFonts w:ascii="Arial" w:cs="Arial" w:eastAsia="Arial" w:hAnsi="Arial"/>
          <w:b/>
          <w:bCs/>
          <w:color w:val="1A5276"/>
          <w:sz w:val="26"/>
          <w:szCs w:val="26"/>
        </w:rPr>
        <w:t xml:space="preserve">3.2 Microsite Architecture</w:t>
      </w:r>
    </w:p>
    <w:p>
      <w:pPr>
        <w:spacing w:after="120" w:line="276"/>
      </w:pPr>
      <w:r>
        <w:rPr>
          <w:rFonts w:ascii="Arial" w:cs="Arial" w:eastAsia="Arial" w:hAnsi="Arial"/>
          <w:color w:val="1C2833"/>
          <w:sz w:val="20"/>
          <w:szCs w:val="20"/>
        </w:rPr>
        <w:t xml:space="preserve">Each client microsite operates as an isolated tenant within the sentrais-forge-clients GCP project. Firestore security rules enforce engagement-scoped data access. Firebase Hosting serves the React frontend built in Lovable. Cloud Functions provide the API layer connecting to the FORGE Core Evidence Ledger in BigQuery.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368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Technology</w:t>
            </w:r>
          </w:p>
        </w:tc>
        <w:tc>
          <w:tcPr>
            <w:tcW w:type="dxa" w:w="368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Frontend</w:t>
            </w:r>
          </w:p>
        </w:tc>
        <w:tc>
          <w:tcPr>
            <w:tcW w:type="dxa" w:w="36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React (Lovable-generated) deployed to Firebase Hosting with custom domain per client</w:t>
            </w:r>
          </w:p>
        </w:tc>
        <w:tc>
          <w:tcPr>
            <w:tcW w:type="dxa" w:w="36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Client-facing dashboard, NIN Analyzer views, source of truth reports, scorecard displays</w:t>
            </w:r>
          </w:p>
        </w:tc>
      </w:tr>
      <w:tr>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Authentication</w:t>
            </w:r>
          </w:p>
        </w:tc>
        <w:tc>
          <w:tcPr>
            <w:tcW w:type="dxa" w:w="36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Firebase Auth with configurable providers (Google SSO, Microsoft Azure AD, SAML/OIDC for enterprise clients)</w:t>
            </w:r>
          </w:p>
        </w:tc>
        <w:tc>
          <w:tcPr>
            <w:tcW w:type="dxa" w:w="36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Client stakeholder identity verification. Role-based dashboard access (Executive, Operational, Technical).</w:t>
            </w:r>
          </w:p>
        </w:tc>
      </w:tr>
      <w:tr>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API Layer</w:t>
            </w:r>
          </w:p>
        </w:tc>
        <w:tc>
          <w:tcPr>
            <w:tcW w:type="dxa" w:w="36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Cloud Functions (Node.js) behind API Gateway with rate limiting and API key enforcement</w:t>
            </w:r>
          </w:p>
        </w:tc>
        <w:tc>
          <w:tcPr>
            <w:tcW w:type="dxa" w:w="36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Data retrieval from Evidence Ledger, report generation triggers, real-time status feeds</w:t>
            </w:r>
          </w:p>
        </w:tc>
      </w:tr>
      <w:tr>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Data Store</w:t>
            </w:r>
          </w:p>
        </w:tc>
        <w:tc>
          <w:tcPr>
            <w:tcW w:type="dxa" w:w="36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Firestore (client-scoped collections) + BigQuery (Evidence Ledger read replicas)</w:t>
            </w:r>
          </w:p>
        </w:tc>
        <w:tc>
          <w:tcPr>
            <w:tcW w:type="dxa" w:w="36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Real-time dashboard state, cached report data, client-specific configuration, scorecard history</w:t>
            </w:r>
          </w:p>
        </w:tc>
      </w:tr>
      <w:tr>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CDN &amp; Security</w:t>
            </w:r>
          </w:p>
        </w:tc>
        <w:tc>
          <w:tcPr>
            <w:tcW w:type="dxa" w:w="36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Firebase Hosting CDN + Cloud Armor WAF + DDoS protection</w:t>
            </w:r>
          </w:p>
        </w:tc>
        <w:tc>
          <w:tcPr>
            <w:tcW w:type="dxa" w:w="36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Global content delivery, bot protection, rate limiting, geographic access controls</w:t>
            </w:r>
          </w:p>
        </w:tc>
      </w:tr>
      <w:tr>
        <w:tc>
          <w:tcPr>
            <w:tcW w:type="dxa" w:w="20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Automation</w:t>
            </w:r>
          </w:p>
        </w:tc>
        <w:tc>
          <w:tcPr>
            <w:tcW w:type="dxa" w:w="36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n8n workflows triggered by FORGE governance events (stage gate pass, milestone achieved, risk alert)</w:t>
            </w:r>
          </w:p>
        </w:tc>
        <w:tc>
          <w:tcPr>
            <w:tcW w:type="dxa" w:w="36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Automated dashboard refresh, notification dispatch, report publication, evidence sync</w:t>
            </w:r>
          </w:p>
        </w:tc>
      </w:tr>
    </w:tbl>
    <w:p>
      <w:pPr>
        <w:spacing w:before="200"/>
      </w:pPr>
    </w:p>
    <w:p>
      <w:pPr>
        <w:pStyle w:val="Heading2"/>
        <w:spacing w:before="300" w:after="150"/>
      </w:pPr>
      <w:r>
        <w:rPr>
          <w:rFonts w:ascii="Arial" w:cs="Arial" w:eastAsia="Arial" w:hAnsi="Arial"/>
          <w:b/>
          <w:bCs/>
          <w:color w:val="1A5276"/>
          <w:sz w:val="26"/>
          <w:szCs w:val="26"/>
        </w:rPr>
        <w:t xml:space="preserve">3.3 Microsite Provisioning Workflow</w:t>
      </w:r>
    </w:p>
    <w:p>
      <w:pPr>
        <w:spacing w:after="120" w:line="276"/>
      </w:pPr>
      <w:r>
        <w:rPr>
          <w:rFonts w:ascii="Arial" w:cs="Arial" w:eastAsia="Arial" w:hAnsi="Arial"/>
          <w:color w:val="1C2833"/>
          <w:sz w:val="20"/>
          <w:szCs w:val="20"/>
        </w:rPr>
        <w:t xml:space="preserve">When a new engagement completes the NIN Discover phase and the SOW is executed, the System Administrator (Tionna) triggers microsite provisioning through the FORGE Admin Console. The n8n automation engine handles the end-to-end setup:</w:t>
      </w:r>
    </w:p>
    <w:p>
      <w:pPr>
        <w:spacing w:after="120" w:line="276"/>
      </w:pPr>
      <w:r>
        <w:rPr>
          <w:rFonts w:ascii="Arial" w:cs="Arial" w:eastAsia="Arial" w:hAnsi="Arial"/>
          <w:color w:val="1C2833"/>
          <w:sz w:val="20"/>
          <w:szCs w:val="20"/>
        </w:rPr>
        <w:t xml:space="preserve">Step 1: FORGE Admin Console triggers n8n provisioning workflow with engagement parameters (client name, engagement ID, stakeholder list, branding overrides).</w:t>
      </w:r>
    </w:p>
    <w:p>
      <w:pPr>
        <w:spacing w:after="120" w:line="276"/>
      </w:pPr>
      <w:r>
        <w:rPr>
          <w:rFonts w:ascii="Arial" w:cs="Arial" w:eastAsia="Arial" w:hAnsi="Arial"/>
          <w:color w:val="1C2833"/>
          <w:sz w:val="20"/>
          <w:szCs w:val="20"/>
        </w:rPr>
        <w:t xml:space="preserve">Step 2: n8n creates Firebase Hosting site with custom domain (e.g., nfl-evergame.sentrais.io), provisions Firestore collections scoped to the engagement, and generates Firebase Auth configuration for client SSO integration.</w:t>
      </w:r>
    </w:p>
    <w:p>
      <w:pPr>
        <w:spacing w:after="120" w:line="276"/>
      </w:pPr>
      <w:r>
        <w:rPr>
          <w:rFonts w:ascii="Arial" w:cs="Arial" w:eastAsia="Arial" w:hAnsi="Arial"/>
          <w:color w:val="1C2833"/>
          <w:sz w:val="20"/>
          <w:szCs w:val="20"/>
        </w:rPr>
        <w:t xml:space="preserve">Step 3: Lovable template is cloned and configured with client branding (logo, accent colors within Sentrais framework). The template includes pre-built NIN Analyzer views, scorecard layouts, Evidence Ledger summaries, and milestone tracking dashboards.</w:t>
      </w:r>
    </w:p>
    <w:p>
      <w:pPr>
        <w:spacing w:after="120" w:line="276"/>
      </w:pPr>
      <w:r>
        <w:rPr>
          <w:rFonts w:ascii="Arial" w:cs="Arial" w:eastAsia="Arial" w:hAnsi="Arial"/>
          <w:color w:val="1C2833"/>
          <w:sz w:val="20"/>
          <w:szCs w:val="20"/>
        </w:rPr>
        <w:t xml:space="preserve">Step 4: Communications Agent sends onboarding emails to client stakeholders with portal access credentials and a guided walkthrough of the dashboard capabilities.</w:t>
      </w:r>
    </w:p>
    <w:p>
      <w:pPr>
        <w:spacing w:after="120" w:line="276"/>
      </w:pPr>
      <w:r>
        <w:rPr>
          <w:rFonts w:ascii="Arial" w:cs="Arial" w:eastAsia="Arial" w:hAnsi="Arial"/>
          <w:color w:val="1C2833"/>
          <w:sz w:val="20"/>
          <w:szCs w:val="20"/>
        </w:rPr>
        <w:t xml:space="preserve">Step 5: FORGE Governance Agent registers the microsite in the engagement record and activates the Client Success Agent for ongoing health monitoring through the portal.</w:t>
      </w:r>
    </w:p>
    <w:p>
      <w:pPr>
        <w:pStyle w:val="Heading2"/>
        <w:spacing w:before="300" w:after="150"/>
      </w:pPr>
      <w:r>
        <w:rPr>
          <w:rFonts w:ascii="Arial" w:cs="Arial" w:eastAsia="Arial" w:hAnsi="Arial"/>
          <w:b/>
          <w:bCs/>
          <w:color w:val="1A5276"/>
          <w:sz w:val="26"/>
          <w:szCs w:val="26"/>
        </w:rPr>
        <w:t xml:space="preserve">3.4 Microsite Standard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338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Source</w:t>
            </w:r>
          </w:p>
        </w:tc>
        <w:tc>
          <w:tcPr>
            <w:tcW w:type="dxa" w:w="338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Update Frequency</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NIN Phase Tracker</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Evidence Ledger: engagement phase progression, gate status, milestone completion</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Real-time (event-driven via Firestore listeners)</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Maturity Scorecard</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Blueprint360 assessment data: dimension scores, level progression, gap analysis</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Weekly (assessment refresh cycle)</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Risk Heatmap</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Risk Agent output: engagement risk register with severity scoring and mitigation status</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Daily (risk agent analysis cycle)</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Accountability Scorecard</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Shared accountability data: Sentrais deliverable status + client deliverable status</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Real-time (event-driven)</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Document Library</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Cloud Storage: approved deliverables, reports, SOW, amendments</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On publish (Design Agent output pipeline)</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Decision Log</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Evidence Ledger: all recorded decisions with rationale, participants, and outcomes</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Real-time (event-driven)</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Communication Feed</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Communications Agent: status updates, milestone announcements, meeting summaries</w:t>
            </w:r>
          </w:p>
        </w:tc>
        <w:tc>
          <w:tcPr>
            <w:tcW w:type="dxa" w:w="338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Auto-generated per governance cadence</w:t>
            </w:r>
          </w:p>
        </w:tc>
      </w:tr>
    </w:tbl>
    <w:p>
      <w:r>
        <w:br w:type="page"/>
      </w:r>
    </w:p>
    <w:p>
      <w:pPr>
        <w:pStyle w:val="Heading1"/>
        <w:spacing w:before="400" w:after="200"/>
      </w:pPr>
      <w:r>
        <w:rPr>
          <w:rFonts w:ascii="Arial" w:cs="Arial" w:eastAsia="Arial" w:hAnsi="Arial"/>
          <w:b/>
          <w:bCs/>
          <w:color w:val="0A1628"/>
          <w:sz w:val="32"/>
          <w:szCs w:val="32"/>
        </w:rPr>
        <w:t xml:space="preserve">4. Infrastructure Cost Model</w:t>
      </w:r>
    </w:p>
    <w:p>
      <w:pPr>
        <w:spacing w:after="120" w:line="276"/>
      </w:pPr>
      <w:r>
        <w:rPr>
          <w:rFonts w:ascii="Arial" w:cs="Arial" w:eastAsia="Arial" w:hAnsi="Arial"/>
          <w:color w:val="1C2833"/>
          <w:sz w:val="20"/>
          <w:szCs w:val="20"/>
        </w:rPr>
        <w:t xml:space="preserve">Monthly estimated GCP infrastructure costs for FORGE v3.0 at initial scale (5-10 active engagements). Costs scale with engagement volume and data throughput. All pricing based on GCP published rates as of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Service</w:t>
            </w:r>
          </w:p>
        </w:tc>
        <w:tc>
          <w:tcPr>
            <w:tcW w:type="dxa" w:w="22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Configuration</w:t>
            </w:r>
          </w:p>
        </w:tc>
        <w:tc>
          <w:tcPr>
            <w:tcW w:type="dxa" w:w="22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Monthly Est.</w:t>
            </w:r>
          </w:p>
        </w:tc>
        <w:tc>
          <w:tcPr>
            <w:tcW w:type="dxa" w:w="236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Scale Factor</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Cloud Run (Agent Runtime)</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5 services, 2 instances each, 2 vCPU / 4GB</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$180-$320</w:t>
            </w:r>
          </w:p>
        </w:tc>
        <w:tc>
          <w:tcPr>
            <w:tcW w:type="dxa" w:w="23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Linear with agent count</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BigQuery (Evidence Ledger)</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On-demand queries, 100GB active storage</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$50-$150</w:t>
            </w:r>
          </w:p>
        </w:tc>
        <w:tc>
          <w:tcPr>
            <w:tcW w:type="dxa" w:w="23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Linear with engagement data</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Firestore</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Multi-region, 50K reads/day, 10K writes/day</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$30-$80</w:t>
            </w:r>
          </w:p>
        </w:tc>
        <w:tc>
          <w:tcPr>
            <w:tcW w:type="dxa" w:w="23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Per engagement activity</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Firebase Hosting (Microsites)</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10 sites, custom domains, SSL</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Free-$25</w:t>
            </w:r>
          </w:p>
        </w:tc>
        <w:tc>
          <w:tcPr>
            <w:tcW w:type="dxa" w:w="23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Per microsite count</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Vertex AI (ML Pipelines)</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Training jobs + prediction endpoints</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$200-$500</w:t>
            </w:r>
          </w:p>
        </w:tc>
        <w:tc>
          <w:tcPr>
            <w:tcW w:type="dxa" w:w="23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Per model complexity</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Claude API</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Estimated 2M tokens/day across all agents</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$300-$600</w:t>
            </w:r>
          </w:p>
        </w:tc>
        <w:tc>
          <w:tcPr>
            <w:tcW w:type="dxa" w:w="23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Per agent activity volume</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Gemini API</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Multimodal analysis, data viz, 500K tokens/day</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$100-$250</w:t>
            </w:r>
          </w:p>
        </w:tc>
        <w:tc>
          <w:tcPr>
            <w:tcW w:type="dxa" w:w="23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Per engagement complexity</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Cloud KMS + Security</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CMEK keys, VPC SC, SCC Premium</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$150-$300</w:t>
            </w:r>
          </w:p>
        </w:tc>
        <w:tc>
          <w:tcPr>
            <w:tcW w:type="dxa" w:w="23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Fixed + per-key</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Networking + CDN</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Cloud Armor, Load Balancing, egress</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$80-$200</w:t>
            </w:r>
          </w:p>
        </w:tc>
        <w:tc>
          <w:tcPr>
            <w:tcW w:type="dxa" w:w="23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Per traffic volume</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Lovable Pro</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Pro plan for microsite development</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$20</w:t>
            </w:r>
          </w:p>
        </w:tc>
        <w:tc>
          <w:tcPr>
            <w:tcW w:type="dxa" w:w="23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Fixed</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n8n Cloud</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Pro plan for workflow automation</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$50</w:t>
            </w:r>
          </w:p>
        </w:tc>
        <w:tc>
          <w:tcPr>
            <w:tcW w:type="dxa" w:w="23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Per workflow volume</w:t>
            </w:r>
          </w:p>
        </w:tc>
      </w:tr>
      <w:tr>
        <w:tc>
          <w:tcPr>
            <w:tcW w:type="dxa" w:w="26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TOTAL ESTIMATED MONTHLY</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Initial Scale (5-10 engagements)</w:t>
            </w:r>
          </w:p>
        </w:tc>
        <w:tc>
          <w:tcPr>
            <w:tcW w:type="dxa" w:w="2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0A1628"/>
                <w:sz w:val="18"/>
                <w:szCs w:val="18"/>
              </w:rPr>
              <w:t xml:space="preserve">$1,160-$2,495</w:t>
            </w:r>
          </w:p>
        </w:tc>
        <w:tc>
          <w:tcPr>
            <w:tcW w:type="dxa" w:w="236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Avg. $175-$250/engagement</w:t>
            </w:r>
          </w:p>
        </w:tc>
      </w:tr>
    </w:tbl>
    <w:p>
      <w:pPr>
        <w:spacing w:before="200"/>
      </w:pPr>
    </w:p>
    <w:p>
      <w:pPr>
        <w:pStyle w:val="Heading1"/>
        <w:spacing w:before="400" w:after="200"/>
      </w:pPr>
      <w:r>
        <w:rPr>
          <w:rFonts w:ascii="Arial" w:cs="Arial" w:eastAsia="Arial" w:hAnsi="Arial"/>
          <w:b/>
          <w:bCs/>
          <w:color w:val="0A1628"/>
          <w:sz w:val="32"/>
          <w:szCs w:val="32"/>
        </w:rPr>
        <w:t xml:space="preserve">5. Implementation Actions</w:t>
      </w:r>
    </w:p>
    <w:p>
      <w:pPr>
        <w:spacing w:after="120" w:line="276"/>
      </w:pPr>
      <w:r>
        <w:rPr>
          <w:rFonts w:ascii="Arial" w:cs="Arial" w:eastAsia="Arial" w:hAnsi="Arial"/>
          <w:color w:val="1C2833"/>
          <w:sz w:val="20"/>
          <w:szCs w:val="20"/>
        </w:rPr>
        <w:t xml:space="preserve">The following actions integrate the security architecture, IAM model, client microsite infrastructure, and SAFe gap remediation into the existing FORGE v3.0 implementation roadmap. All actions are sequenced to align with the March 15 cutover mandate.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400"/>
        <w:gridCol w:w="1200"/>
        <w:gridCol w:w="1360"/>
      </w:tblGrid>
      <w:tr>
        <w:tc>
          <w:tcPr>
            <w:tcW w:type="dxa" w:w="12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w:t>
            </w:r>
          </w:p>
        </w:tc>
        <w:tc>
          <w:tcPr>
            <w:tcW w:type="dxa" w:w="32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24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120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w:t>
            </w:r>
          </w:p>
        </w:tc>
        <w:tc>
          <w:tcPr>
            <w:tcW w:type="dxa" w:w="1360"/>
            <w:tcBorders>
              <w:top w:val="single" w:color="D5DBE1" w:sz="1"/>
              <w:left w:val="single" w:color="D5DBE1" w:sz="1"/>
              <w:bottom w:val="single" w:color="D5DBE1" w:sz="1"/>
              <w:right w:val="single" w:color="D5DBE1"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1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Foundation</w:t>
            </w:r>
          </w:p>
        </w:tc>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Provision 5 GCP projects with VPC Service Controls and IAM policy bindings</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Tionna (Admin) + Ryan (CTO)</w:t>
            </w:r>
          </w:p>
        </w:tc>
        <w:tc>
          <w:tcPr>
            <w:tcW w:type="dxa" w:w="1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Feb 15</w:t>
            </w:r>
          </w:p>
        </w:tc>
        <w:tc>
          <w:tcPr>
            <w:tcW w:type="dxa" w:w="1360"/>
            <w:tcBorders>
              <w:top w:val="single" w:color="D5DBE1" w:sz="1"/>
              <w:left w:val="single" w:color="D5DBE1" w:sz="1"/>
              <w:bottom w:val="single" w:color="D5DBE1" w:sz="1"/>
              <w:right w:val="single" w:color="D5DBE1" w:sz="1"/>
            </w:tcBorders>
            <w:shd w:fill="F4F6F8"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PENDING</w:t>
            </w:r>
          </w:p>
        </w:tc>
      </w:tr>
      <w:tr>
        <w:tc>
          <w:tcPr>
            <w:tcW w:type="dxa" w:w="1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Foundation</w:t>
            </w:r>
          </w:p>
        </w:tc>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Configure Cloud KMS CMEK for Strategy Engine data stores</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Kirby (CISO) + Tionna (Admin)</w:t>
            </w:r>
          </w:p>
        </w:tc>
        <w:tc>
          <w:tcPr>
            <w:tcW w:type="dxa" w:w="1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Feb 18</w:t>
            </w:r>
          </w:p>
        </w:tc>
        <w:tc>
          <w:tcPr>
            <w:tcW w:type="dxa" w:w="1360"/>
            <w:tcBorders>
              <w:top w:val="single" w:color="D5DBE1" w:sz="1"/>
              <w:left w:val="single" w:color="D5DBE1" w:sz="1"/>
              <w:bottom w:val="single" w:color="D5DBE1" w:sz="1"/>
              <w:right w:val="single" w:color="D5DBE1" w:sz="1"/>
            </w:tcBorders>
            <w:shd w:fill="F4F6F8"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PENDING</w:t>
            </w:r>
          </w:p>
        </w:tc>
      </w:tr>
      <w:tr>
        <w:tc>
          <w:tcPr>
            <w:tcW w:type="dxa" w:w="1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Foundation</w:t>
            </w:r>
          </w:p>
        </w:tc>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Deploy IAM custom roles with deny policies per RBAC model Section 2.1</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Tionna (Admin)</w:t>
            </w:r>
          </w:p>
        </w:tc>
        <w:tc>
          <w:tcPr>
            <w:tcW w:type="dxa" w:w="1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Feb 20</w:t>
            </w:r>
          </w:p>
        </w:tc>
        <w:tc>
          <w:tcPr>
            <w:tcW w:type="dxa" w:w="1360"/>
            <w:tcBorders>
              <w:top w:val="single" w:color="D5DBE1" w:sz="1"/>
              <w:left w:val="single" w:color="D5DBE1" w:sz="1"/>
              <w:bottom w:val="single" w:color="D5DBE1" w:sz="1"/>
              <w:right w:val="single" w:color="D5DBE1" w:sz="1"/>
            </w:tcBorders>
            <w:shd w:fill="F4F6F8"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PENDING</w:t>
            </w:r>
          </w:p>
        </w:tc>
      </w:tr>
      <w:tr>
        <w:tc>
          <w:tcPr>
            <w:tcW w:type="dxa" w:w="1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Foundation</w:t>
            </w:r>
          </w:p>
        </w:tc>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Create Lovable microsite template with Sentrais branding and standard components</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Design Agent + Tionna (Admin)</w:t>
            </w:r>
          </w:p>
        </w:tc>
        <w:tc>
          <w:tcPr>
            <w:tcW w:type="dxa" w:w="1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Feb 28</w:t>
            </w:r>
          </w:p>
        </w:tc>
        <w:tc>
          <w:tcPr>
            <w:tcW w:type="dxa" w:w="1360"/>
            <w:tcBorders>
              <w:top w:val="single" w:color="D5DBE1" w:sz="1"/>
              <w:left w:val="single" w:color="D5DBE1" w:sz="1"/>
              <w:bottom w:val="single" w:color="D5DBE1" w:sz="1"/>
              <w:right w:val="single" w:color="D5DBE1" w:sz="1"/>
            </w:tcBorders>
            <w:shd w:fill="F4F6F8"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PENDING</w:t>
            </w:r>
          </w:p>
        </w:tc>
      </w:tr>
      <w:tr>
        <w:tc>
          <w:tcPr>
            <w:tcW w:type="dxa" w:w="1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Intelligence</w:t>
            </w:r>
          </w:p>
        </w:tc>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Build n8n microsite provisioning workflow (auto-deploy from engagement creation)</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Tionna (Admin) + CTO</w:t>
            </w:r>
          </w:p>
        </w:tc>
        <w:tc>
          <w:tcPr>
            <w:tcW w:type="dxa" w:w="1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Mar 5</w:t>
            </w:r>
          </w:p>
        </w:tc>
        <w:tc>
          <w:tcPr>
            <w:tcW w:type="dxa" w:w="1360"/>
            <w:tcBorders>
              <w:top w:val="single" w:color="D5DBE1" w:sz="1"/>
              <w:left w:val="single" w:color="D5DBE1" w:sz="1"/>
              <w:bottom w:val="single" w:color="D5DBE1" w:sz="1"/>
              <w:right w:val="single" w:color="D5DBE1" w:sz="1"/>
            </w:tcBorders>
            <w:shd w:fill="F4F6F8"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PENDING</w:t>
            </w:r>
          </w:p>
        </w:tc>
      </w:tr>
      <w:tr>
        <w:tc>
          <w:tcPr>
            <w:tcW w:type="dxa" w:w="1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Intelligence</w:t>
            </w:r>
          </w:p>
        </w:tc>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Formalize ART/PI ceremony integration in Agile PMO playbook (SAFe gap)</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PMO Director + Agile PM Agent</w:t>
            </w:r>
          </w:p>
        </w:tc>
        <w:tc>
          <w:tcPr>
            <w:tcW w:type="dxa" w:w="1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Mar 10</w:t>
            </w:r>
          </w:p>
        </w:tc>
        <w:tc>
          <w:tcPr>
            <w:tcW w:type="dxa" w:w="1360"/>
            <w:tcBorders>
              <w:top w:val="single" w:color="D5DBE1" w:sz="1"/>
              <w:left w:val="single" w:color="D5DBE1" w:sz="1"/>
              <w:bottom w:val="single" w:color="D5DBE1" w:sz="1"/>
              <w:right w:val="single" w:color="D5DBE1" w:sz="1"/>
            </w:tcBorders>
            <w:shd w:fill="F4F6F8"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PENDING</w:t>
            </w:r>
          </w:p>
        </w:tc>
      </w:tr>
      <w:tr>
        <w:tc>
          <w:tcPr>
            <w:tcW w:type="dxa" w:w="1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Intelligence</w:t>
            </w:r>
          </w:p>
        </w:tc>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Create Playbook 5.16: DevOps &amp; Release Engineering (SAFe gap)</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CTO + QA Agent</w:t>
            </w:r>
          </w:p>
        </w:tc>
        <w:tc>
          <w:tcPr>
            <w:tcW w:type="dxa" w:w="1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Mar 12</w:t>
            </w:r>
          </w:p>
        </w:tc>
        <w:tc>
          <w:tcPr>
            <w:tcW w:type="dxa" w:w="1360"/>
            <w:tcBorders>
              <w:top w:val="single" w:color="D5DBE1" w:sz="1"/>
              <w:left w:val="single" w:color="D5DBE1" w:sz="1"/>
              <w:bottom w:val="single" w:color="D5DBE1" w:sz="1"/>
              <w:right w:val="single" w:color="D5DBE1" w:sz="1"/>
            </w:tcBorders>
            <w:shd w:fill="F4F6F8"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PENDING</w:t>
            </w:r>
          </w:p>
        </w:tc>
      </w:tr>
      <w:tr>
        <w:tc>
          <w:tcPr>
            <w:tcW w:type="dxa" w:w="1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Activation</w:t>
            </w:r>
          </w:p>
        </w:tc>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Deploy first client microsite (NFL EVERGAME) as validation target</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Tionna (Admin) + Engagement Lead</w:t>
            </w:r>
          </w:p>
        </w:tc>
        <w:tc>
          <w:tcPr>
            <w:tcW w:type="dxa" w:w="1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Mar 18</w:t>
            </w:r>
          </w:p>
        </w:tc>
        <w:tc>
          <w:tcPr>
            <w:tcW w:type="dxa" w:w="1360"/>
            <w:tcBorders>
              <w:top w:val="single" w:color="D5DBE1" w:sz="1"/>
              <w:left w:val="single" w:color="D5DBE1" w:sz="1"/>
              <w:bottom w:val="single" w:color="D5DBE1" w:sz="1"/>
              <w:right w:val="single" w:color="D5DBE1" w:sz="1"/>
            </w:tcBorders>
            <w:shd w:fill="F4F6F8"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PENDING</w:t>
            </w:r>
          </w:p>
        </w:tc>
      </w:tr>
      <w:tr>
        <w:tc>
          <w:tcPr>
            <w:tcW w:type="dxa" w:w="1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Activation</w:t>
            </w:r>
          </w:p>
        </w:tc>
        <w:tc>
          <w:tcPr>
            <w:tcW w:type="dxa" w:w="3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Security validation: penetration test on microsite + IAM audit</w:t>
            </w:r>
          </w:p>
        </w:tc>
        <w:tc>
          <w:tcPr>
            <w:tcW w:type="dxa" w:w="24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Kirby (CISO)</w:t>
            </w:r>
          </w:p>
        </w:tc>
        <w:tc>
          <w:tcPr>
            <w:tcW w:type="dxa" w:w="1200"/>
            <w:tcBorders>
              <w:top w:val="single" w:color="D5DBE1" w:sz="1"/>
              <w:left w:val="single" w:color="D5DBE1" w:sz="1"/>
              <w:bottom w:val="single" w:color="D5DBE1" w:sz="1"/>
              <w:right w:val="single" w:color="D5DB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Mar 25</w:t>
            </w:r>
          </w:p>
        </w:tc>
        <w:tc>
          <w:tcPr>
            <w:tcW w:type="dxa" w:w="1360"/>
            <w:tcBorders>
              <w:top w:val="single" w:color="D5DBE1" w:sz="1"/>
              <w:left w:val="single" w:color="D5DBE1" w:sz="1"/>
              <w:bottom w:val="single" w:color="D5DBE1" w:sz="1"/>
              <w:right w:val="single" w:color="D5DBE1" w:sz="1"/>
            </w:tcBorders>
            <w:shd w:fill="F4F6F8"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PENDING</w:t>
            </w:r>
          </w:p>
        </w:tc>
      </w:tr>
    </w:tbl>
    <w:p>
      <w:pPr>
        <w:spacing w:before="400"/>
      </w:pPr>
    </w:p>
    <w:p>
      <w:pPr>
        <w:pBdr>
          <w:bottom w:val="single" w:color="D5DBE1" w:sz="2"/>
        </w:pBdr>
        <w:spacing w:before="200" w:after="200"/>
      </w:pPr>
    </w:p>
    <w:p>
      <w:pPr>
        <w:jc w:val="center"/>
      </w:pPr>
      <w:r>
        <w:rPr>
          <w:rFonts w:ascii="Arial" w:cs="Arial" w:eastAsia="Arial" w:hAnsi="Arial"/>
          <w:b/>
          <w:bCs/>
          <w:color w:val="0A1628"/>
          <w:sz w:val="28"/>
          <w:szCs w:val="28"/>
        </w:rPr>
        <w:t xml:space="preserve">SENTRAIS</w:t>
      </w:r>
    </w:p>
    <w:p>
      <w:pPr>
        <w:spacing w:before="80"/>
        <w:jc w:val="center"/>
      </w:pPr>
      <w:r>
        <w:rPr>
          <w:rFonts w:ascii="Arial" w:cs="Arial" w:eastAsia="Arial" w:hAnsi="Arial"/>
          <w:i/>
          <w:iCs/>
          <w:color w:val="1A5276"/>
          <w:sz w:val="18"/>
          <w:szCs w:val="18"/>
        </w:rPr>
        <w:t xml:space="preserve">Antifragile. Sole-Source. Inevitable.</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C2833"/>
        <w:sz w:val="14"/>
        <w:szCs w:val="14"/>
      </w:rPr>
      <w:t xml:space="preserve">RESTRICTED  |  Page </w:t>
    </w:r>
    <w:r>
      <w:rPr>
        <w:rFonts w:ascii="Arial" w:cs="Arial" w:eastAsia="Arial" w:hAnsi="Arial"/>
        <w:color w:val="1C2833"/>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C2833"/>
        <w:sz w:val="14"/>
        <w:szCs w:val="14"/>
      </w:rPr>
      <w:t xml:space="preserve">RESTRICTED  |  Page </w:t>
    </w:r>
    <w:r>
      <w:rPr>
        <w:rFonts w:ascii="Arial" w:cs="Arial" w:eastAsia="Arial" w:hAnsi="Arial"/>
        <w:color w:val="1C28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A1628"/>
        <w:sz w:val="16"/>
        <w:szCs w:val="16"/>
      </w:rPr>
      <w:t xml:space="preserve">SENTRAIS</w:t>
    </w:r>
    <w:r>
      <w:rPr>
        <w:rFonts w:ascii="Arial" w:cs="Arial" w:eastAsia="Arial" w:hAnsi="Arial"/>
        <w:color w:val="1A5276"/>
        <w:sz w:val="16"/>
        <w:szCs w:val="16"/>
      </w:rPr>
      <w:t xml:space="preserve">  |  FORGE v3.0 Architecture Review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A1628"/>
        <w:sz w:val="16"/>
        <w:szCs w:val="16"/>
      </w:rPr>
      <w:t xml:space="preserve">SENTRAIS</w:t>
    </w:r>
    <w:r>
      <w:rPr>
        <w:rFonts w:ascii="Arial" w:cs="Arial" w:eastAsia="Arial" w:hAnsi="Arial"/>
        <w:color w:val="1A5276"/>
        <w:sz w:val="16"/>
        <w:szCs w:val="16"/>
      </w:rPr>
      <w:t xml:space="preserve">  |  FORGE v3.0 Architecture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1628"/>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A527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48F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2026-02-08T22:42:35.659Z</dcterms:created>
  <dcterms:modified xsi:type="dcterms:W3CDTF">2026-02-08T22:42:35.660Z</dcterms:modified>
</cp:coreProperties>
</file>

<file path=docProps/custom.xml><?xml version="1.0" encoding="utf-8"?>
<Properties xmlns="http://schemas.openxmlformats.org/officeDocument/2006/custom-properties" xmlns:vt="http://schemas.openxmlformats.org/officeDocument/2006/docPropsVTypes"/>
</file>