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IT EVERGAME</w:t>
      </w:r>
    </w:p>
    <w:p>
      <w:pPr>
        <w:spacing w:after="100"/>
        <w:jc w:val="center"/>
      </w:pPr>
      <w:r>
        <w:rPr>
          <w:rFonts w:ascii="Arial" w:cs="Arial" w:eastAsia="Arial" w:hAnsi="Arial"/>
          <w:b/>
          <w:bCs/>
          <w:color w:val="D50A0A"/>
          <w:sz w:val="36"/>
          <w:szCs w:val="36"/>
        </w:rPr>
        <w:t xml:space="preserve">INTEGRATED OPERATIONS SYSTEM</w:t>
      </w:r>
    </w:p>
    <w:p>
      <w:pPr>
        <w:spacing w:after="400"/>
        <w:jc w:val="center"/>
      </w:pPr>
      <w:r>
        <w:rPr>
          <w:rFonts w:ascii="Arial" w:cs="Arial" w:eastAsia="Arial" w:hAnsi="Arial"/>
          <w:color w:val="666666"/>
          <w:sz w:val="24"/>
          <w:szCs w:val="24"/>
        </w:rPr>
        <w:t xml:space="preserve">Comprehensive Platform Architecture for NFL Game Day Excellence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7FA" w:val="clear"/>
          </w:tcPr>
          <w:p>
            <w:pPr>
              <w:spacing w:before="40" w:after="40"/>
              <w:jc w:val="left"/>
            </w:pPr>
            <w:r>
              <w:rPr>
                <w:rFonts w:ascii="Arial" w:cs="Arial" w:eastAsia="Arial" w:hAnsi="Arial"/>
                <w:b/>
                <w:bCs/>
                <w:color w:val="000000"/>
                <w:sz w:val="20"/>
                <w:szCs w:val="20"/>
              </w:rPr>
              <w:t xml:space="preserve">Document Version</w:t>
            </w:r>
          </w:p>
        </w:tc>
        <w:tc>
          <w:tcPr>
            <w:tcW w:type="dxa" w:w="6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5.2 POC</w:t>
            </w:r>
          </w:p>
        </w:tc>
      </w:tr>
      <w:tr>
        <w:tc>
          <w:tcPr>
            <w:tcW w:type="dxa" w:w="3000"/>
            <w:tcBorders>
              <w:top w:val="single" w:color="CCCCCC" w:sz="1"/>
              <w:left w:val="single" w:color="CCCCCC" w:sz="1"/>
              <w:bottom w:val="single" w:color="CCCCCC" w:sz="1"/>
              <w:right w:val="single" w:color="CCCCCC" w:sz="1"/>
            </w:tcBorders>
            <w:shd w:fill="F5F7FA" w:val="clear"/>
          </w:tcPr>
          <w:p>
            <w:pPr>
              <w:spacing w:before="40" w:after="40"/>
              <w:jc w:val="left"/>
            </w:pPr>
            <w:r>
              <w:rPr>
                <w:rFonts w:ascii="Arial" w:cs="Arial" w:eastAsia="Arial" w:hAnsi="Arial"/>
                <w:b/>
                <w:bCs/>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December 9, 2025</w:t>
            </w:r>
          </w:p>
        </w:tc>
      </w:tr>
      <w:tr>
        <w:tc>
          <w:tcPr>
            <w:tcW w:type="dxa" w:w="3000"/>
            <w:tcBorders>
              <w:top w:val="single" w:color="CCCCCC" w:sz="1"/>
              <w:left w:val="single" w:color="CCCCCC" w:sz="1"/>
              <w:bottom w:val="single" w:color="CCCCCC" w:sz="1"/>
              <w:right w:val="single" w:color="CCCCCC" w:sz="1"/>
            </w:tcBorders>
            <w:shd w:fill="F5F7FA" w:val="clear"/>
          </w:tcPr>
          <w:p>
            <w:pPr>
              <w:spacing w:before="40" w:after="40"/>
              <w:jc w:val="left"/>
            </w:pPr>
            <w:r>
              <w:rPr>
                <w:rFonts w:ascii="Arial" w:cs="Arial" w:eastAsia="Arial" w:hAnsi="Arial"/>
                <w:b/>
                <w:bCs/>
                <w:color w:val="000000"/>
                <w:sz w:val="20"/>
                <w:szCs w:val="20"/>
              </w:rPr>
              <w:t xml:space="preserve">Classification</w:t>
            </w:r>
          </w:p>
        </w:tc>
        <w:tc>
          <w:tcPr>
            <w:tcW w:type="dxa" w:w="6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NFL Internal - Executive Leadership</w:t>
            </w:r>
          </w:p>
        </w:tc>
      </w:tr>
      <w:tr>
        <w:tc>
          <w:tcPr>
            <w:tcW w:type="dxa" w:w="3000"/>
            <w:tcBorders>
              <w:top w:val="single" w:color="CCCCCC" w:sz="1"/>
              <w:left w:val="single" w:color="CCCCCC" w:sz="1"/>
              <w:bottom w:val="single" w:color="CCCCCC" w:sz="1"/>
              <w:right w:val="single" w:color="CCCCCC" w:sz="1"/>
            </w:tcBorders>
            <w:shd w:fill="F5F7FA" w:val="clear"/>
          </w:tcPr>
          <w:p>
            <w:pPr>
              <w:spacing w:before="40" w:after="40"/>
              <w:jc w:val="left"/>
            </w:pPr>
            <w:r>
              <w:rPr>
                <w:rFonts w:ascii="Arial" w:cs="Arial" w:eastAsia="Arial" w:hAnsi="Arial"/>
                <w:b/>
                <w:bCs/>
                <w:color w:val="000000"/>
                <w:sz w:val="20"/>
                <w:szCs w:val="20"/>
              </w:rPr>
              <w:t xml:space="preserve">Prepared By</w:t>
            </w:r>
          </w:p>
        </w:tc>
        <w:tc>
          <w:tcPr>
            <w:tcW w:type="dxa" w:w="6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NOVATELabs - EVERGAME 360 Program Office</w:t>
            </w:r>
          </w:p>
        </w:tc>
      </w:tr>
      <w:tr>
        <w:tc>
          <w:tcPr>
            <w:tcW w:type="dxa" w:w="3000"/>
            <w:tcBorders>
              <w:top w:val="single" w:color="CCCCCC" w:sz="1"/>
              <w:left w:val="single" w:color="CCCCCC" w:sz="1"/>
              <w:bottom w:val="single" w:color="CCCCCC" w:sz="1"/>
              <w:right w:val="single" w:color="CCCCCC" w:sz="1"/>
            </w:tcBorders>
            <w:shd w:fill="F5F7FA" w:val="clear"/>
          </w:tcPr>
          <w:p>
            <w:pPr>
              <w:spacing w:before="40" w:after="40"/>
              <w:jc w:val="left"/>
            </w:pPr>
            <w:r>
              <w:rPr>
                <w:rFonts w:ascii="Arial" w:cs="Arial" w:eastAsia="Arial" w:hAnsi="Arial"/>
                <w:b/>
                <w:bCs/>
                <w:color w:val="000000"/>
                <w:sz w:val="20"/>
                <w:szCs w:val="20"/>
              </w:rPr>
              <w:t xml:space="preserve">Primary Stakeholder</w:t>
            </w:r>
          </w:p>
        </w:tc>
        <w:tc>
          <w:tcPr>
            <w:tcW w:type="dxa" w:w="6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Football Technology Department</w:t>
            </w:r>
          </w:p>
        </w:tc>
      </w:tr>
      <w:tr>
        <w:tc>
          <w:tcPr>
            <w:tcW w:type="dxa" w:w="3000"/>
            <w:tcBorders>
              <w:top w:val="single" w:color="CCCCCC" w:sz="1"/>
              <w:left w:val="single" w:color="CCCCCC" w:sz="1"/>
              <w:bottom w:val="single" w:color="CCCCCC" w:sz="1"/>
              <w:right w:val="single" w:color="CCCCCC" w:sz="1"/>
            </w:tcBorders>
            <w:shd w:fill="F5F7FA" w:val="clear"/>
          </w:tcPr>
          <w:p>
            <w:pPr>
              <w:spacing w:before="40" w:after="40"/>
              <w:jc w:val="left"/>
            </w:pPr>
            <w:r>
              <w:rPr>
                <w:rFonts w:ascii="Arial" w:cs="Arial" w:eastAsia="Arial" w:hAnsi="Arial"/>
                <w:b/>
                <w:bCs/>
                <w:color w:val="000000"/>
                <w:sz w:val="20"/>
                <w:szCs w:val="20"/>
              </w:rPr>
              <w:t xml:space="preserve">Technology Stack</w:t>
            </w:r>
          </w:p>
        </w:tc>
        <w:tc>
          <w:tcPr>
            <w:tcW w:type="dxa" w:w="6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Claude AI | n8n Workflows | Lovable Dashboards | Sentrais OS</w:t>
            </w:r>
          </w:p>
        </w:tc>
      </w:tr>
    </w:tbl>
    <w:p>
      <w:r>
        <w:br w:type="page"/>
      </w:r>
    </w:p>
    <w:p>
      <w:pPr>
        <w:pStyle w:val="Heading1"/>
      </w:pPr>
      <w:r>
        <w:t xml:space="preserve">1. Executive Summary</w:t>
      </w:r>
    </w:p>
    <w:p>
      <w:pPr>
        <w:spacing w:after="200"/>
      </w:pPr>
      <w:r>
        <w:rPr>
          <w:rFonts w:ascii="Arial" w:cs="Arial" w:eastAsia="Arial" w:hAnsi="Arial"/>
          <w:sz w:val="22"/>
          <w:szCs w:val="22"/>
        </w:rPr>
        <w:t xml:space="preserve">IT EVERGAME is a comprehensive integrated operations system that transforms NFL game day technology operations from fragmented manual processes into intelligent, automated workflows. The system comprises four interconnected platforms working in concert to deliver real-time operational intelligence across all 32 NFL venues.</w:t>
      </w:r>
    </w:p>
    <w:p>
      <w:pPr>
        <w:pStyle w:val="Heading2"/>
      </w:pPr>
      <w:r>
        <w:t xml:space="preserve">1.1 Platform Ecosystem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Platform</w:t>
            </w:r>
          </w:p>
        </w:tc>
        <w:tc>
          <w:tcPr>
            <w:tcW w:type="dxa" w:w="28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Primary Function</w:t>
            </w:r>
          </w:p>
        </w:tc>
        <w:tc>
          <w:tcPr>
            <w:tcW w:type="dxa" w:w="43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Key Stakeholder</w:t>
            </w:r>
          </w:p>
        </w:tc>
      </w:tr>
      <w:tr>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Venue Certification</w:t>
            </w:r>
          </w:p>
        </w:tc>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Foundation &amp; Governance</w:t>
            </w:r>
          </w:p>
        </w:tc>
        <w:tc>
          <w:tcPr>
            <w:tcW w:type="dxa" w:w="4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NFL IT Lead, Venue Operations</w:t>
            </w:r>
          </w:p>
        </w:tc>
      </w:tr>
      <w:tr>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IT EVERGAME Platform</w:t>
            </w:r>
          </w:p>
        </w:tc>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Season Planning &amp; Readiness</w:t>
            </w:r>
          </w:p>
        </w:tc>
        <w:tc>
          <w:tcPr>
            <w:tcW w:type="dxa" w:w="4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NFL IT Lead, Department Heads</w:t>
            </w:r>
          </w:p>
        </w:tc>
      </w:tr>
      <w:tr>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GDA Readiness Platform</w:t>
            </w:r>
          </w:p>
        </w:tc>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Game Day Task Execution</w:t>
            </w:r>
          </w:p>
        </w:tc>
        <w:tc>
          <w:tcPr>
            <w:tcW w:type="dxa" w:w="4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GDAs, Field Technicians</w:t>
            </w:r>
          </w:p>
        </w:tc>
      </w:tr>
      <w:tr>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EVERGAME 360 Dashboard</w:t>
            </w:r>
          </w:p>
        </w:tc>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Real-Time Operations View</w:t>
            </w:r>
          </w:p>
        </w:tc>
        <w:tc>
          <w:tcPr>
            <w:tcW w:type="dxa" w:w="4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NFL Executives, IT Lead</w:t>
            </w:r>
          </w:p>
        </w:tc>
      </w:tr>
    </w:tbl>
    <w:p>
      <w:pPr>
        <w:pStyle w:val="Heading2"/>
      </w:pPr>
      <w:r>
        <w:t xml:space="preserve">1.2 Key Metrics (v5.2 Playbooks)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Significance</w:t>
            </w:r>
          </w:p>
        </w:tc>
      </w:tr>
      <w:tr>
        <w:tc>
          <w:tcPr>
            <w:tcW w:type="dxa" w:w="46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Total Playbooks</w:t>
            </w:r>
          </w:p>
        </w:tc>
        <w:tc>
          <w:tcPr>
            <w:tcW w:type="dxa" w:w="234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000000"/>
                <w:sz w:val="20"/>
                <w:szCs w:val="20"/>
              </w:rPr>
              <w:t xml:space="preserve">16</w:t>
            </w:r>
          </w:p>
        </w:tc>
        <w:tc>
          <w:tcPr>
            <w:tcW w:type="dxa" w:w="234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Complete GDA Coverage</w:t>
            </w:r>
          </w:p>
        </w:tc>
      </w:tr>
      <w:tr>
        <w:tc>
          <w:tcPr>
            <w:tcW w:type="dxa" w:w="46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Total Tasks</w:t>
            </w:r>
          </w:p>
        </w:tc>
        <w:tc>
          <w:tcPr>
            <w:tcW w:type="dxa" w:w="234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000000"/>
                <w:sz w:val="20"/>
                <w:szCs w:val="20"/>
              </w:rPr>
              <w:t xml:space="preserve">505</w:t>
            </w:r>
          </w:p>
        </w:tc>
        <w:tc>
          <w:tcPr>
            <w:tcW w:type="dxa" w:w="234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Comprehensive Orchestration</w:t>
            </w:r>
          </w:p>
        </w:tc>
      </w:tr>
      <w:tr>
        <w:tc>
          <w:tcPr>
            <w:tcW w:type="dxa" w:w="46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Systems Covered</w:t>
            </w:r>
          </w:p>
        </w:tc>
        <w:tc>
          <w:tcPr>
            <w:tcW w:type="dxa" w:w="234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000000"/>
                <w:sz w:val="20"/>
                <w:szCs w:val="20"/>
              </w:rPr>
              <w:t xml:space="preserve">9</w:t>
            </w:r>
          </w:p>
        </w:tc>
        <w:tc>
          <w:tcPr>
            <w:tcW w:type="dxa" w:w="234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Full Technology Stack</w:t>
            </w:r>
          </w:p>
        </w:tc>
      </w:tr>
      <w:tr>
        <w:tc>
          <w:tcPr>
            <w:tcW w:type="dxa" w:w="46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HARD SLA Tasks</w:t>
            </w:r>
          </w:p>
        </w:tc>
        <w:tc>
          <w:tcPr>
            <w:tcW w:type="dxa" w:w="234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000000"/>
                <w:sz w:val="20"/>
                <w:szCs w:val="20"/>
              </w:rPr>
              <w:t xml:space="preserve">503 (99.6%)</w:t>
            </w:r>
          </w:p>
        </w:tc>
        <w:tc>
          <w:tcPr>
            <w:tcW w:type="dxa" w:w="234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High Accountability</w:t>
            </w:r>
          </w:p>
        </w:tc>
      </w:tr>
      <w:tr>
        <w:tc>
          <w:tcPr>
            <w:tcW w:type="dxa" w:w="46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Critical Gate Certifications</w:t>
            </w:r>
          </w:p>
        </w:tc>
        <w:tc>
          <w:tcPr>
            <w:tcW w:type="dxa" w:w="234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000000"/>
                <w:sz w:val="20"/>
                <w:szCs w:val="20"/>
              </w:rPr>
              <w:t xml:space="preserve">18</w:t>
            </w:r>
          </w:p>
        </w:tc>
        <w:tc>
          <w:tcPr>
            <w:tcW w:type="dxa" w:w="234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Key Checkpoints</w:t>
            </w:r>
          </w:p>
        </w:tc>
      </w:tr>
      <w:tr>
        <w:tc>
          <w:tcPr>
            <w:tcW w:type="dxa" w:w="46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Projected Annual Savings</w:t>
            </w:r>
          </w:p>
        </w:tc>
        <w:tc>
          <w:tcPr>
            <w:tcW w:type="dxa" w:w="234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28A745"/>
                <w:sz w:val="20"/>
                <w:szCs w:val="20"/>
              </w:rPr>
              <w:t xml:space="preserve">$2.5M+</w:t>
            </w:r>
          </w:p>
        </w:tc>
        <w:tc>
          <w:tcPr>
            <w:tcW w:type="dxa" w:w="234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Operational ROI</w:t>
            </w:r>
          </w:p>
        </w:tc>
      </w:tr>
    </w:tbl>
    <w:p>
      <w:r>
        <w:br w:type="page"/>
      </w:r>
    </w:p>
    <w:p>
      <w:pPr>
        <w:pStyle w:val="Heading1"/>
      </w:pPr>
      <w:r>
        <w:t xml:space="preserve">2. Venue Certification Platform</w:t>
      </w:r>
    </w:p>
    <w:p>
      <w:pPr>
        <w:spacing w:after="200"/>
      </w:pPr>
      <w:r>
        <w:rPr>
          <w:rFonts w:ascii="Arial" w:cs="Arial" w:eastAsia="Arial" w:hAnsi="Arial"/>
          <w:sz w:val="22"/>
          <w:szCs w:val="22"/>
        </w:rPr>
        <w:t xml:space="preserve">Venue Certification serves as the foundational governance layer for all IT EVERGAME operations. No GDA positions can activate, no playbooks can execute, and no games can proceed without proper venue certification approval. This hierarchical validation prevents downstream operational failures.</w:t>
      </w:r>
    </w:p>
    <w:p>
      <w:pPr>
        <w:pStyle w:val="Heading2"/>
      </w:pPr>
      <w:r>
        <w:t xml:space="preserve">2.1 Certification Hierarchy</w:t>
      </w:r>
    </w:p>
    <w:p>
      <w:pPr>
        <w:pStyle w:val="ListParagraph"/>
        <w:numPr>
          <w:ilvl w:val="0"/>
          <w:numId w:val="2"/>
        </w:numPr>
        <w:spacing w:after="80"/>
      </w:pPr>
      <w:r>
        <w:rPr>
          <w:rFonts w:ascii="Arial" w:cs="Arial" w:eastAsia="Arial" w:hAnsi="Arial"/>
          <w:b/>
          <w:bCs/>
          <w:sz w:val="22"/>
          <w:szCs w:val="22"/>
        </w:rPr>
        <w:t xml:space="preserve">Stadium Technology Certification: </w:t>
      </w:r>
      <w:r>
        <w:rPr>
          <w:rFonts w:ascii="Arial" w:cs="Arial" w:eastAsia="Arial" w:hAnsi="Arial"/>
          <w:sz w:val="22"/>
          <w:szCs w:val="22"/>
        </w:rPr>
        <w:t xml:space="preserve">Infrastructure validation, network backbone, power systems, RF environment clearance</w:t>
      </w:r>
    </w:p>
    <w:p>
      <w:pPr>
        <w:pStyle w:val="ListParagraph"/>
        <w:numPr>
          <w:ilvl w:val="0"/>
          <w:numId w:val="2"/>
        </w:numPr>
        <w:spacing w:after="80"/>
      </w:pPr>
      <w:r>
        <w:rPr>
          <w:rFonts w:ascii="Arial" w:cs="Arial" w:eastAsia="Arial" w:hAnsi="Arial"/>
          <w:b/>
          <w:bCs/>
          <w:sz w:val="22"/>
          <w:szCs w:val="22"/>
        </w:rPr>
        <w:t xml:space="preserve">Personnel Certification: </w:t>
      </w:r>
      <w:r>
        <w:rPr>
          <w:rFonts w:ascii="Arial" w:cs="Arial" w:eastAsia="Arial" w:hAnsi="Arial"/>
          <w:sz w:val="22"/>
          <w:szCs w:val="22"/>
        </w:rPr>
        <w:t xml:space="preserve">GDA training completion, role-specific qualifications, credential verification</w:t>
      </w:r>
    </w:p>
    <w:p>
      <w:pPr>
        <w:pStyle w:val="ListParagraph"/>
        <w:numPr>
          <w:ilvl w:val="0"/>
          <w:numId w:val="2"/>
        </w:numPr>
        <w:spacing w:after="80"/>
      </w:pPr>
      <w:r>
        <w:rPr>
          <w:rFonts w:ascii="Arial" w:cs="Arial" w:eastAsia="Arial" w:hAnsi="Arial"/>
          <w:b/>
          <w:bCs/>
          <w:sz w:val="22"/>
          <w:szCs w:val="22"/>
        </w:rPr>
        <w:t xml:space="preserve">Equipment Certification: </w:t>
      </w:r>
      <w:r>
        <w:rPr>
          <w:rFonts w:ascii="Arial" w:cs="Arial" w:eastAsia="Arial" w:hAnsi="Arial"/>
          <w:sz w:val="22"/>
          <w:szCs w:val="22"/>
        </w:rPr>
        <w:t xml:space="preserve">System inventory validation, maintenance status, firmware versions</w:t>
      </w:r>
    </w:p>
    <w:p>
      <w:pPr>
        <w:pStyle w:val="ListParagraph"/>
        <w:numPr>
          <w:ilvl w:val="0"/>
          <w:numId w:val="2"/>
        </w:numPr>
        <w:spacing w:after="80"/>
      </w:pPr>
      <w:r>
        <w:rPr>
          <w:rFonts w:ascii="Arial" w:cs="Arial" w:eastAsia="Arial" w:hAnsi="Arial"/>
          <w:b/>
          <w:bCs/>
          <w:sz w:val="22"/>
          <w:szCs w:val="22"/>
        </w:rPr>
        <w:t xml:space="preserve">Game Day Certification: </w:t>
      </w:r>
      <w:r>
        <w:rPr>
          <w:rFonts w:ascii="Arial" w:cs="Arial" w:eastAsia="Arial" w:hAnsi="Arial"/>
          <w:sz w:val="22"/>
          <w:szCs w:val="22"/>
        </w:rPr>
        <w:t xml:space="preserve">Per Game Ops Manual requirements - all stakeholders must certify policy understanding</w:t>
      </w:r>
    </w:p>
    <w:p>
      <w:pPr>
        <w:pStyle w:val="Heading2"/>
      </w:pPr>
      <w:r>
        <w:t xml:space="preserve">2.2 Required Certifications (Game Ops Manual)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Position</w:t>
            </w:r>
          </w:p>
        </w:tc>
        <w:tc>
          <w:tcPr>
            <w:tcW w:type="dxa" w:w="35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Certification Requirement</w:t>
            </w:r>
          </w:p>
        </w:tc>
        <w:tc>
          <w:tcPr>
            <w:tcW w:type="dxa" w:w="23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Deadline</w:t>
            </w:r>
          </w:p>
        </w:tc>
      </w:tr>
      <w:tr>
        <w:tc>
          <w:tcPr>
            <w:tcW w:type="dxa" w:w="3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Game Day Designee</w:t>
            </w:r>
          </w:p>
        </w:tc>
        <w:tc>
          <w:tcPr>
            <w:tcW w:type="dxa" w:w="3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Game certification program completion</w:t>
            </w:r>
          </w:p>
        </w:tc>
        <w:tc>
          <w:tcPr>
            <w:tcW w:type="dxa" w:w="2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Pre-Training Camp</w:t>
            </w:r>
          </w:p>
        </w:tc>
      </w:tr>
      <w:tr>
        <w:tc>
          <w:tcPr>
            <w:tcW w:type="dxa" w:w="3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Road Game Designee</w:t>
            </w:r>
          </w:p>
        </w:tc>
        <w:tc>
          <w:tcPr>
            <w:tcW w:type="dxa" w:w="3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Game certification program completion</w:t>
            </w:r>
          </w:p>
        </w:tc>
        <w:tc>
          <w:tcPr>
            <w:tcW w:type="dxa" w:w="2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Pre-Training Camp</w:t>
            </w:r>
          </w:p>
        </w:tc>
      </w:tr>
      <w:tr>
        <w:tc>
          <w:tcPr>
            <w:tcW w:type="dxa" w:w="3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Game Day Technology Liaison</w:t>
            </w:r>
          </w:p>
        </w:tc>
        <w:tc>
          <w:tcPr>
            <w:tcW w:type="dxa" w:w="3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Technology operations certification</w:t>
            </w:r>
          </w:p>
        </w:tc>
        <w:tc>
          <w:tcPr>
            <w:tcW w:type="dxa" w:w="2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Pre-Training Camp</w:t>
            </w:r>
          </w:p>
        </w:tc>
      </w:tr>
      <w:tr>
        <w:tc>
          <w:tcPr>
            <w:tcW w:type="dxa" w:w="3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C2C Technician (Yellow Hat)</w:t>
            </w:r>
          </w:p>
        </w:tc>
        <w:tc>
          <w:tcPr>
            <w:tcW w:type="dxa" w:w="3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Coach-to-Coach system certification</w:t>
            </w:r>
          </w:p>
        </w:tc>
        <w:tc>
          <w:tcPr>
            <w:tcW w:type="dxa" w:w="2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Pre-Training Camp</w:t>
            </w:r>
          </w:p>
        </w:tc>
      </w:tr>
      <w:tr>
        <w:tc>
          <w:tcPr>
            <w:tcW w:type="dxa" w:w="3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All GDA Positions</w:t>
            </w:r>
          </w:p>
        </w:tc>
        <w:tc>
          <w:tcPr>
            <w:tcW w:type="dxa" w:w="3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Role-specific playbook certification</w:t>
            </w:r>
          </w:p>
        </w:tc>
        <w:tc>
          <w:tcPr>
            <w:tcW w:type="dxa" w:w="2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T-14 days before HOF Game</w:t>
            </w:r>
          </w:p>
        </w:tc>
      </w:tr>
    </w:tbl>
    <w:p>
      <w:pPr>
        <w:pStyle w:val="Heading2"/>
      </w:pPr>
      <w:r>
        <w:t xml:space="preserve">2.3 Venue Readiness Index (VRI)</w:t>
      </w:r>
    </w:p>
    <w:p>
      <w:pPr>
        <w:spacing w:after="150"/>
      </w:pPr>
      <w:r>
        <w:rPr>
          <w:rFonts w:ascii="Arial" w:cs="Arial" w:eastAsia="Arial" w:hAnsi="Arial"/>
          <w:sz w:val="22"/>
          <w:szCs w:val="22"/>
        </w:rPr>
        <w:t xml:space="preserve">The Venue Readiness Index provides a composite score (0-100) for each stadium measuring technology, staffing, and certification status. VRI must reach threshold before game operations can commence.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VRI Component</w:t>
            </w:r>
          </w:p>
        </w:tc>
        <w:tc>
          <w:tcPr>
            <w:tcW w:type="dxa" w:w="312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Threshold</w:t>
            </w:r>
          </w:p>
        </w:tc>
      </w:tr>
      <w:tr>
        <w:tc>
          <w:tcPr>
            <w:tcW w:type="dxa" w:w="312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Infrastructure Readiness</w:t>
            </w:r>
          </w:p>
        </w:tc>
        <w:tc>
          <w:tcPr>
            <w:tcW w:type="dxa" w:w="312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30%</w:t>
            </w:r>
          </w:p>
        </w:tc>
        <w:tc>
          <w:tcPr>
            <w:tcW w:type="dxa" w:w="312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DC3545"/>
                <w:sz w:val="20"/>
                <w:szCs w:val="20"/>
              </w:rPr>
              <w:t xml:space="preserve">100% required</w:t>
            </w:r>
          </w:p>
        </w:tc>
      </w:tr>
      <w:tr>
        <w:tc>
          <w:tcPr>
            <w:tcW w:type="dxa" w:w="312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Personnel Certification</w:t>
            </w:r>
          </w:p>
        </w:tc>
        <w:tc>
          <w:tcPr>
            <w:tcW w:type="dxa" w:w="312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25%</w:t>
            </w:r>
          </w:p>
        </w:tc>
        <w:tc>
          <w:tcPr>
            <w:tcW w:type="dxa" w:w="312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DC3545"/>
                <w:sz w:val="20"/>
                <w:szCs w:val="20"/>
              </w:rPr>
              <w:t xml:space="preserve">100% required</w:t>
            </w:r>
          </w:p>
        </w:tc>
      </w:tr>
      <w:tr>
        <w:tc>
          <w:tcPr>
            <w:tcW w:type="dxa" w:w="312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Equipment Status</w:t>
            </w:r>
          </w:p>
        </w:tc>
        <w:tc>
          <w:tcPr>
            <w:tcW w:type="dxa" w:w="312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25%</w:t>
            </w:r>
          </w:p>
        </w:tc>
        <w:tc>
          <w:tcPr>
            <w:tcW w:type="dxa" w:w="312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&gt;95% operational</w:t>
            </w:r>
          </w:p>
        </w:tc>
      </w:tr>
      <w:tr>
        <w:tc>
          <w:tcPr>
            <w:tcW w:type="dxa" w:w="312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Historical Performance</w:t>
            </w:r>
          </w:p>
        </w:tc>
        <w:tc>
          <w:tcPr>
            <w:tcW w:type="dxa" w:w="312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20%</w:t>
            </w:r>
          </w:p>
        </w:tc>
        <w:tc>
          <w:tcPr>
            <w:tcW w:type="dxa" w:w="312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&gt;90% target</w:t>
            </w:r>
          </w:p>
        </w:tc>
      </w:tr>
    </w:tbl>
    <w:p>
      <w:r>
        <w:br w:type="page"/>
      </w:r>
    </w:p>
    <w:p>
      <w:pPr>
        <w:pStyle w:val="Heading1"/>
      </w:pPr>
      <w:r>
        <w:t xml:space="preserve">3. IT EVERGAME Platform</w:t>
      </w:r>
    </w:p>
    <w:p>
      <w:pPr>
        <w:spacing w:after="200"/>
      </w:pPr>
      <w:r>
        <w:rPr>
          <w:rFonts w:ascii="Arial" w:cs="Arial" w:eastAsia="Arial" w:hAnsi="Arial"/>
          <w:sz w:val="22"/>
          <w:szCs w:val="22"/>
        </w:rPr>
        <w:t xml:space="preserve">The IT EVERGAME Platform serves as the NFL IT Lead's system of record for seasonal readiness, certifications, and GDA management. Updated annually with the new Game Operations Manual and Season Schedule, this platform governs all Football Technology operations throughout the NFL's perpetual operating cycle.</w:t>
      </w:r>
    </w:p>
    <w:p>
      <w:pPr>
        <w:pStyle w:val="Heading2"/>
      </w:pPr>
      <w:r>
        <w:t xml:space="preserve">3.1 Annual Configuration Cycle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Season</w:t>
            </w:r>
          </w:p>
        </w:tc>
        <w:tc>
          <w:tcPr>
            <w:tcW w:type="dxa" w:w="318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Configuration Activities</w:t>
            </w:r>
          </w:p>
        </w:tc>
        <w:tc>
          <w:tcPr>
            <w:tcW w:type="dxa" w:w="418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NFL IT Lead Actions</w:t>
            </w:r>
          </w:p>
        </w:tc>
      </w:tr>
      <w:tr>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Offseason</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Game Ops Manual update, Schedule import, Playbook refresh</w:t>
            </w:r>
          </w:p>
        </w:tc>
        <w:tc>
          <w:tcPr>
            <w:tcW w:type="dxa" w:w="4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Approve playbook changes, Set SLA thresholds, Configure alerts</w:t>
            </w:r>
          </w:p>
        </w:tc>
      </w:tr>
      <w:tr>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Preseason</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Venue certification, GDA assignments, System testing</w:t>
            </w:r>
          </w:p>
        </w:tc>
        <w:tc>
          <w:tcPr>
            <w:tcW w:type="dxa" w:w="4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Validate readiness, Certify venues, Approve rosters</w:t>
            </w:r>
          </w:p>
        </w:tc>
      </w:tr>
      <w:tr>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Regular Season</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Weekly game support, Incident management, Evidence capture</w:t>
            </w:r>
          </w:p>
        </w:tc>
        <w:tc>
          <w:tcPr>
            <w:tcW w:type="dxa" w:w="4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Monitor compliance, Manage GDAs, Review incidents</w:t>
            </w:r>
          </w:p>
        </w:tc>
      </w:tr>
      <w:tr>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Post Season</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Playoff operations, Super Bowl prep, Lessons learned</w:t>
            </w:r>
          </w:p>
        </w:tc>
        <w:tc>
          <w:tcPr>
            <w:tcW w:type="dxa" w:w="4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Elevated monitoring, Risk assessment, Document learnings</w:t>
            </w:r>
          </w:p>
        </w:tc>
      </w:tr>
    </w:tbl>
    <w:p>
      <w:pPr>
        <w:pStyle w:val="Heading2"/>
      </w:pPr>
      <w:r>
        <w:t xml:space="preserve">3.2 Playbook Registry (v5.2 - Football Technology)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200"/>
        <w:gridCol w:w="1200"/>
        <w:gridCol w:w="1200"/>
        <w:gridCol w:w="1060"/>
      </w:tblGrid>
      <w:tr>
        <w:tc>
          <w:tcPr>
            <w:tcW w:type="dxa" w:w="13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System</w:t>
            </w:r>
          </w:p>
        </w:tc>
        <w:tc>
          <w:tcPr>
            <w:tcW w:type="dxa" w:w="24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Playbook ID</w:t>
            </w:r>
          </w:p>
        </w:tc>
        <w:tc>
          <w:tcPr>
            <w:tcW w:type="dxa" w:w="22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GDA Role</w:t>
            </w:r>
          </w:p>
        </w:tc>
        <w:tc>
          <w:tcPr>
            <w:tcW w:type="dxa" w:w="12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Tasks</w:t>
            </w:r>
          </w:p>
        </w:tc>
        <w:tc>
          <w:tcPr>
            <w:tcW w:type="dxa" w:w="12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HARD SLA</w:t>
            </w:r>
          </w:p>
        </w:tc>
        <w:tc>
          <w:tcPr>
            <w:tcW w:type="dxa" w:w="10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Status</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C2P</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C2P_HomeSideline_GDA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Orange Hat</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65</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65</w:t>
            </w:r>
          </w:p>
        </w:tc>
        <w:tc>
          <w:tcPr>
            <w:tcW w:type="dxa" w:w="1060"/>
            <w:tcBorders>
              <w:top w:val="single" w:color="CCCCCC" w:sz="1"/>
              <w:left w:val="single" w:color="CCCCCC" w:sz="1"/>
              <w:bottom w:val="single" w:color="CCCCCC" w:sz="1"/>
              <w:right w:val="single" w:color="CCCCCC" w:sz="1"/>
            </w:tcBorders>
            <w:shd w:fill="DC3545" w:val="clear"/>
          </w:tcPr>
          <w:p>
            <w:pPr>
              <w:spacing w:before="40" w:after="40"/>
              <w:jc w:val="center"/>
            </w:pPr>
            <w:r>
              <w:rPr>
                <w:rFonts w:ascii="Arial" w:cs="Arial" w:eastAsia="Arial" w:hAnsi="Arial"/>
                <w:b/>
                <w:bCs/>
                <w:color w:val="FFFFFF"/>
                <w:sz w:val="18"/>
                <w:szCs w:val="18"/>
              </w:rPr>
              <w:t xml:space="preserve">CRITICAL</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C2P</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C2P_VisitorSideline_GDA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Orange Hat</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65</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65</w:t>
            </w:r>
          </w:p>
        </w:tc>
        <w:tc>
          <w:tcPr>
            <w:tcW w:type="dxa" w:w="1060"/>
            <w:tcBorders>
              <w:top w:val="single" w:color="CCCCCC" w:sz="1"/>
              <w:left w:val="single" w:color="CCCCCC" w:sz="1"/>
              <w:bottom w:val="single" w:color="CCCCCC" w:sz="1"/>
              <w:right w:val="single" w:color="CCCCCC" w:sz="1"/>
            </w:tcBorders>
            <w:shd w:fill="DC3545" w:val="clear"/>
          </w:tcPr>
          <w:p>
            <w:pPr>
              <w:spacing w:before="40" w:after="40"/>
              <w:jc w:val="center"/>
            </w:pPr>
            <w:r>
              <w:rPr>
                <w:rFonts w:ascii="Arial" w:cs="Arial" w:eastAsia="Arial" w:hAnsi="Arial"/>
                <w:b/>
                <w:bCs/>
                <w:color w:val="FFFFFF"/>
                <w:sz w:val="18"/>
                <w:szCs w:val="18"/>
              </w:rPr>
              <w:t xml:space="preserve">CRITICAL</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SVS</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SVS_HomeBooth_GDA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Purple Hat</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68</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68</w:t>
            </w:r>
          </w:p>
        </w:tc>
        <w:tc>
          <w:tcPr>
            <w:tcW w:type="dxa" w:w="1060"/>
            <w:tcBorders>
              <w:top w:val="single" w:color="CCCCCC" w:sz="1"/>
              <w:left w:val="single" w:color="CCCCCC" w:sz="1"/>
              <w:bottom w:val="single" w:color="CCCCCC" w:sz="1"/>
              <w:right w:val="single" w:color="CCCCCC" w:sz="1"/>
            </w:tcBorders>
            <w:shd w:fill="FFC107" w:val="clear"/>
          </w:tcPr>
          <w:p>
            <w:pPr>
              <w:spacing w:before="40" w:after="40"/>
              <w:jc w:val="center"/>
            </w:pPr>
            <w:r>
              <w:rPr>
                <w:rFonts w:ascii="Arial" w:cs="Arial" w:eastAsia="Arial" w:hAnsi="Arial"/>
                <w:b/>
                <w:bCs/>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SVS</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SVS_HomeSideline_GDA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Purple Hat</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42</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42</w:t>
            </w:r>
          </w:p>
        </w:tc>
        <w:tc>
          <w:tcPr>
            <w:tcW w:type="dxa" w:w="1060"/>
            <w:tcBorders>
              <w:top w:val="single" w:color="CCCCCC" w:sz="1"/>
              <w:left w:val="single" w:color="CCCCCC" w:sz="1"/>
              <w:bottom w:val="single" w:color="CCCCCC" w:sz="1"/>
              <w:right w:val="single" w:color="CCCCCC" w:sz="1"/>
            </w:tcBorders>
            <w:shd w:fill="FFC107" w:val="clear"/>
          </w:tcPr>
          <w:p>
            <w:pPr>
              <w:spacing w:before="40" w:after="40"/>
              <w:jc w:val="center"/>
            </w:pPr>
            <w:r>
              <w:rPr>
                <w:rFonts w:ascii="Arial" w:cs="Arial" w:eastAsia="Arial" w:hAnsi="Arial"/>
                <w:b/>
                <w:bCs/>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SVS</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SVS_VisitorBooth_GDA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Purple Hat</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68</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68</w:t>
            </w:r>
          </w:p>
        </w:tc>
        <w:tc>
          <w:tcPr>
            <w:tcW w:type="dxa" w:w="1060"/>
            <w:tcBorders>
              <w:top w:val="single" w:color="CCCCCC" w:sz="1"/>
              <w:left w:val="single" w:color="CCCCCC" w:sz="1"/>
              <w:bottom w:val="single" w:color="CCCCCC" w:sz="1"/>
              <w:right w:val="single" w:color="CCCCCC" w:sz="1"/>
            </w:tcBorders>
            <w:shd w:fill="FFC107" w:val="clear"/>
          </w:tcPr>
          <w:p>
            <w:pPr>
              <w:spacing w:before="40" w:after="40"/>
              <w:jc w:val="center"/>
            </w:pPr>
            <w:r>
              <w:rPr>
                <w:rFonts w:ascii="Arial" w:cs="Arial" w:eastAsia="Arial" w:hAnsi="Arial"/>
                <w:b/>
                <w:bCs/>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SVS</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SVS_VisitorSideline_GDA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Purple Hat</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42</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42</w:t>
            </w:r>
          </w:p>
        </w:tc>
        <w:tc>
          <w:tcPr>
            <w:tcW w:type="dxa" w:w="1060"/>
            <w:tcBorders>
              <w:top w:val="single" w:color="CCCCCC" w:sz="1"/>
              <w:left w:val="single" w:color="CCCCCC" w:sz="1"/>
              <w:bottom w:val="single" w:color="CCCCCC" w:sz="1"/>
              <w:right w:val="single" w:color="CCCCCC" w:sz="1"/>
            </w:tcBorders>
            <w:shd w:fill="FFC107" w:val="clear"/>
          </w:tcPr>
          <w:p>
            <w:pPr>
              <w:spacing w:before="40" w:after="40"/>
              <w:jc w:val="center"/>
            </w:pPr>
            <w:r>
              <w:rPr>
                <w:rFonts w:ascii="Arial" w:cs="Arial" w:eastAsia="Arial" w:hAnsi="Arial"/>
                <w:b/>
                <w:bCs/>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IVRS</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IVRS_blue_home_booth</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Blue Hat</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15</w:t>
            </w:r>
          </w:p>
        </w:tc>
        <w:tc>
          <w:tcPr>
            <w:tcW w:type="dxa" w:w="1060"/>
            <w:tcBorders>
              <w:top w:val="single" w:color="CCCCCC" w:sz="1"/>
              <w:left w:val="single" w:color="CCCCCC" w:sz="1"/>
              <w:bottom w:val="single" w:color="CCCCCC" w:sz="1"/>
              <w:right w:val="single" w:color="CCCCCC" w:sz="1"/>
            </w:tcBorders>
            <w:shd w:fill="DC3545" w:val="clear"/>
          </w:tcPr>
          <w:p>
            <w:pPr>
              <w:spacing w:before="40" w:after="40"/>
              <w:jc w:val="center"/>
            </w:pPr>
            <w:r>
              <w:rPr>
                <w:rFonts w:ascii="Arial" w:cs="Arial" w:eastAsia="Arial" w:hAnsi="Arial"/>
                <w:b/>
                <w:bCs/>
                <w:color w:val="FFFFFF"/>
                <w:sz w:val="18"/>
                <w:szCs w:val="18"/>
              </w:rPr>
              <w:t xml:space="preserve">CRITICAL</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IVRS</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IVRS_blue_visitor_booth</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Blue Hat</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15</w:t>
            </w:r>
          </w:p>
        </w:tc>
        <w:tc>
          <w:tcPr>
            <w:tcW w:type="dxa" w:w="1060"/>
            <w:tcBorders>
              <w:top w:val="single" w:color="CCCCCC" w:sz="1"/>
              <w:left w:val="single" w:color="CCCCCC" w:sz="1"/>
              <w:bottom w:val="single" w:color="CCCCCC" w:sz="1"/>
              <w:right w:val="single" w:color="CCCCCC" w:sz="1"/>
            </w:tcBorders>
            <w:shd w:fill="DC3545" w:val="clear"/>
          </w:tcPr>
          <w:p>
            <w:pPr>
              <w:spacing w:before="40" w:after="40"/>
              <w:jc w:val="center"/>
            </w:pPr>
            <w:r>
              <w:rPr>
                <w:rFonts w:ascii="Arial" w:cs="Arial" w:eastAsia="Arial" w:hAnsi="Arial"/>
                <w:b/>
                <w:bCs/>
                <w:color w:val="FFFFFF"/>
                <w:sz w:val="18"/>
                <w:szCs w:val="18"/>
              </w:rPr>
              <w:t xml:space="preserve">CRITICAL</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IVRS</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IVRS_HomeField_GDA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Blue Hat - Field</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8</w:t>
            </w:r>
          </w:p>
        </w:tc>
        <w:tc>
          <w:tcPr>
            <w:tcW w:type="dxa" w:w="1060"/>
            <w:tcBorders>
              <w:top w:val="single" w:color="CCCCCC" w:sz="1"/>
              <w:left w:val="single" w:color="CCCCCC" w:sz="1"/>
              <w:bottom w:val="single" w:color="CCCCCC" w:sz="1"/>
              <w:right w:val="single" w:color="CCCCCC" w:sz="1"/>
            </w:tcBorders>
            <w:shd w:fill="DC3545" w:val="clear"/>
          </w:tcPr>
          <w:p>
            <w:pPr>
              <w:spacing w:before="40" w:after="40"/>
              <w:jc w:val="center"/>
            </w:pPr>
            <w:r>
              <w:rPr>
                <w:rFonts w:ascii="Arial" w:cs="Arial" w:eastAsia="Arial" w:hAnsi="Arial"/>
                <w:b/>
                <w:bCs/>
                <w:color w:val="FFFFFF"/>
                <w:sz w:val="18"/>
                <w:szCs w:val="18"/>
              </w:rPr>
              <w:t xml:space="preserve">CRITICAL</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IVRS</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IVRS_VisitorField_GDA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Blue Hat - Field</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8</w:t>
            </w:r>
          </w:p>
        </w:tc>
        <w:tc>
          <w:tcPr>
            <w:tcW w:type="dxa" w:w="1060"/>
            <w:tcBorders>
              <w:top w:val="single" w:color="CCCCCC" w:sz="1"/>
              <w:left w:val="single" w:color="CCCCCC" w:sz="1"/>
              <w:bottom w:val="single" w:color="CCCCCC" w:sz="1"/>
              <w:right w:val="single" w:color="CCCCCC" w:sz="1"/>
            </w:tcBorders>
            <w:shd w:fill="DC3545" w:val="clear"/>
          </w:tcPr>
          <w:p>
            <w:pPr>
              <w:spacing w:before="40" w:after="40"/>
              <w:jc w:val="center"/>
            </w:pPr>
            <w:r>
              <w:rPr>
                <w:rFonts w:ascii="Arial" w:cs="Arial" w:eastAsia="Arial" w:hAnsi="Arial"/>
                <w:b/>
                <w:bCs/>
                <w:color w:val="FFFFFF"/>
                <w:sz w:val="18"/>
                <w:szCs w:val="18"/>
              </w:rPr>
              <w:t xml:space="preserve">CRITICAL</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EFC</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EFC_Stadium_GDA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Blue Hat (EFC)</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31</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31</w:t>
            </w:r>
          </w:p>
        </w:tc>
        <w:tc>
          <w:tcPr>
            <w:tcW w:type="dxa" w:w="1060"/>
            <w:tcBorders>
              <w:top w:val="single" w:color="CCCCCC" w:sz="1"/>
              <w:left w:val="single" w:color="CCCCCC" w:sz="1"/>
              <w:bottom w:val="single" w:color="CCCCCC" w:sz="1"/>
              <w:right w:val="single" w:color="CCCCCC" w:sz="1"/>
            </w:tcBorders>
            <w:shd w:fill="DC3545" w:val="clear"/>
          </w:tcPr>
          <w:p>
            <w:pPr>
              <w:spacing w:before="40" w:after="40"/>
              <w:jc w:val="center"/>
            </w:pPr>
            <w:r>
              <w:rPr>
                <w:rFonts w:ascii="Arial" w:cs="Arial" w:eastAsia="Arial" w:hAnsi="Arial"/>
                <w:b/>
                <w:bCs/>
                <w:color w:val="FFFFFF"/>
                <w:sz w:val="18"/>
                <w:szCs w:val="18"/>
              </w:rPr>
              <w:t xml:space="preserve">CRITICAL</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FTR</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FTR_gray_stadium</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Gray Hat</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21</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19</w:t>
            </w:r>
          </w:p>
        </w:tc>
        <w:tc>
          <w:tcPr>
            <w:tcW w:type="dxa" w:w="1060"/>
            <w:tcBorders>
              <w:top w:val="single" w:color="CCCCCC" w:sz="1"/>
              <w:left w:val="single" w:color="CCCCCC" w:sz="1"/>
              <w:bottom w:val="single" w:color="CCCCCC" w:sz="1"/>
              <w:right w:val="single" w:color="CCCCCC" w:sz="1"/>
            </w:tcBorders>
            <w:shd w:fill="FFC107" w:val="clear"/>
          </w:tcPr>
          <w:p>
            <w:pPr>
              <w:spacing w:before="40" w:after="40"/>
              <w:jc w:val="center"/>
            </w:pPr>
            <w:r>
              <w:rPr>
                <w:rFonts w:ascii="Arial" w:cs="Arial" w:eastAsia="Arial" w:hAnsi="Arial"/>
                <w:b/>
                <w:bCs/>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WiFi</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wifi_stadium</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WiFi Tech</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15</w:t>
            </w:r>
          </w:p>
        </w:tc>
        <w:tc>
          <w:tcPr>
            <w:tcW w:type="dxa" w:w="1060"/>
            <w:tcBorders>
              <w:top w:val="single" w:color="CCCCCC" w:sz="1"/>
              <w:left w:val="single" w:color="CCCCCC" w:sz="1"/>
              <w:bottom w:val="single" w:color="CCCCCC" w:sz="1"/>
              <w:right w:val="single" w:color="CCCCCC" w:sz="1"/>
            </w:tcBorders>
            <w:shd w:fill="FFC107" w:val="clear"/>
          </w:tcPr>
          <w:p>
            <w:pPr>
              <w:spacing w:before="40" w:after="40"/>
              <w:jc w:val="center"/>
            </w:pPr>
            <w:r>
              <w:rPr>
                <w:rFonts w:ascii="Arial" w:cs="Arial" w:eastAsia="Arial" w:hAnsi="Arial"/>
                <w:b/>
                <w:bCs/>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HAWKEYE</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HAWKEYE_Stadium_GDA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Hawk-Eye Tech</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15</w:t>
            </w:r>
          </w:p>
        </w:tc>
        <w:tc>
          <w:tcPr>
            <w:tcW w:type="dxa" w:w="1060"/>
            <w:tcBorders>
              <w:top w:val="single" w:color="CCCCCC" w:sz="1"/>
              <w:left w:val="single" w:color="CCCCCC" w:sz="1"/>
              <w:bottom w:val="single" w:color="CCCCCC" w:sz="1"/>
              <w:right w:val="single" w:color="CCCCCC" w:sz="1"/>
            </w:tcBorders>
            <w:shd w:fill="DC3545" w:val="clear"/>
          </w:tcPr>
          <w:p>
            <w:pPr>
              <w:spacing w:before="40" w:after="40"/>
              <w:jc w:val="center"/>
            </w:pPr>
            <w:r>
              <w:rPr>
                <w:rFonts w:ascii="Arial" w:cs="Arial" w:eastAsia="Arial" w:hAnsi="Arial"/>
                <w:b/>
                <w:bCs/>
                <w:color w:val="FFFFFF"/>
                <w:sz w:val="18"/>
                <w:szCs w:val="18"/>
              </w:rPr>
              <w:t xml:space="preserve">CRITICAL</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IR_TECH</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IR_TECH_Booth_GDA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IR Tech</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11</w:t>
            </w:r>
          </w:p>
        </w:tc>
        <w:tc>
          <w:tcPr>
            <w:tcW w:type="dxa" w:w="1060"/>
            <w:tcBorders>
              <w:top w:val="single" w:color="CCCCCC" w:sz="1"/>
              <w:left w:val="single" w:color="CCCCCC" w:sz="1"/>
              <w:bottom w:val="single" w:color="CCCCCC" w:sz="1"/>
              <w:right w:val="single" w:color="CCCCCC" w:sz="1"/>
            </w:tcBorders>
            <w:shd w:fill="FFC107" w:val="clear"/>
          </w:tcPr>
          <w:p>
            <w:pPr>
              <w:spacing w:before="40" w:after="40"/>
              <w:jc w:val="center"/>
            </w:pPr>
            <w:r>
              <w:rPr>
                <w:rFonts w:ascii="Arial" w:cs="Arial" w:eastAsia="Arial" w:hAnsi="Arial"/>
                <w:b/>
                <w:bCs/>
                <w:color w:val="000000"/>
                <w:sz w:val="18"/>
                <w:szCs w:val="18"/>
              </w:rPr>
              <w:t xml:space="preserve">HIGH</w:t>
            </w:r>
          </w:p>
        </w:tc>
      </w:tr>
      <w:tr>
        <w:tc>
          <w:tcPr>
            <w:tcW w:type="dxa" w:w="13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O2O</w:t>
            </w:r>
          </w:p>
        </w:tc>
        <w:tc>
          <w:tcPr>
            <w:tcW w:type="dxa" w:w="24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O2O_Field_GDA</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O2O Tech</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16</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16</w:t>
            </w:r>
          </w:p>
        </w:tc>
        <w:tc>
          <w:tcPr>
            <w:tcW w:type="dxa" w:w="1060"/>
            <w:tcBorders>
              <w:top w:val="single" w:color="CCCCCC" w:sz="1"/>
              <w:left w:val="single" w:color="CCCCCC" w:sz="1"/>
              <w:bottom w:val="single" w:color="CCCCCC" w:sz="1"/>
              <w:right w:val="single" w:color="CCCCCC" w:sz="1"/>
            </w:tcBorders>
            <w:shd w:fill="DC3545" w:val="clear"/>
          </w:tcPr>
          <w:p>
            <w:pPr>
              <w:spacing w:before="40" w:after="40"/>
              <w:jc w:val="center"/>
            </w:pPr>
            <w:r>
              <w:rPr>
                <w:rFonts w:ascii="Arial" w:cs="Arial" w:eastAsia="Arial" w:hAnsi="Arial"/>
                <w:b/>
                <w:bCs/>
                <w:color w:val="FFFFFF"/>
                <w:sz w:val="18"/>
                <w:szCs w:val="18"/>
              </w:rPr>
              <w:t xml:space="preserve">CRITICAL</w:t>
            </w:r>
          </w:p>
        </w:tc>
      </w:tr>
    </w:tbl>
    <w:p>
      <w:r>
        <w:br w:type="page"/>
      </w:r>
    </w:p>
    <w:p>
      <w:pPr>
        <w:pStyle w:val="Heading1"/>
      </w:pPr>
      <w:r>
        <w:t xml:space="preserve">4. GDA Readiness Platform</w:t>
      </w:r>
    </w:p>
    <w:p>
      <w:pPr>
        <w:spacing w:after="200"/>
      </w:pPr>
      <w:r>
        <w:rPr>
          <w:rFonts w:ascii="Arial" w:cs="Arial" w:eastAsia="Arial" w:hAnsi="Arial"/>
          <w:sz w:val="22"/>
          <w:szCs w:val="22"/>
        </w:rPr>
        <w:t xml:space="preserve">The GDA Readiness Platform is the in-season operational interface used by Game Day Administrators during live game operations. GDAs use this platform to check off assigned tasks, capture evidence, report issues, and communicate status in real-time. The platform integrates with NFL iOS apps for mobile access.</w:t>
      </w:r>
    </w:p>
    <w:p>
      <w:pPr>
        <w:pStyle w:val="Heading2"/>
      </w:pPr>
      <w:r>
        <w:t xml:space="preserve">4.1 Game Day Temporal Framework (M1-M6)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c>
          <w:tcPr>
            <w:tcW w:type="dxa" w:w="12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Window</w:t>
            </w:r>
          </w:p>
        </w:tc>
        <w:tc>
          <w:tcPr>
            <w:tcW w:type="dxa" w:w="22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Name</w:t>
            </w:r>
          </w:p>
        </w:tc>
        <w:tc>
          <w:tcPr>
            <w:tcW w:type="dxa" w:w="41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GDA Activities</w:t>
            </w:r>
          </w:p>
        </w:tc>
      </w:tr>
      <w:tr>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013369"/>
                <w:sz w:val="20"/>
                <w:szCs w:val="20"/>
              </w:rPr>
              <w:t xml:space="preserve">M1</w:t>
            </w:r>
          </w:p>
        </w:tc>
        <w:tc>
          <w:tcPr>
            <w:tcW w:type="dxa" w:w="18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T-24h to T-7h</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Pre-Game Setup</w:t>
            </w:r>
          </w:p>
        </w:tc>
        <w:tc>
          <w:tcPr>
            <w:tcW w:type="dxa" w:w="41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Equipment staging, HAWKEYE day-before setup, travel confirmations</w:t>
            </w:r>
          </w:p>
        </w:tc>
      </w:tr>
      <w:tr>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013369"/>
                <w:sz w:val="20"/>
                <w:szCs w:val="20"/>
              </w:rPr>
              <w:t xml:space="preserve">M2</w:t>
            </w:r>
          </w:p>
        </w:tc>
        <w:tc>
          <w:tcPr>
            <w:tcW w:type="dxa" w:w="18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T-7h to T-5h</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System Confirmation</w:t>
            </w:r>
          </w:p>
        </w:tc>
        <w:tc>
          <w:tcPr>
            <w:tcW w:type="dxa" w:w="41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HAWKEYE Sync Test, EFC initial CBRS scan, system power-on</w:t>
            </w:r>
          </w:p>
        </w:tc>
      </w:tr>
      <w:tr>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013369"/>
                <w:sz w:val="20"/>
                <w:szCs w:val="20"/>
              </w:rPr>
              <w:t xml:space="preserve">M3</w:t>
            </w:r>
          </w:p>
        </w:tc>
        <w:tc>
          <w:tcPr>
            <w:tcW w:type="dxa" w:w="18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T-5h to T-3h</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Inspections</w:t>
            </w:r>
          </w:p>
        </w:tc>
        <w:tc>
          <w:tcPr>
            <w:tcW w:type="dxa" w:w="41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All GDAs on-site, equipment testing, communication validation</w:t>
            </w:r>
          </w:p>
        </w:tc>
      </w:tr>
      <w:tr>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013369"/>
                <w:sz w:val="20"/>
                <w:szCs w:val="20"/>
              </w:rPr>
              <w:t xml:space="preserve">M4</w:t>
            </w:r>
          </w:p>
        </w:tc>
        <w:tc>
          <w:tcPr>
            <w:tcW w:type="dxa" w:w="18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T-3h to T-0</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Broadcast Readiness</w:t>
            </w:r>
          </w:p>
        </w:tc>
        <w:tc>
          <w:tcPr>
            <w:tcW w:type="dxa" w:w="41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T-50m critical gates, medical timeout tests, final certifications</w:t>
            </w:r>
          </w:p>
        </w:tc>
      </w:tr>
      <w:tr>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013369"/>
                <w:sz w:val="20"/>
                <w:szCs w:val="20"/>
              </w:rPr>
              <w:t xml:space="preserve">M5</w:t>
            </w:r>
          </w:p>
        </w:tc>
        <w:tc>
          <w:tcPr>
            <w:tcW w:type="dxa" w:w="18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T-0 to EOG</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Live Operations</w:t>
            </w:r>
          </w:p>
        </w:tc>
        <w:tc>
          <w:tcPr>
            <w:tcW w:type="dxa" w:w="41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Active monitoring, incident response, real-time support</w:t>
            </w:r>
          </w:p>
        </w:tc>
      </w:tr>
      <w:tr>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bCs/>
                <w:color w:val="013369"/>
                <w:sz w:val="20"/>
                <w:szCs w:val="20"/>
              </w:rPr>
              <w:t xml:space="preserve">M6</w:t>
            </w:r>
          </w:p>
        </w:tc>
        <w:tc>
          <w:tcPr>
            <w:tcW w:type="dxa" w:w="18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EOG to T+2h</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Post-Game Review</w:t>
            </w:r>
          </w:p>
        </w:tc>
        <w:tc>
          <w:tcPr>
            <w:tcW w:type="dxa" w:w="41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Equipment collection, GMS reports, evidence finalization</w:t>
            </w:r>
          </w:p>
        </w:tc>
      </w:tr>
    </w:tbl>
    <w:p>
      <w:pPr>
        <w:pStyle w:val="Heading2"/>
      </w:pPr>
      <w:r>
        <w:t xml:space="preserve">4.2 NIN Phase Task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4860"/>
      </w:tblGrid>
      <w:tr>
        <w:tc>
          <w:tcPr>
            <w:tcW w:type="dxa" w:w="18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NIN Phase</w:t>
            </w:r>
          </w:p>
        </w:tc>
        <w:tc>
          <w:tcPr>
            <w:tcW w:type="dxa" w:w="12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Tasks</w:t>
            </w:r>
          </w:p>
        </w:tc>
        <w:tc>
          <w:tcPr>
            <w:tcW w:type="dxa" w:w="15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Percentage</w:t>
            </w:r>
          </w:p>
        </w:tc>
        <w:tc>
          <w:tcPr>
            <w:tcW w:type="dxa" w:w="48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GDA Actions</w:t>
            </w:r>
          </w:p>
        </w:tc>
      </w:tr>
      <w:tr>
        <w:tc>
          <w:tcPr>
            <w:tcW w:type="dxa" w:w="1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DISCOVER</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29</w:t>
            </w:r>
          </w:p>
        </w:tc>
        <w:tc>
          <w:tcPr>
            <w:tcW w:type="dxa" w:w="15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5.7%</w:t>
            </w:r>
          </w:p>
        </w:tc>
        <w:tc>
          <w:tcPr>
            <w:tcW w:type="dxa" w:w="4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Clock in (UKG), WhatsApp check-in, equipment pickup, arrival confirmation</w:t>
            </w:r>
          </w:p>
        </w:tc>
      </w:tr>
      <w:tr>
        <w:tc>
          <w:tcPr>
            <w:tcW w:type="dxa" w:w="1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DIAGNOSE</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216</w:t>
            </w:r>
          </w:p>
        </w:tc>
        <w:tc>
          <w:tcPr>
            <w:tcW w:type="dxa" w:w="15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42.8%</w:t>
            </w:r>
          </w:p>
        </w:tc>
        <w:tc>
          <w:tcPr>
            <w:tcW w:type="dxa" w:w="4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System tests, validation checks, communication tests, hardware verification</w:t>
            </w:r>
          </w:p>
        </w:tc>
      </w:tr>
      <w:tr>
        <w:tc>
          <w:tcPr>
            <w:tcW w:type="dxa" w:w="1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DESIGN</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17</w:t>
            </w:r>
          </w:p>
        </w:tc>
        <w:tc>
          <w:tcPr>
            <w:tcW w:type="dxa" w:w="15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3.4%</w:t>
            </w:r>
          </w:p>
        </w:tc>
        <w:tc>
          <w:tcPr>
            <w:tcW w:type="dxa" w:w="4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Configuration, profile setup, standards application, layout optimization</w:t>
            </w:r>
          </w:p>
        </w:tc>
      </w:tr>
      <w:tr>
        <w:tc>
          <w:tcPr>
            <w:tcW w:type="dxa" w:w="1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DEPLOY</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104</w:t>
            </w:r>
          </w:p>
        </w:tc>
        <w:tc>
          <w:tcPr>
            <w:tcW w:type="dxa" w:w="15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20.6%</w:t>
            </w:r>
          </w:p>
        </w:tc>
        <w:tc>
          <w:tcPr>
            <w:tcW w:type="dxa" w:w="4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System activation, radio distribution, live operations, field positioning</w:t>
            </w:r>
          </w:p>
        </w:tc>
      </w:tr>
      <w:tr>
        <w:tc>
          <w:tcPr>
            <w:tcW w:type="dxa" w:w="1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DEBRIEF</w:t>
            </w:r>
          </w:p>
        </w:tc>
        <w:tc>
          <w:tcPr>
            <w:tcW w:type="dxa" w:w="12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139</w:t>
            </w:r>
          </w:p>
        </w:tc>
        <w:tc>
          <w:tcPr>
            <w:tcW w:type="dxa" w:w="15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27.5%</w:t>
            </w:r>
          </w:p>
        </w:tc>
        <w:tc>
          <w:tcPr>
            <w:tcW w:type="dxa" w:w="4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GMS reports, equipment storage, radio collection, clock out (UKG)</w:t>
            </w:r>
          </w:p>
        </w:tc>
      </w:tr>
    </w:tbl>
    <w:p>
      <w:pPr>
        <w:pStyle w:val="Heading2"/>
      </w:pPr>
      <w:r>
        <w:t xml:space="preserve">4.3 Critical Gate Certifications (T-50m)</w:t>
      </w:r>
    </w:p>
    <w:p>
      <w:pPr>
        <w:spacing w:after="150"/>
      </w:pPr>
      <w:r>
        <w:rPr>
          <w:rFonts w:ascii="Arial" w:cs="Arial" w:eastAsia="Arial" w:hAnsi="Arial"/>
          <w:sz w:val="22"/>
          <w:szCs w:val="22"/>
        </w:rPr>
        <w:t xml:space="preserve">The T-50 minute mark before kickoff represents the most critical certification window for player safety and broadcast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2960"/>
      </w:tblGrid>
      <w:tr>
        <w:tc>
          <w:tcPr>
            <w:tcW w:type="dxa" w:w="28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Critical Gate</w:t>
            </w:r>
          </w:p>
        </w:tc>
        <w:tc>
          <w:tcPr>
            <w:tcW w:type="dxa" w:w="14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Task ID</w:t>
            </w:r>
          </w:p>
        </w:tc>
        <w:tc>
          <w:tcPr>
            <w:tcW w:type="dxa" w:w="29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Alert If Failed</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Medical Timeout Certification</w:t>
            </w:r>
          </w:p>
        </w:tc>
        <w:tc>
          <w:tcPr>
            <w:tcW w:type="dxa" w:w="14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IVRS</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IVRS_HB_2.2 / IVRS_VB_2.2</w:t>
            </w:r>
          </w:p>
        </w:tc>
        <w:tc>
          <w:tcPr>
            <w:tcW w:type="dxa" w:w="2960"/>
            <w:tcBorders>
              <w:top w:val="single" w:color="CCCCCC" w:sz="1"/>
              <w:left w:val="single" w:color="CCCCCC" w:sz="1"/>
              <w:bottom w:val="single" w:color="CCCCCC" w:sz="1"/>
              <w:right w:val="single" w:color="CCCCCC" w:sz="1"/>
            </w:tcBorders>
            <w:shd w:fill="DC3545" w:val="clear"/>
          </w:tcPr>
          <w:p>
            <w:pPr>
              <w:spacing w:before="40" w:after="40"/>
              <w:jc w:val="center"/>
            </w:pPr>
            <w:r>
              <w:rPr>
                <w:rFonts w:ascii="Arial" w:cs="Arial" w:eastAsia="Arial" w:hAnsi="Arial"/>
                <w:b/>
                <w:bCs/>
                <w:color w:val="FFFFFF"/>
                <w:sz w:val="18"/>
                <w:szCs w:val="18"/>
              </w:rPr>
              <w:t xml:space="preserve">CRITICAL</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Field Communications Gate</w:t>
            </w:r>
          </w:p>
        </w:tc>
        <w:tc>
          <w:tcPr>
            <w:tcW w:type="dxa" w:w="14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O2O</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O2O_2.2</w:t>
            </w:r>
          </w:p>
        </w:tc>
        <w:tc>
          <w:tcPr>
            <w:tcW w:type="dxa" w:w="2960"/>
            <w:tcBorders>
              <w:top w:val="single" w:color="CCCCCC" w:sz="1"/>
              <w:left w:val="single" w:color="CCCCCC" w:sz="1"/>
              <w:bottom w:val="single" w:color="CCCCCC" w:sz="1"/>
              <w:right w:val="single" w:color="CCCCCC" w:sz="1"/>
            </w:tcBorders>
            <w:shd w:fill="DC3545" w:val="clear"/>
          </w:tcPr>
          <w:p>
            <w:pPr>
              <w:spacing w:before="40" w:after="40"/>
              <w:jc w:val="center"/>
            </w:pPr>
            <w:r>
              <w:rPr>
                <w:rFonts w:ascii="Arial" w:cs="Arial" w:eastAsia="Arial" w:hAnsi="Arial"/>
                <w:b/>
                <w:bCs/>
                <w:color w:val="FFFFFF"/>
                <w:sz w:val="18"/>
                <w:szCs w:val="18"/>
              </w:rPr>
              <w:t xml:space="preserve">CRITICAL</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T-50m Readiness Gate</w:t>
            </w:r>
          </w:p>
        </w:tc>
        <w:tc>
          <w:tcPr>
            <w:tcW w:type="dxa" w:w="14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IVRS</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IVRS_HB_2.3 / IVRS_VB_2.3</w:t>
            </w:r>
          </w:p>
        </w:tc>
        <w:tc>
          <w:tcPr>
            <w:tcW w:type="dxa" w:w="2960"/>
            <w:tcBorders>
              <w:top w:val="single" w:color="CCCCCC" w:sz="1"/>
              <w:left w:val="single" w:color="CCCCCC" w:sz="1"/>
              <w:bottom w:val="single" w:color="CCCCCC" w:sz="1"/>
              <w:right w:val="single" w:color="CCCCCC" w:sz="1"/>
            </w:tcBorders>
            <w:shd w:fill="FFC107" w:val="clear"/>
          </w:tcPr>
          <w:p>
            <w:pPr>
              <w:spacing w:before="40" w:after="40"/>
              <w:jc w:val="center"/>
            </w:pPr>
            <w:r>
              <w:rPr>
                <w:rFonts w:ascii="Arial" w:cs="Arial" w:eastAsia="Arial" w:hAnsi="Arial"/>
                <w:b/>
                <w:bCs/>
                <w:color w:val="000000"/>
                <w:sz w:val="18"/>
                <w:szCs w:val="18"/>
              </w:rPr>
              <w:t xml:space="preserve">HIGH</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System Ready Certification</w:t>
            </w:r>
          </w:p>
        </w:tc>
        <w:tc>
          <w:tcPr>
            <w:tcW w:type="dxa" w:w="14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O2O</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O2O_2.4</w:t>
            </w:r>
          </w:p>
        </w:tc>
        <w:tc>
          <w:tcPr>
            <w:tcW w:type="dxa" w:w="2960"/>
            <w:tcBorders>
              <w:top w:val="single" w:color="CCCCCC" w:sz="1"/>
              <w:left w:val="single" w:color="CCCCCC" w:sz="1"/>
              <w:bottom w:val="single" w:color="CCCCCC" w:sz="1"/>
              <w:right w:val="single" w:color="CCCCCC" w:sz="1"/>
            </w:tcBorders>
            <w:shd w:fill="FFC107" w:val="clear"/>
          </w:tcPr>
          <w:p>
            <w:pPr>
              <w:spacing w:before="40" w:after="40"/>
              <w:jc w:val="center"/>
            </w:pPr>
            <w:r>
              <w:rPr>
                <w:rFonts w:ascii="Arial" w:cs="Arial" w:eastAsia="Arial" w:hAnsi="Arial"/>
                <w:b/>
                <w:bCs/>
                <w:color w:val="000000"/>
                <w:sz w:val="18"/>
                <w:szCs w:val="18"/>
              </w:rPr>
              <w:t xml:space="preserve">HIGH</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System Ready Certification</w:t>
            </w:r>
          </w:p>
        </w:tc>
        <w:tc>
          <w:tcPr>
            <w:tcW w:type="dxa" w:w="14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IR_TECH</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IRTECH_2.1</w:t>
            </w:r>
          </w:p>
        </w:tc>
        <w:tc>
          <w:tcPr>
            <w:tcW w:type="dxa" w:w="2960"/>
            <w:tcBorders>
              <w:top w:val="single" w:color="CCCCCC" w:sz="1"/>
              <w:left w:val="single" w:color="CCCCCC" w:sz="1"/>
              <w:bottom w:val="single" w:color="CCCCCC" w:sz="1"/>
              <w:right w:val="single" w:color="CCCCCC" w:sz="1"/>
            </w:tcBorders>
            <w:shd w:fill="FFC107" w:val="clear"/>
          </w:tcPr>
          <w:p>
            <w:pPr>
              <w:spacing w:before="40" w:after="40"/>
              <w:jc w:val="center"/>
            </w:pPr>
            <w:r>
              <w:rPr>
                <w:rFonts w:ascii="Arial" w:cs="Arial" w:eastAsia="Arial" w:hAnsi="Arial"/>
                <w:b/>
                <w:bCs/>
                <w:color w:val="000000"/>
                <w:sz w:val="18"/>
                <w:szCs w:val="18"/>
              </w:rPr>
              <w:t xml:space="preserve">HIGH</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50-Minute Check</w:t>
            </w:r>
          </w:p>
        </w:tc>
        <w:tc>
          <w:tcPr>
            <w:tcW w:type="dxa" w:w="140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HAWKEYE</w:t>
            </w:r>
          </w:p>
        </w:tc>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HE_GD_2.3</w:t>
            </w:r>
          </w:p>
        </w:tc>
        <w:tc>
          <w:tcPr>
            <w:tcW w:type="dxa" w:w="2960"/>
            <w:tcBorders>
              <w:top w:val="single" w:color="CCCCCC" w:sz="1"/>
              <w:left w:val="single" w:color="CCCCCC" w:sz="1"/>
              <w:bottom w:val="single" w:color="CCCCCC" w:sz="1"/>
              <w:right w:val="single" w:color="CCCCCC" w:sz="1"/>
            </w:tcBorders>
            <w:shd w:fill="FFC107" w:val="clear"/>
          </w:tcPr>
          <w:p>
            <w:pPr>
              <w:spacing w:before="40" w:after="40"/>
              <w:jc w:val="center"/>
            </w:pPr>
            <w:r>
              <w:rPr>
                <w:rFonts w:ascii="Arial" w:cs="Arial" w:eastAsia="Arial" w:hAnsi="Arial"/>
                <w:b/>
                <w:bCs/>
                <w:color w:val="000000"/>
                <w:sz w:val="18"/>
                <w:szCs w:val="18"/>
              </w:rPr>
              <w:t xml:space="preserve">HIGH</w:t>
            </w:r>
          </w:p>
        </w:tc>
      </w:tr>
    </w:tbl>
    <w:p>
      <w:r>
        <w:br w:type="page"/>
      </w:r>
    </w:p>
    <w:p>
      <w:pPr>
        <w:pStyle w:val="Heading1"/>
      </w:pPr>
      <w:r>
        <w:t xml:space="preserve">5. EVERGAME 360 Dashboard</w:t>
      </w:r>
    </w:p>
    <w:p>
      <w:pPr>
        <w:spacing w:after="200"/>
      </w:pPr>
      <w:r>
        <w:rPr>
          <w:rFonts w:ascii="Arial" w:cs="Arial" w:eastAsia="Arial" w:hAnsi="Arial"/>
          <w:sz w:val="22"/>
          <w:szCs w:val="22"/>
        </w:rPr>
        <w:t xml:space="preserve">The EVERGAME 360 Dashboard serves as the real-time command center during live game operations, bringing together all platform data into a unified view synchronized to the game clock. The dashboard provides role-based access with different views for NFL Executives, IT Lead, and operations teams.</w:t>
      </w:r>
    </w:p>
    <w:p>
      <w:pPr>
        <w:pStyle w:val="Heading2"/>
      </w:pPr>
      <w:r>
        <w:t xml:space="preserve">5.1 Dashboard Modes by Season Phase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Season Phase</w:t>
            </w:r>
          </w:p>
        </w:tc>
        <w:tc>
          <w:tcPr>
            <w:tcW w:type="dxa" w:w="30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Dashboard Mode</w:t>
            </w:r>
          </w:p>
        </w:tc>
        <w:tc>
          <w:tcPr>
            <w:tcW w:type="dxa" w:w="41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Primary Intelligence</w:t>
            </w:r>
          </w:p>
        </w:tc>
      </w:tr>
      <w:tr>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Offseason</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Planning &amp; Certification</w:t>
            </w:r>
          </w:p>
        </w:tc>
        <w:tc>
          <w:tcPr>
            <w:tcW w:type="dxa" w:w="41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Budget tracking, procurement gates, vendor coordination, training status</w:t>
            </w:r>
          </w:p>
        </w:tc>
      </w:tr>
      <w:tr>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Preseason</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Validation &amp; Testing</w:t>
            </w:r>
          </w:p>
        </w:tc>
        <w:tc>
          <w:tcPr>
            <w:tcW w:type="dxa" w:w="41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Venue certification progress, POC testing results, compliance deadlines</w:t>
            </w:r>
          </w:p>
        </w:tc>
      </w:tr>
      <w:tr>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Regular Season</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Live Operations</w:t>
            </w:r>
          </w:p>
        </w:tc>
        <w:tc>
          <w:tcPr>
            <w:tcW w:type="dxa" w:w="41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Multi-venue status, M1-M6 progression, game clock sync, incident alerts</w:t>
            </w:r>
          </w:p>
        </w:tc>
      </w:tr>
      <w:tr>
        <w:tc>
          <w:tcPr>
            <w:tcW w:type="dxa" w:w="2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Post Season</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Elevated Operations</w:t>
            </w:r>
          </w:p>
        </w:tc>
        <w:tc>
          <w:tcPr>
            <w:tcW w:type="dxa" w:w="41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Playoff/Super Bowl focus, heightened risk monitoring, lessons learned</w:t>
            </w:r>
          </w:p>
        </w:tc>
      </w:tr>
    </w:tbl>
    <w:p>
      <w:pPr>
        <w:pStyle w:val="Heading2"/>
      </w:pPr>
      <w:r>
        <w:t xml:space="preserve">5.2 Live Game Operations View</w:t>
      </w:r>
    </w:p>
    <w:p>
      <w:pPr>
        <w:spacing w:after="150"/>
      </w:pPr>
      <w:r>
        <w:rPr>
          <w:rFonts w:ascii="Arial" w:cs="Arial" w:eastAsia="Arial" w:hAnsi="Arial"/>
          <w:sz w:val="22"/>
          <w:szCs w:val="22"/>
        </w:rPr>
        <w:t xml:space="preserve">During Regular Season game windows, the 360 Dashboard displays real-time status synchronized to the game clock:</w:t>
      </w:r>
    </w:p>
    <w:p>
      <w:pPr>
        <w:pStyle w:val="ListParagraph"/>
        <w:numPr>
          <w:ilvl w:val="0"/>
          <w:numId w:val="3"/>
        </w:numPr>
        <w:spacing w:after="80"/>
      </w:pPr>
      <w:r>
        <w:rPr>
          <w:rFonts w:ascii="Arial" w:cs="Arial" w:eastAsia="Arial" w:hAnsi="Arial"/>
          <w:b/>
          <w:bCs/>
          <w:sz w:val="22"/>
          <w:szCs w:val="22"/>
        </w:rPr>
        <w:t xml:space="preserve">Game Clock Synchronization: </w:t>
      </w:r>
      <w:r>
        <w:rPr>
          <w:rFonts w:ascii="Arial" w:cs="Arial" w:eastAsia="Arial" w:hAnsi="Arial"/>
          <w:sz w:val="22"/>
          <w:szCs w:val="22"/>
        </w:rPr>
        <w:t xml:space="preserve">T-minus countdown automatically activates milestone-appropriate task views</w:t>
      </w:r>
    </w:p>
    <w:p>
      <w:pPr>
        <w:pStyle w:val="ListParagraph"/>
        <w:numPr>
          <w:ilvl w:val="0"/>
          <w:numId w:val="3"/>
        </w:numPr>
        <w:spacing w:after="80"/>
      </w:pPr>
      <w:r>
        <w:rPr>
          <w:rFonts w:ascii="Arial" w:cs="Arial" w:eastAsia="Arial" w:hAnsi="Arial"/>
          <w:b/>
          <w:bCs/>
          <w:sz w:val="22"/>
          <w:szCs w:val="22"/>
        </w:rPr>
        <w:t xml:space="preserve">Multi-Venue Grid: </w:t>
      </w:r>
      <w:r>
        <w:rPr>
          <w:rFonts w:ascii="Arial" w:cs="Arial" w:eastAsia="Arial" w:hAnsi="Arial"/>
          <w:sz w:val="22"/>
          <w:szCs w:val="22"/>
        </w:rPr>
        <w:t xml:space="preserve">All active games displayed with system status indicators (GREEN/AMBER/RED)</w:t>
      </w:r>
    </w:p>
    <w:p>
      <w:pPr>
        <w:pStyle w:val="ListParagraph"/>
        <w:numPr>
          <w:ilvl w:val="0"/>
          <w:numId w:val="3"/>
        </w:numPr>
        <w:spacing w:after="80"/>
      </w:pPr>
      <w:r>
        <w:rPr>
          <w:rFonts w:ascii="Arial" w:cs="Arial" w:eastAsia="Arial" w:hAnsi="Arial"/>
          <w:b/>
          <w:bCs/>
          <w:sz w:val="22"/>
          <w:szCs w:val="22"/>
        </w:rPr>
        <w:t xml:space="preserve">Task Completion Tracking: </w:t>
      </w:r>
      <w:r>
        <w:rPr>
          <w:rFonts w:ascii="Arial" w:cs="Arial" w:eastAsia="Arial" w:hAnsi="Arial"/>
          <w:sz w:val="22"/>
          <w:szCs w:val="22"/>
        </w:rPr>
        <w:t xml:space="preserve">Real-time progress bars by system, milestone, and venue</w:t>
      </w:r>
    </w:p>
    <w:p>
      <w:pPr>
        <w:pStyle w:val="ListParagraph"/>
        <w:numPr>
          <w:ilvl w:val="0"/>
          <w:numId w:val="3"/>
        </w:numPr>
        <w:spacing w:after="80"/>
      </w:pPr>
      <w:r>
        <w:rPr>
          <w:rFonts w:ascii="Arial" w:cs="Arial" w:eastAsia="Arial" w:hAnsi="Arial"/>
          <w:b/>
          <w:bCs/>
          <w:sz w:val="22"/>
          <w:szCs w:val="22"/>
        </w:rPr>
        <w:t xml:space="preserve">Gate Certification Status: </w:t>
      </w:r>
      <w:r>
        <w:rPr>
          <w:rFonts w:ascii="Arial" w:cs="Arial" w:eastAsia="Arial" w:hAnsi="Arial"/>
          <w:sz w:val="22"/>
          <w:szCs w:val="22"/>
        </w:rPr>
        <w:t xml:space="preserve">GO/NO-GO indicators for all 18 critical gates with automated escalation</w:t>
      </w:r>
    </w:p>
    <w:p>
      <w:pPr>
        <w:pStyle w:val="ListParagraph"/>
        <w:numPr>
          <w:ilvl w:val="0"/>
          <w:numId w:val="3"/>
        </w:numPr>
        <w:spacing w:after="120"/>
      </w:pPr>
      <w:r>
        <w:rPr>
          <w:rFonts w:ascii="Arial" w:cs="Arial" w:eastAsia="Arial" w:hAnsi="Arial"/>
          <w:b/>
          <w:bCs/>
          <w:sz w:val="22"/>
          <w:szCs w:val="22"/>
        </w:rPr>
        <w:t xml:space="preserve">Evidence Capture Status: </w:t>
      </w:r>
      <w:r>
        <w:rPr>
          <w:rFonts w:ascii="Arial" w:cs="Arial" w:eastAsia="Arial" w:hAnsi="Arial"/>
          <w:sz w:val="22"/>
          <w:szCs w:val="22"/>
        </w:rPr>
        <w:t xml:space="preserve">Percentage of required evidence collected per venue and system</w:t>
      </w:r>
    </w:p>
    <w:p>
      <w:pPr>
        <w:pStyle w:val="Heading2"/>
      </w:pPr>
      <w:r>
        <w:t xml:space="preserve">5.3 System Status by Technology Domain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3560"/>
      </w:tblGrid>
      <w:tr>
        <w:tc>
          <w:tcPr>
            <w:tcW w:type="dxa" w:w="12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System</w:t>
            </w:r>
          </w:p>
        </w:tc>
        <w:tc>
          <w:tcPr>
            <w:tcW w:type="dxa" w:w="20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Executive KPI</w:t>
            </w:r>
          </w:p>
        </w:tc>
        <w:tc>
          <w:tcPr>
            <w:tcW w:type="dxa" w:w="26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Threshold</w:t>
            </w:r>
          </w:p>
        </w:tc>
        <w:tc>
          <w:tcPr>
            <w:tcW w:type="dxa" w:w="35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Dashboard Indicator</w:t>
            </w:r>
          </w:p>
        </w:tc>
      </w:tr>
      <w:tr>
        <w:tc>
          <w:tcPr>
            <w:tcW w:type="dxa" w:w="1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C2P</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Helmet Test Pass Rate</w:t>
            </w:r>
          </w:p>
        </w:tc>
        <w:tc>
          <w:tcPr>
            <w:tcW w:type="dxa" w:w="26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100% (any failure = alert)</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Competitive equity - coach communication</w:t>
            </w:r>
          </w:p>
        </w:tc>
      </w:tr>
      <w:tr>
        <w:tc>
          <w:tcPr>
            <w:tcW w:type="dxa" w:w="1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SVS</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Tablet Availability</w:t>
            </w:r>
          </w:p>
        </w:tc>
        <w:tc>
          <w:tcPr>
            <w:tcW w:type="dxa" w:w="26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100% (any unavailable = alert)</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Video feed access for coaches</w:t>
            </w:r>
          </w:p>
        </w:tc>
      </w:tr>
      <w:tr>
        <w:tc>
          <w:tcPr>
            <w:tcW w:type="dxa" w:w="1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EFC</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CBRS Scan Completion</w:t>
            </w:r>
          </w:p>
        </w:tc>
        <w:tc>
          <w:tcPr>
            <w:tcW w:type="dxa" w:w="26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Complete by T-6h</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Gatekeeper - blocks C2P/O2O if delayed</w:t>
            </w:r>
          </w:p>
        </w:tc>
      </w:tr>
      <w:tr>
        <w:tc>
          <w:tcPr>
            <w:tcW w:type="dxa" w:w="1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IVRS</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Medical Timeout Test</w:t>
            </w:r>
          </w:p>
        </w:tc>
        <w:tc>
          <w:tcPr>
            <w:tcW w:type="dxa" w:w="26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Pass (fail = CRITICAL)</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Player safety - game cannot start if failed</w:t>
            </w:r>
          </w:p>
        </w:tc>
      </w:tr>
      <w:tr>
        <w:tc>
          <w:tcPr>
            <w:tcW w:type="dxa" w:w="1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O2O</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Belt Pack Distribution</w:t>
            </w:r>
          </w:p>
        </w:tc>
        <w:tc>
          <w:tcPr>
            <w:tcW w:type="dxa" w:w="26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7/7 distributed</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Official communications integrity</w:t>
            </w:r>
          </w:p>
        </w:tc>
      </w:tr>
      <w:tr>
        <w:tc>
          <w:tcPr>
            <w:tcW w:type="dxa" w:w="1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WiFi</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Sideline Throughput</w:t>
            </w:r>
          </w:p>
        </w:tc>
        <w:tc>
          <w:tcPr>
            <w:tcW w:type="dxa" w:w="26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&gt;50 Mbps (alert &lt;30 Mbps)</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Tablet/video connectivity</w:t>
            </w:r>
          </w:p>
        </w:tc>
      </w:tr>
      <w:tr>
        <w:tc>
          <w:tcPr>
            <w:tcW w:type="dxa" w:w="1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HAWKEYE</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Sync Test Status</w:t>
            </w:r>
          </w:p>
        </w:tc>
        <w:tc>
          <w:tcPr>
            <w:tcW w:type="dxa" w:w="26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Pass at T-6h</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Replay/officiating capability</w:t>
            </w:r>
          </w:p>
        </w:tc>
      </w:tr>
      <w:tr>
        <w:tc>
          <w:tcPr>
            <w:tcW w:type="dxa" w:w="1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FTR</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Cart Position Status</w:t>
            </w:r>
          </w:p>
        </w:tc>
        <w:tc>
          <w:tcPr>
            <w:tcW w:type="dxa" w:w="26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Positioned by T-3h</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Network backbone for sideline systems</w:t>
            </w:r>
          </w:p>
        </w:tc>
      </w:tr>
      <w:tr>
        <w:tc>
          <w:tcPr>
            <w:tcW w:type="dxa" w:w="12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IR_TECH</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Replay Test Status</w:t>
            </w:r>
          </w:p>
        </w:tc>
        <w:tc>
          <w:tcPr>
            <w:tcW w:type="dxa" w:w="26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Pass</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Video archive and instant replay</w:t>
            </w:r>
          </w:p>
        </w:tc>
      </w:tr>
    </w:tbl>
    <w:p>
      <w:r>
        <w:br w:type="page"/>
      </w:r>
    </w:p>
    <w:p>
      <w:pPr>
        <w:pStyle w:val="Heading1"/>
      </w:pPr>
      <w:r>
        <w:t xml:space="preserve">6. Evidence Capture Framework</w:t>
      </w:r>
    </w:p>
    <w:p>
      <w:pPr>
        <w:spacing w:after="200"/>
      </w:pPr>
      <w:r>
        <w:rPr>
          <w:rFonts w:ascii="Arial" w:cs="Arial" w:eastAsia="Arial" w:hAnsi="Arial"/>
          <w:sz w:val="22"/>
          <w:szCs w:val="22"/>
        </w:rPr>
        <w:t xml:space="preserve">Evidence capture is fundamental to EVERGAME 360's compliance and accountability framework. Every task in the v5.2 playbooks includes defined evidence fields that GDAs must populate. The system transitions from fragmented WhatsApp capture to governed workflows with full audit trails.</w:t>
      </w:r>
    </w:p>
    <w:p>
      <w:pPr>
        <w:pStyle w:val="Heading2"/>
      </w:pPr>
      <w:r>
        <w:t xml:space="preserve">6.1 Evidence Field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Evidence Type</w:t>
            </w:r>
          </w:p>
        </w:tc>
        <w:tc>
          <w:tcPr>
            <w:tcW w:type="dxa" w:w="30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Capture Method</w:t>
            </w:r>
          </w:p>
        </w:tc>
        <w:tc>
          <w:tcPr>
            <w:tcW w:type="dxa" w:w="38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Example Fields</w:t>
            </w:r>
          </w:p>
        </w:tc>
      </w:tr>
      <w:tr>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Timestamp</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Automatic (system-generated)</w:t>
            </w:r>
          </w:p>
        </w:tc>
        <w:tc>
          <w:tcPr>
            <w:tcW w:type="dxa" w:w="3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timestamp_completed, clock_in_time, clock_out_time</w:t>
            </w:r>
          </w:p>
        </w:tc>
      </w:tr>
      <w:tr>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Status Flag</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GDA selection (Yes/No/Pass/Fail)</w:t>
            </w:r>
          </w:p>
        </w:tc>
        <w:tc>
          <w:tcPr>
            <w:tcW w:type="dxa" w:w="3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internal_comms_ok_flag, med_timeout_test_ok_flag</w:t>
            </w:r>
          </w:p>
        </w:tc>
      </w:tr>
      <w:tr>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Count/Quantity</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GDA numeric entry</w:t>
            </w:r>
          </w:p>
        </w:tc>
        <w:tc>
          <w:tcPr>
            <w:tcW w:type="dxa" w:w="3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radios_count, aps_online, belt_packs_distributed</w:t>
            </w:r>
          </w:p>
        </w:tc>
      </w:tr>
      <w:tr>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Photo Evidence</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NFL iOS app camera capture</w:t>
            </w:r>
          </w:p>
        </w:tc>
        <w:tc>
          <w:tcPr>
            <w:tcW w:type="dxa" w:w="3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photo_url, cbrs_scan_photo, equipment_layout_photo</w:t>
            </w:r>
          </w:p>
        </w:tc>
      </w:tr>
      <w:tr>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WhatsApp Link</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URL paste from WhatsApp</w:t>
            </w:r>
          </w:p>
        </w:tc>
        <w:tc>
          <w:tcPr>
            <w:tcW w:type="dxa" w:w="3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whatsapp_confirmation_link</w:t>
            </w:r>
          </w:p>
        </w:tc>
      </w:tr>
      <w:tr>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Notes/Text</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Free-form GDA entry</w:t>
            </w:r>
          </w:p>
        </w:tc>
        <w:tc>
          <w:tcPr>
            <w:tcW w:type="dxa" w:w="3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notes, incident_description, risk_summary</w:t>
            </w:r>
          </w:p>
        </w:tc>
      </w:tr>
      <w:tr>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Telemetry Data</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System auto-capture</w:t>
            </w:r>
          </w:p>
        </w:tc>
        <w:tc>
          <w:tcPr>
            <w:tcW w:type="dxa" w:w="3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throughput_mbps, latency_ms, signal_strength_dbm</w:t>
            </w:r>
          </w:p>
        </w:tc>
      </w:tr>
    </w:tbl>
    <w:p>
      <w:r>
        <w:br w:type="page"/>
      </w:r>
    </w:p>
    <w:p>
      <w:pPr>
        <w:pStyle w:val="Heading1"/>
      </w:pPr>
      <w:r>
        <w:t xml:space="preserve">7. Integration Architecture</w:t>
      </w:r>
    </w:p>
    <w:p>
      <w:pPr>
        <w:spacing w:after="200"/>
      </w:pPr>
      <w:r>
        <w:rPr>
          <w:rFonts w:ascii="Arial" w:cs="Arial" w:eastAsia="Arial" w:hAnsi="Arial"/>
          <w:sz w:val="22"/>
          <w:szCs w:val="22"/>
        </w:rPr>
        <w:t xml:space="preserve">The IT EVERGAME ecosystem integrates multiple platforms and external systems to deliver comprehensive operational intelligence. The architecture follows Sentrais OS principles of federation, preserving existing technology investments while adding coordination capability.</w:t>
      </w:r>
    </w:p>
    <w:p>
      <w:pPr>
        <w:pStyle w:val="Heading2"/>
      </w:pPr>
      <w:r>
        <w:t xml:space="preserve">7.1 POC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Function</w:t>
            </w:r>
          </w:p>
        </w:tc>
      </w:tr>
      <w:tr>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AI Intelligence</w:t>
            </w:r>
          </w:p>
        </w:tc>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Claude (Anthropic)</w:t>
            </w:r>
          </w:p>
        </w:tc>
        <w:tc>
          <w:tcPr>
            <w:tcW w:type="dxa" w:w="4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Natural language queries, pattern recognition, investigation assistance, playbook analysis</w:t>
            </w:r>
          </w:p>
        </w:tc>
      </w:tr>
      <w:tr>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Workflow Automation</w:t>
            </w:r>
          </w:p>
        </w:tc>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n8n</w:t>
            </w:r>
          </w:p>
        </w:tc>
        <w:tc>
          <w:tcPr>
            <w:tcW w:type="dxa" w:w="4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Evidence routing, alert triggers, system integrations, scheduled tasks</w:t>
            </w:r>
          </w:p>
        </w:tc>
      </w:tr>
      <w:tr>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Dashboard UI</w:t>
            </w:r>
          </w:p>
        </w:tc>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Lovable</w:t>
            </w:r>
          </w:p>
        </w:tc>
        <w:tc>
          <w:tcPr>
            <w:tcW w:type="dxa" w:w="4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Real-time 360 Dashboard, role-based views, mobile-responsive interfaces</w:t>
            </w:r>
          </w:p>
        </w:tc>
      </w:tr>
      <w:tr>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Orchestration Engine</w:t>
            </w:r>
          </w:p>
        </w:tc>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Sentrais OS</w:t>
            </w:r>
          </w:p>
        </w:tc>
        <w:tc>
          <w:tcPr>
            <w:tcW w:type="dxa" w:w="4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Playbook execution, temporal framework, coordination bus, evidence ledger</w:t>
            </w:r>
          </w:p>
        </w:tc>
      </w:tr>
      <w:tr>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Data Layer</w:t>
            </w:r>
          </w:p>
        </w:tc>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JSON Playbooks v5.2</w:t>
            </w:r>
          </w:p>
        </w:tc>
        <w:tc>
          <w:tcPr>
            <w:tcW w:type="dxa" w:w="48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505 tasks, 16 playbooks, 9 systems with NIN phases and NFL milestones</w:t>
            </w:r>
          </w:p>
        </w:tc>
      </w:tr>
    </w:tbl>
    <w:p>
      <w:pPr>
        <w:pStyle w:val="Heading2"/>
      </w:pPr>
      <w:r>
        <w:t xml:space="preserve">7.2 n8n Workflow Automation Patterns</w:t>
      </w:r>
    </w:p>
    <w:p>
      <w:pPr>
        <w:pStyle w:val="ListParagraph"/>
        <w:numPr>
          <w:ilvl w:val="0"/>
          <w:numId w:val="4"/>
        </w:numPr>
        <w:spacing w:after="80"/>
      </w:pPr>
      <w:r>
        <w:rPr>
          <w:rFonts w:ascii="Arial" w:cs="Arial" w:eastAsia="Arial" w:hAnsi="Arial"/>
          <w:b/>
          <w:bCs/>
          <w:sz w:val="22"/>
          <w:szCs w:val="22"/>
        </w:rPr>
        <w:t xml:space="preserve">Evidence Routing: </w:t>
      </w:r>
      <w:r>
        <w:rPr>
          <w:rFonts w:ascii="Arial" w:cs="Arial" w:eastAsia="Arial" w:hAnsi="Arial"/>
          <w:sz w:val="22"/>
          <w:szCs w:val="22"/>
        </w:rPr>
        <w:t xml:space="preserve">WhatsApp message → Parse content → Route to task → Update evidence ledger → Notify IT Lead</w:t>
      </w:r>
    </w:p>
    <w:p>
      <w:pPr>
        <w:pStyle w:val="ListParagraph"/>
        <w:numPr>
          <w:ilvl w:val="0"/>
          <w:numId w:val="4"/>
        </w:numPr>
        <w:spacing w:after="80"/>
      </w:pPr>
      <w:r>
        <w:rPr>
          <w:rFonts w:ascii="Arial" w:cs="Arial" w:eastAsia="Arial" w:hAnsi="Arial"/>
          <w:b/>
          <w:bCs/>
          <w:sz w:val="22"/>
          <w:szCs w:val="22"/>
        </w:rPr>
        <w:t xml:space="preserve">Gate Certification: </w:t>
      </w:r>
      <w:r>
        <w:rPr>
          <w:rFonts w:ascii="Arial" w:cs="Arial" w:eastAsia="Arial" w:hAnsi="Arial"/>
          <w:sz w:val="22"/>
          <w:szCs w:val="22"/>
        </w:rPr>
        <w:t xml:space="preserve">Task completed → Check dependencies → Update certification → Trigger alert if failed</w:t>
      </w:r>
    </w:p>
    <w:p>
      <w:pPr>
        <w:pStyle w:val="ListParagraph"/>
        <w:numPr>
          <w:ilvl w:val="0"/>
          <w:numId w:val="4"/>
        </w:numPr>
        <w:spacing w:after="80"/>
      </w:pPr>
      <w:r>
        <w:rPr>
          <w:rFonts w:ascii="Arial" w:cs="Arial" w:eastAsia="Arial" w:hAnsi="Arial"/>
          <w:b/>
          <w:bCs/>
          <w:sz w:val="22"/>
          <w:szCs w:val="22"/>
        </w:rPr>
        <w:t xml:space="preserve">Incident Escalation: </w:t>
      </w:r>
      <w:r>
        <w:rPr>
          <w:rFonts w:ascii="Arial" w:cs="Arial" w:eastAsia="Arial" w:hAnsi="Arial"/>
          <w:sz w:val="22"/>
          <w:szCs w:val="22"/>
        </w:rPr>
        <w:t xml:space="preserve">Issue reported → Classify severity → Auto-assign → Track resolution → Close with evidence</w:t>
      </w:r>
    </w:p>
    <w:p>
      <w:pPr>
        <w:pStyle w:val="ListParagraph"/>
        <w:numPr>
          <w:ilvl w:val="0"/>
          <w:numId w:val="4"/>
        </w:numPr>
        <w:spacing w:after="80"/>
      </w:pPr>
      <w:r>
        <w:rPr>
          <w:rFonts w:ascii="Arial" w:cs="Arial" w:eastAsia="Arial" w:hAnsi="Arial"/>
          <w:b/>
          <w:bCs/>
          <w:sz w:val="22"/>
          <w:szCs w:val="22"/>
        </w:rPr>
        <w:t xml:space="preserve">Game Clock Sync: </w:t>
      </w:r>
      <w:r>
        <w:rPr>
          <w:rFonts w:ascii="Arial" w:cs="Arial" w:eastAsia="Arial" w:hAnsi="Arial"/>
          <w:sz w:val="22"/>
          <w:szCs w:val="22"/>
        </w:rPr>
        <w:t xml:space="preserve">Kickoff time set → Calculate milestones → Activate time-triggers → Send countdown alerts</w:t>
      </w:r>
    </w:p>
    <w:p>
      <w:pPr>
        <w:pStyle w:val="ListParagraph"/>
        <w:numPr>
          <w:ilvl w:val="0"/>
          <w:numId w:val="4"/>
        </w:numPr>
        <w:spacing w:after="120"/>
      </w:pPr>
      <w:r>
        <w:rPr>
          <w:rFonts w:ascii="Arial" w:cs="Arial" w:eastAsia="Arial" w:hAnsi="Arial"/>
          <w:b/>
          <w:bCs/>
          <w:sz w:val="22"/>
          <w:szCs w:val="22"/>
        </w:rPr>
        <w:t xml:space="preserve">Post-Game Report: </w:t>
      </w:r>
      <w:r>
        <w:rPr>
          <w:rFonts w:ascii="Arial" w:cs="Arial" w:eastAsia="Arial" w:hAnsi="Arial"/>
          <w:sz w:val="22"/>
          <w:szCs w:val="22"/>
        </w:rPr>
        <w:t xml:space="preserve">Game ends → Collect evidence → Generate GMS report → Submit to NFL → Archive</w:t>
      </w:r>
    </w:p>
    <w:p>
      <w:r>
        <w:br w:type="page"/>
      </w:r>
    </w:p>
    <w:p>
      <w:pPr>
        <w:pStyle w:val="Heading1"/>
      </w:pPr>
      <w:r>
        <w:t xml:space="preserve">8. System Dependency Chain</w:t>
      </w:r>
    </w:p>
    <w:p>
      <w:pPr>
        <w:spacing w:after="200"/>
      </w:pPr>
      <w:r>
        <w:rPr>
          <w:rFonts w:ascii="Arial" w:cs="Arial" w:eastAsia="Arial" w:hAnsi="Arial"/>
          <w:sz w:val="22"/>
          <w:szCs w:val="22"/>
        </w:rPr>
        <w:t xml:space="preserve">Understanding system dependencies is critical for NFL IT Lead to manage game day operations. EFC serves as the critical gatekeeper system - CBRS spectrum scans must complete before wireless systems can activate, establishing clear dependency chains that prevent operational conflicts.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Systems</w:t>
            </w:r>
          </w:p>
        </w:tc>
        <w:tc>
          <w:tcPr>
            <w:tcW w:type="dxa" w:w="25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Blocks</w:t>
            </w:r>
          </w:p>
        </w:tc>
        <w:tc>
          <w:tcPr>
            <w:tcW w:type="dxa" w:w="33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Reason</w:t>
            </w:r>
          </w:p>
        </w:tc>
      </w:tr>
      <w:tr>
        <w:tc>
          <w:tcPr>
            <w:tcW w:type="dxa" w:w="1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DC3545"/>
                <w:sz w:val="20"/>
                <w:szCs w:val="20"/>
              </w:rPr>
              <w:t xml:space="preserve">Level 0</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EFC (Gatekeeper)</w:t>
            </w:r>
          </w:p>
        </w:tc>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C2P, O2O</w:t>
            </w:r>
          </w:p>
        </w:tc>
        <w:tc>
          <w:tcPr>
            <w:tcW w:type="dxa" w:w="3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CBRS spectrum clearance required for wireless</w:t>
            </w:r>
          </w:p>
        </w:tc>
      </w:tr>
      <w:tr>
        <w:tc>
          <w:tcPr>
            <w:tcW w:type="dxa" w:w="1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FFC107"/>
                <w:sz w:val="20"/>
                <w:szCs w:val="20"/>
              </w:rPr>
              <w:t xml:space="preserve">Level 1</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FTR, HAWKEYE</w:t>
            </w:r>
          </w:p>
        </w:tc>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WiFi, IVRS, SVS, IR_TECH</w:t>
            </w:r>
          </w:p>
        </w:tc>
        <w:tc>
          <w:tcPr>
            <w:tcW w:type="dxa" w:w="3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Network backbone and video infrastructure</w:t>
            </w:r>
          </w:p>
        </w:tc>
      </w:tr>
      <w:tr>
        <w:tc>
          <w:tcPr>
            <w:tcW w:type="dxa" w:w="1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Level 2</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WiFi</w:t>
            </w:r>
          </w:p>
        </w:tc>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SVS</w:t>
            </w:r>
          </w:p>
        </w:tc>
        <w:tc>
          <w:tcPr>
            <w:tcW w:type="dxa" w:w="3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Tablet connectivity dependency</w:t>
            </w:r>
          </w:p>
        </w:tc>
      </w:tr>
      <w:tr>
        <w:tc>
          <w:tcPr>
            <w:tcW w:type="dxa" w:w="1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Level 3</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C2P, SVS, IVRS, O2O</w:t>
            </w:r>
          </w:p>
        </w:tc>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Operational systems (depend on above)</w:t>
            </w:r>
          </w:p>
        </w:tc>
      </w:tr>
      <w:tr>
        <w:tc>
          <w:tcPr>
            <w:tcW w:type="dxa" w:w="1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Level 4</w:t>
            </w:r>
          </w:p>
        </w:tc>
        <w:tc>
          <w:tcPr>
            <w:tcW w:type="dxa" w:w="2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IR_TECH</w:t>
            </w:r>
          </w:p>
        </w:tc>
        <w:tc>
          <w:tcPr>
            <w:tcW w:type="dxa" w:w="25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Integration layer (depends on HAWKEYE)</w:t>
            </w:r>
          </w:p>
        </w:tc>
      </w:tr>
    </w:tbl>
    <w:p>
      <w:r>
        <w:br w:type="page"/>
      </w:r>
    </w:p>
    <w:p>
      <w:pPr>
        <w:pStyle w:val="Heading1"/>
      </w:pPr>
      <w:r>
        <w:t xml:space="preserve">9. Executive Value Proposition</w:t>
      </w:r>
    </w:p>
    <w:p>
      <w:pPr>
        <w:pStyle w:val="Heading2"/>
      </w:pPr>
      <w:r>
        <w:t xml:space="preserve">9.1 Operational Transformation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Current State</w:t>
            </w:r>
          </w:p>
        </w:tc>
        <w:tc>
          <w:tcPr>
            <w:tcW w:type="dxa" w:w="318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Target State</w:t>
            </w:r>
          </w:p>
        </w:tc>
      </w:tr>
      <w:tr>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Coordination Method</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Manual Google Sheets</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28A745"/>
                <w:sz w:val="20"/>
                <w:szCs w:val="20"/>
              </w:rPr>
              <w:t xml:space="preserve">Automated Orchestration</w:t>
            </w:r>
          </w:p>
        </w:tc>
      </w:tr>
      <w:tr>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Evidence Capture</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Fragmented WhatsApp</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28A745"/>
                <w:sz w:val="20"/>
                <w:szCs w:val="20"/>
              </w:rPr>
              <w:t xml:space="preserve">Governed Workflows</w:t>
            </w:r>
          </w:p>
        </w:tc>
      </w:tr>
      <w:tr>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GDA Conflict Rate</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DC3545"/>
                <w:sz w:val="20"/>
                <w:szCs w:val="20"/>
              </w:rPr>
              <w:t xml:space="preserve">12-18 per Sunday</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28A745"/>
                <w:sz w:val="20"/>
                <w:szCs w:val="20"/>
              </w:rPr>
              <w:t xml:space="preserve">Zero conflicts</w:t>
            </w:r>
          </w:p>
        </w:tc>
      </w:tr>
      <w:tr>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Executive Visibility</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Ad-hoc reporting</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28A745"/>
                <w:sz w:val="20"/>
                <w:szCs w:val="20"/>
              </w:rPr>
              <w:t xml:space="preserve">Real-time dashboards</w:t>
            </w:r>
          </w:p>
        </w:tc>
      </w:tr>
      <w:tr>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Task Completion Rate</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~95%</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28A745"/>
                <w:sz w:val="20"/>
                <w:szCs w:val="20"/>
              </w:rPr>
              <w:t xml:space="preserve">&gt;99%</w:t>
            </w:r>
          </w:p>
        </w:tc>
      </w:tr>
      <w:tr>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00000"/>
                <w:sz w:val="20"/>
                <w:szCs w:val="20"/>
              </w:rPr>
              <w:t xml:space="preserve">Incident Response Time</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~15 minutes</w:t>
            </w:r>
          </w:p>
        </w:tc>
        <w:tc>
          <w:tcPr>
            <w:tcW w:type="dxa" w:w="31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28A745"/>
                <w:sz w:val="20"/>
                <w:szCs w:val="20"/>
              </w:rPr>
              <w:t xml:space="preserve">&lt;5 minutes</w:t>
            </w:r>
          </w:p>
        </w:tc>
      </w:tr>
    </w:tbl>
    <w:p>
      <w:pPr>
        <w:pStyle w:val="Heading2"/>
      </w:pPr>
      <w:r>
        <w:t xml:space="preserve">9.2 Projected Annual ROI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Value Category</w:t>
            </w:r>
          </w:p>
        </w:tc>
        <w:tc>
          <w:tcPr>
            <w:tcW w:type="dxa" w:w="234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Estimated Value</w:t>
            </w:r>
          </w:p>
        </w:tc>
        <w:tc>
          <w:tcPr>
            <w:tcW w:type="dxa" w:w="234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Confidence</w:t>
            </w:r>
          </w:p>
        </w:tc>
      </w:tr>
      <w:tr>
        <w:tc>
          <w:tcPr>
            <w:tcW w:type="dxa" w:w="46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Operational Efficiency Gains</w:t>
            </w:r>
          </w:p>
        </w:tc>
        <w:tc>
          <w:tcPr>
            <w:tcW w:type="dxa" w:w="2340"/>
            <w:tcBorders>
              <w:top w:val="single" w:color="CCCCCC" w:sz="1"/>
              <w:left w:val="single" w:color="CCCCCC" w:sz="1"/>
              <w:bottom w:val="single" w:color="CCCCCC" w:sz="1"/>
              <w:right w:val="single" w:color="CCCCCC" w:sz="1"/>
            </w:tcBorders>
          </w:tcPr>
          <w:p>
            <w:pPr>
              <w:spacing w:before="40" w:after="40"/>
              <w:jc w:val="right"/>
            </w:pPr>
            <w:r>
              <w:rPr>
                <w:rFonts w:ascii="Arial" w:cs="Arial" w:eastAsia="Arial" w:hAnsi="Arial"/>
                <w:b/>
                <w:bCs/>
                <w:color w:val="000000"/>
                <w:sz w:val="20"/>
                <w:szCs w:val="20"/>
              </w:rPr>
              <w:t xml:space="preserve">$1,200,000</w:t>
            </w:r>
          </w:p>
        </w:tc>
        <w:tc>
          <w:tcPr>
            <w:tcW w:type="dxa" w:w="234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HIGH</w:t>
            </w:r>
          </w:p>
        </w:tc>
      </w:tr>
      <w:tr>
        <w:tc>
          <w:tcPr>
            <w:tcW w:type="dxa" w:w="46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Risk Mitigation (avoided incidents)</w:t>
            </w:r>
          </w:p>
        </w:tc>
        <w:tc>
          <w:tcPr>
            <w:tcW w:type="dxa" w:w="2340"/>
            <w:tcBorders>
              <w:top w:val="single" w:color="CCCCCC" w:sz="1"/>
              <w:left w:val="single" w:color="CCCCCC" w:sz="1"/>
              <w:bottom w:val="single" w:color="CCCCCC" w:sz="1"/>
              <w:right w:val="single" w:color="CCCCCC" w:sz="1"/>
            </w:tcBorders>
          </w:tcPr>
          <w:p>
            <w:pPr>
              <w:spacing w:before="40" w:after="40"/>
              <w:jc w:val="right"/>
            </w:pPr>
            <w:r>
              <w:rPr>
                <w:rFonts w:ascii="Arial" w:cs="Arial" w:eastAsia="Arial" w:hAnsi="Arial"/>
                <w:b/>
                <w:bCs/>
                <w:color w:val="000000"/>
                <w:sz w:val="20"/>
                <w:szCs w:val="20"/>
              </w:rPr>
              <w:t xml:space="preserve">$800,000</w:t>
            </w:r>
          </w:p>
        </w:tc>
        <w:tc>
          <w:tcPr>
            <w:tcW w:type="dxa" w:w="234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MEDIUM</w:t>
            </w:r>
          </w:p>
        </w:tc>
      </w:tr>
      <w:tr>
        <w:tc>
          <w:tcPr>
            <w:tcW w:type="dxa" w:w="46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Compliance Automation</w:t>
            </w:r>
          </w:p>
        </w:tc>
        <w:tc>
          <w:tcPr>
            <w:tcW w:type="dxa" w:w="2340"/>
            <w:tcBorders>
              <w:top w:val="single" w:color="CCCCCC" w:sz="1"/>
              <w:left w:val="single" w:color="CCCCCC" w:sz="1"/>
              <w:bottom w:val="single" w:color="CCCCCC" w:sz="1"/>
              <w:right w:val="single" w:color="CCCCCC" w:sz="1"/>
            </w:tcBorders>
          </w:tcPr>
          <w:p>
            <w:pPr>
              <w:spacing w:before="40" w:after="40"/>
              <w:jc w:val="right"/>
            </w:pPr>
            <w:r>
              <w:rPr>
                <w:rFonts w:ascii="Arial" w:cs="Arial" w:eastAsia="Arial" w:hAnsi="Arial"/>
                <w:b/>
                <w:bCs/>
                <w:color w:val="000000"/>
                <w:sz w:val="20"/>
                <w:szCs w:val="20"/>
              </w:rPr>
              <w:t xml:space="preserve">$300,000</w:t>
            </w:r>
          </w:p>
        </w:tc>
        <w:tc>
          <w:tcPr>
            <w:tcW w:type="dxa" w:w="234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HIGH</w:t>
            </w:r>
          </w:p>
        </w:tc>
      </w:tr>
      <w:tr>
        <w:tc>
          <w:tcPr>
            <w:tcW w:type="dxa" w:w="46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Reduced Incident Response Costs</w:t>
            </w:r>
          </w:p>
        </w:tc>
        <w:tc>
          <w:tcPr>
            <w:tcW w:type="dxa" w:w="2340"/>
            <w:tcBorders>
              <w:top w:val="single" w:color="CCCCCC" w:sz="1"/>
              <w:left w:val="single" w:color="CCCCCC" w:sz="1"/>
              <w:bottom w:val="single" w:color="CCCCCC" w:sz="1"/>
              <w:right w:val="single" w:color="CCCCCC" w:sz="1"/>
            </w:tcBorders>
          </w:tcPr>
          <w:p>
            <w:pPr>
              <w:spacing w:before="40" w:after="40"/>
              <w:jc w:val="right"/>
            </w:pPr>
            <w:r>
              <w:rPr>
                <w:rFonts w:ascii="Arial" w:cs="Arial" w:eastAsia="Arial" w:hAnsi="Arial"/>
                <w:b/>
                <w:bCs/>
                <w:color w:val="000000"/>
                <w:sz w:val="20"/>
                <w:szCs w:val="20"/>
              </w:rPr>
              <w:t xml:space="preserve">$200,000</w:t>
            </w:r>
          </w:p>
        </w:tc>
        <w:tc>
          <w:tcPr>
            <w:tcW w:type="dxa" w:w="234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MEDIUM</w:t>
            </w:r>
          </w:p>
        </w:tc>
      </w:tr>
      <w:tr>
        <w:tc>
          <w:tcPr>
            <w:tcW w:type="dxa" w:w="468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bCs/>
                <w:color w:val="013369"/>
                <w:sz w:val="20"/>
                <w:szCs w:val="20"/>
              </w:rPr>
              <w:t xml:space="preserve">TOTAL ANNUAL VALUE</w:t>
            </w:r>
          </w:p>
        </w:tc>
        <w:tc>
          <w:tcPr>
            <w:tcW w:type="dxa" w:w="2340"/>
            <w:tcBorders>
              <w:top w:val="single" w:color="CCCCCC" w:sz="1"/>
              <w:left w:val="single" w:color="CCCCCC" w:sz="1"/>
              <w:bottom w:val="single" w:color="CCCCCC" w:sz="1"/>
              <w:right w:val="single" w:color="CCCCCC" w:sz="1"/>
            </w:tcBorders>
          </w:tcPr>
          <w:p>
            <w:pPr>
              <w:spacing w:before="40" w:after="40"/>
              <w:jc w:val="right"/>
            </w:pPr>
            <w:r>
              <w:rPr>
                <w:rFonts w:ascii="Arial" w:cs="Arial" w:eastAsia="Arial" w:hAnsi="Arial"/>
                <w:b/>
                <w:bCs/>
                <w:color w:val="28A745"/>
                <w:sz w:val="20"/>
                <w:szCs w:val="20"/>
              </w:rPr>
              <w:t xml:space="preserve">$2,500,000+</w:t>
            </w:r>
          </w:p>
        </w:tc>
        <w:tc>
          <w:tcPr>
            <w:tcW w:type="dxa" w:w="2340"/>
            <w:tcBorders>
              <w:top w:val="single" w:color="CCCCCC" w:sz="1"/>
              <w:left w:val="single" w:color="CCCCCC" w:sz="1"/>
              <w:bottom w:val="single" w:color="CCCCCC" w:sz="1"/>
              <w:right w:val="single" w:color="CCCCCC" w:sz="1"/>
            </w:tcBorders>
          </w:tcPr>
          <w:p>
            <w:pPr>
              <w:spacing w:before="40" w:after="40"/>
              <w:jc w:val="center"/>
            </w:pPr>
            <w:r>
              <w:rPr>
                <w:rFonts w:ascii="Arial" w:cs="Arial" w:eastAsia="Arial" w:hAnsi="Arial"/>
                <w:b w:val="false"/>
                <w:bCs w:val="false"/>
                <w:color w:val="000000"/>
                <w:sz w:val="20"/>
                <w:szCs w:val="20"/>
              </w:rPr>
              <w:t xml:space="preserve">—</w:t>
            </w:r>
          </w:p>
        </w:tc>
      </w:tr>
    </w:tbl>
    <w:p>
      <w:r>
        <w:br w:type="page"/>
      </w:r>
    </w:p>
    <w:p>
      <w:pPr>
        <w:pStyle w:val="Heading1"/>
      </w:pPr>
      <w:r>
        <w:t xml:space="preserve">10. POC Implementation Roadmap</w:t>
      </w:r>
    </w:p>
    <w:p>
      <w:pPr>
        <w:spacing w:after="200"/>
      </w:pPr>
      <w:r>
        <w:rPr>
          <w:rFonts w:ascii="Arial" w:cs="Arial" w:eastAsia="Arial" w:hAnsi="Arial"/>
          <w:sz w:val="22"/>
          <w:szCs w:val="22"/>
        </w:rPr>
        <w:t xml:space="preserve">The proof-of-concept implementation delivers a live game experience demonstrating the integrated IT EVERGAME platform capabilities using Claude, n8n, and Lovable.</w:t>
      </w:r>
    </w:p>
    <w:p>
      <w:pPr>
        <w:pStyle w:val="Heading2"/>
      </w:pPr>
      <w:r>
        <w:t xml:space="preserve">10.1 POC 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E3A5F" w:val="clear"/>
          </w:tcPr>
          <w:p>
            <w:pPr>
              <w:spacing w:before="60" w:after="60"/>
              <w:jc w:val="center"/>
            </w:pPr>
            <w:r>
              <w:rPr>
                <w:rFonts w:ascii="Arial" w:cs="Arial" w:eastAsia="Arial" w:hAnsi="Arial"/>
                <w:b/>
                <w:bCs/>
                <w:color w:val="FFFFFF"/>
                <w:sz w:val="20"/>
                <w:szCs w:val="20"/>
              </w:rPr>
              <w:t xml:space="preserve">Deliverable</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Venue Certification UI</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Lovable</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Interactive venue readiness tracker with VRI scoring</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IT EVERGAME Dashboard</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Lovable</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Season planning view with playbook registry</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GDA Readiness Interface</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Lovable (mobile)</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Task checklist with evidence capture</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360 Live Operations</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Lovable</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Real-time multi-venue status with game clock sync</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AI Assistant</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Claude</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Natural language queries on playbooks, status, recommendations</w:t>
            </w:r>
          </w:p>
        </w:tc>
      </w:tr>
      <w:tr>
        <w:tc>
          <w:tcPr>
            <w:tcW w:type="dxa" w:w="28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Automation Workflows</w:t>
            </w:r>
          </w:p>
        </w:tc>
        <w:tc>
          <w:tcPr>
            <w:tcW w:type="dxa" w:w="300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n8n</w:t>
            </w:r>
          </w:p>
        </w:tc>
        <w:tc>
          <w:tcPr>
            <w:tcW w:type="dxa" w:w="3560"/>
            <w:tcBorders>
              <w:top w:val="single" w:color="CCCCCC" w:sz="1"/>
              <w:left w:val="single" w:color="CCCCCC" w:sz="1"/>
              <w:bottom w:val="single" w:color="CCCCCC" w:sz="1"/>
              <w:right w:val="single" w:color="CCCCCC" w:sz="1"/>
            </w:tcBorders>
          </w:tcPr>
          <w:p>
            <w:pPr>
              <w:spacing w:before="40" w:after="40"/>
              <w:jc w:val="left"/>
            </w:pPr>
            <w:r>
              <w:rPr>
                <w:rFonts w:ascii="Arial" w:cs="Arial" w:eastAsia="Arial" w:hAnsi="Arial"/>
                <w:b w:val="false"/>
                <w:bCs w:val="false"/>
                <w:color w:val="000000"/>
                <w:sz w:val="20"/>
                <w:szCs w:val="20"/>
              </w:rPr>
              <w:t xml:space="preserve">Evidence routing, alert triggers, report generation</w:t>
            </w:r>
          </w:p>
        </w:tc>
      </w:tr>
    </w:tbl>
    <w:p>
      <w:pPr>
        <w:pStyle w:val="Heading2"/>
      </w:pPr>
      <w:r>
        <w:t xml:space="preserve">10.2 Live Game Demonstration Flow</w:t>
      </w:r>
    </w:p>
    <w:p>
      <w:pPr>
        <w:pStyle w:val="ListParagraph"/>
        <w:numPr>
          <w:ilvl w:val="0"/>
          <w:numId w:val="5"/>
        </w:numPr>
        <w:spacing w:after="80"/>
      </w:pPr>
      <w:r>
        <w:rPr>
          <w:rFonts w:ascii="Arial" w:cs="Arial" w:eastAsia="Arial" w:hAnsi="Arial"/>
          <w:b/>
          <w:bCs/>
          <w:sz w:val="22"/>
          <w:szCs w:val="22"/>
        </w:rPr>
        <w:t xml:space="preserve">Pre-Game (M1-M3): </w:t>
      </w:r>
      <w:r>
        <w:rPr>
          <w:rFonts w:ascii="Arial" w:cs="Arial" w:eastAsia="Arial" w:hAnsi="Arial"/>
          <w:sz w:val="22"/>
          <w:szCs w:val="22"/>
        </w:rPr>
        <w:t xml:space="preserve">NFL IT Lead views venue certification, reviews GDA assignments, monitors HAWKEYE setup</w:t>
      </w:r>
    </w:p>
    <w:p>
      <w:pPr>
        <w:pStyle w:val="ListParagraph"/>
        <w:numPr>
          <w:ilvl w:val="0"/>
          <w:numId w:val="5"/>
        </w:numPr>
        <w:spacing w:after="80"/>
      </w:pPr>
      <w:r>
        <w:rPr>
          <w:rFonts w:ascii="Arial" w:cs="Arial" w:eastAsia="Arial" w:hAnsi="Arial"/>
          <w:b/>
          <w:bCs/>
          <w:sz w:val="22"/>
          <w:szCs w:val="22"/>
        </w:rPr>
        <w:t xml:space="preserve">System Validation (M3): </w:t>
      </w:r>
      <w:r>
        <w:rPr>
          <w:rFonts w:ascii="Arial" w:cs="Arial" w:eastAsia="Arial" w:hAnsi="Arial"/>
          <w:sz w:val="22"/>
          <w:szCs w:val="22"/>
        </w:rPr>
        <w:t xml:space="preserve">GDAs check off tasks via mobile, evidence captured, EFC completes CBRS scan</w:t>
      </w:r>
    </w:p>
    <w:p>
      <w:pPr>
        <w:pStyle w:val="ListParagraph"/>
        <w:numPr>
          <w:ilvl w:val="0"/>
          <w:numId w:val="5"/>
        </w:numPr>
        <w:spacing w:after="80"/>
      </w:pPr>
      <w:r>
        <w:rPr>
          <w:rFonts w:ascii="Arial" w:cs="Arial" w:eastAsia="Arial" w:hAnsi="Arial"/>
          <w:b/>
          <w:bCs/>
          <w:sz w:val="22"/>
          <w:szCs w:val="22"/>
        </w:rPr>
        <w:t xml:space="preserve">Critical Gates (M4): </w:t>
      </w:r>
      <w:r>
        <w:rPr>
          <w:rFonts w:ascii="Arial" w:cs="Arial" w:eastAsia="Arial" w:hAnsi="Arial"/>
          <w:sz w:val="22"/>
          <w:szCs w:val="22"/>
        </w:rPr>
        <w:t xml:space="preserve">T-50m certifications in real-time, medical timeout GO/NO-GO visible, escalation alerts</w:t>
      </w:r>
    </w:p>
    <w:p>
      <w:pPr>
        <w:pStyle w:val="ListParagraph"/>
        <w:numPr>
          <w:ilvl w:val="0"/>
          <w:numId w:val="5"/>
        </w:numPr>
        <w:spacing w:after="80"/>
      </w:pPr>
      <w:r>
        <w:rPr>
          <w:rFonts w:ascii="Arial" w:cs="Arial" w:eastAsia="Arial" w:hAnsi="Arial"/>
          <w:b/>
          <w:bCs/>
          <w:sz w:val="22"/>
          <w:szCs w:val="22"/>
        </w:rPr>
        <w:t xml:space="preserve">Live Operations (M5): </w:t>
      </w:r>
      <w:r>
        <w:rPr>
          <w:rFonts w:ascii="Arial" w:cs="Arial" w:eastAsia="Arial" w:hAnsi="Arial"/>
          <w:sz w:val="22"/>
          <w:szCs w:val="22"/>
        </w:rPr>
        <w:t xml:space="preserve">360 Dashboard shows all systems GREEN, simulated incident triggers alert, resolution tracked</w:t>
      </w:r>
    </w:p>
    <w:p>
      <w:pPr>
        <w:pStyle w:val="ListParagraph"/>
        <w:numPr>
          <w:ilvl w:val="0"/>
          <w:numId w:val="5"/>
        </w:numPr>
        <w:spacing w:after="80"/>
      </w:pPr>
      <w:r>
        <w:rPr>
          <w:rFonts w:ascii="Arial" w:cs="Arial" w:eastAsia="Arial" w:hAnsi="Arial"/>
          <w:b/>
          <w:bCs/>
          <w:sz w:val="22"/>
          <w:szCs w:val="22"/>
        </w:rPr>
        <w:t xml:space="preserve">Post-Game (M6): </w:t>
      </w:r>
      <w:r>
        <w:rPr>
          <w:rFonts w:ascii="Arial" w:cs="Arial" w:eastAsia="Arial" w:hAnsi="Arial"/>
          <w:sz w:val="22"/>
          <w:szCs w:val="22"/>
        </w:rPr>
        <w:t xml:space="preserve">Evidence summary generated, GMS report auto-populated, lessons learned captured</w:t>
      </w:r>
    </w:p>
    <w:p>
      <w:pPr>
        <w:pStyle w:val="ListParagraph"/>
        <w:numPr>
          <w:ilvl w:val="0"/>
          <w:numId w:val="5"/>
        </w:numPr>
        <w:spacing w:after="120"/>
      </w:pPr>
      <w:r>
        <w:rPr>
          <w:rFonts w:ascii="Arial" w:cs="Arial" w:eastAsia="Arial" w:hAnsi="Arial"/>
          <w:b/>
          <w:bCs/>
          <w:sz w:val="22"/>
          <w:szCs w:val="22"/>
        </w:rPr>
        <w:t xml:space="preserve">AI Queries: </w:t>
      </w:r>
      <w:r>
        <w:rPr>
          <w:rFonts w:ascii="Arial" w:cs="Arial" w:eastAsia="Arial" w:hAnsi="Arial"/>
          <w:sz w:val="22"/>
          <w:szCs w:val="22"/>
        </w:rPr>
        <w:t xml:space="preserve">"Show venues at risk" | "What's blocking SVS?" | "Summarize IVRS status"</w:t>
      </w:r>
    </w:p>
    <w:p>
      <w:pPr>
        <w:spacing w:before="400"/>
      </w:pPr>
    </w:p>
    <w:p>
      <w:pPr>
        <w:spacing w:before="400"/>
        <w:jc w:val="center"/>
      </w:pPr>
      <w:r>
        <w:rPr>
          <w:rFonts w:ascii="Arial" w:cs="Arial" w:eastAsia="Arial" w:hAnsi="Arial"/>
          <w:color w:val="999999"/>
          <w:sz w:val="20"/>
          <w:szCs w:val="20"/>
        </w:rPr>
        <w:t xml:space="preserve">— End of Document —</w:t>
      </w:r>
    </w:p>
    <w:p>
      <w:pPr>
        <w:spacing w:before="100"/>
        <w:jc w:val="center"/>
      </w:pPr>
      <w:r>
        <w:rPr>
          <w:rFonts w:ascii="Arial" w:cs="Arial" w:eastAsia="Arial" w:hAnsi="Arial"/>
          <w:color w:val="013369"/>
          <w:sz w:val="18"/>
          <w:szCs w:val="18"/>
        </w:rPr>
        <w:t xml:space="preserve">NFL IT EVERGAME System Architecture v5.2 POC</w:t>
      </w:r>
    </w:p>
    <w:p>
      <w:pPr>
        <w:jc w:val="center"/>
      </w:pPr>
      <w:r>
        <w:rPr>
          <w:rFonts w:ascii="Arial" w:cs="Arial" w:eastAsia="Arial" w:hAnsi="Arial"/>
          <w:color w:val="666666"/>
          <w:sz w:val="18"/>
          <w:szCs w:val="18"/>
        </w:rPr>
        <w:t xml:space="preserve">Powered by Sentrais OS | NOVATELabs</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NFL Internal Use Only</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NFL IT EVERGAME System Architecture</w:t>
    </w:r>
    <w:r>
      <w:rPr>
        <w:rFonts w:ascii="Arial" w:cs="Arial" w:eastAsia="Arial" w:hAnsi="Arial"/>
        <w:color w:val="CCCCCC"/>
        <w:sz w:val="18"/>
        <w:szCs w:val="18"/>
      </w:rPr>
      <w:t xml:space="preserve">  |  </w:t>
    </w:r>
    <w:r>
      <w:rPr>
        <w:rFonts w:ascii="Arial" w:cs="Arial" w:eastAsia="Arial" w:hAnsi="Arial"/>
        <w:color w:val="013369"/>
        <w:sz w:val="18"/>
        <w:szCs w:val="18"/>
      </w:rPr>
      <w:t xml:space="preserve">v5.2 POC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6"/>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13369"/>
      <w:sz w:val="52"/>
      <w:szCs w:val="52"/>
    </w:rPr>
  </w:style>
  <w:style w:type="paragraph" w:styleId="Heading1">
    <w:name w:val="Heading 1"/>
    <w:basedOn w:val="Normal"/>
    <w:next w:val="Normal"/>
    <w:qFormat/>
    <w:pPr>
      <w:spacing w:before="300" w:after="120"/>
      <w:outlineLvl w:val="0"/>
    </w:pPr>
    <w:rPr>
      <w:rFonts w:ascii="Arial" w:cs="Arial" w:eastAsia="Arial" w:hAnsi="Arial"/>
      <w:b/>
      <w:bCs/>
      <w:color w:val="01336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D50A0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2025-12-10T02:35:45.777Z</dcterms:created>
  <dcterms:modified xsi:type="dcterms:W3CDTF">2025-12-10T02:35:45.778Z</dcterms:modified>
</cp:coreProperties>
</file>

<file path=docProps/custom.xml><?xml version="1.0" encoding="utf-8"?>
<Properties xmlns="http://schemas.openxmlformats.org/officeDocument/2006/custom-properties" xmlns:vt="http://schemas.openxmlformats.org/officeDocument/2006/docPropsVTypes"/>
</file>