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C"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SENTRAIS</w:t>
            </w:r>
          </w:p>
          <w:p>
            <w:pPr>
              <w:spacing w:before="100"/>
              <w:jc w:val="center"/>
            </w:pPr>
            <w:r>
              <w:rPr>
                <w:rFonts w:ascii="Arial" w:cs="Arial" w:eastAsia="Arial" w:hAnsi="Arial"/>
                <w:color w:val="3FA5A5"/>
                <w:sz w:val="24"/>
                <w:szCs w:val="24"/>
              </w:rPr>
              <w:t xml:space="preserve">Powered by NOVATE</w:t>
            </w:r>
          </w:p>
        </w:tc>
      </w:tr>
      <w:tr>
        <w:tc>
          <w:tcPr>
            <w:tcBorders>
              <w:top w:val="none" w:color="FFFFFF" w:sz="0"/>
              <w:left w:val="none" w:color="FFFFFF" w:sz="0"/>
              <w:bottom w:val="none" w:color="FFFFFF" w:sz="0"/>
              <w:right w:val="none" w:color="FFFFFF" w:sz="0"/>
            </w:tcBorders>
            <w:shd w:fill="2B5A8F" w:val="clear"/>
            <w:tcMar>
              <w:top w:type="dxa" w:w="300"/>
              <w:left w:type="dxa" w:w="400"/>
              <w:bottom w:type="dxa" w:w="300"/>
              <w:right w:type="dxa" w:w="400"/>
            </w:tcMar>
          </w:tcPr>
          <w:p>
            <w:pPr>
              <w:jc w:val="center"/>
            </w:pPr>
            <w:r>
              <w:rPr>
                <w:rFonts w:ascii="Arial" w:cs="Arial" w:eastAsia="Arial" w:hAnsi="Arial"/>
                <w:b/>
                <w:bCs/>
                <w:color w:val="FFFFFF"/>
                <w:sz w:val="36"/>
                <w:szCs w:val="36"/>
              </w:rPr>
              <w:t xml:space="preserve">NFL ARTIFICIAL INTELLIGENCE POLICY</w:t>
            </w:r>
          </w:p>
          <w:p>
            <w:pPr>
              <w:spacing w:before="150"/>
              <w:jc w:val="center"/>
            </w:pPr>
            <w:r>
              <w:rPr>
                <w:rFonts w:ascii="Arial" w:cs="Arial" w:eastAsia="Arial" w:hAnsi="Arial"/>
                <w:color w:val="F5F7FA"/>
                <w:sz w:val="26"/>
                <w:szCs w:val="26"/>
              </w:rPr>
              <w:t xml:space="preserve">Strategic Analysis &amp; EVERGAME Alignment Assessment</w:t>
            </w:r>
          </w:p>
        </w:tc>
      </w:tr>
      <w:tr>
        <w:tc>
          <w:tcPr>
            <w:tcBorders>
              <w:top w:val="none" w:color="FFFFFF" w:sz="0"/>
              <w:left w:val="none" w:color="FFFFFF" w:sz="0"/>
              <w:bottom w:val="none" w:color="FFFFFF" w:sz="0"/>
              <w:right w:val="none" w:color="FFFFFF" w:sz="0"/>
            </w:tcBorders>
            <w:shd w:fill="F5F7FA" w:val="clear"/>
            <w:tcMar>
              <w:top w:type="dxa" w:w="200"/>
              <w:left w:type="dxa" w:w="400"/>
              <w:bottom w:type="dxa" w:w="200"/>
              <w:right w:type="dxa" w:w="400"/>
            </w:tcMar>
          </w:tcPr>
          <w:p>
            <w:pPr>
              <w:jc w:val="center"/>
            </w:pPr>
            <w:r>
              <w:rPr>
                <w:color w:val="4A5568"/>
                <w:sz w:val="20"/>
                <w:szCs w:val="20"/>
              </w:rPr>
              <w:t xml:space="preserve">Document ID: </w:t>
            </w:r>
            <w:r>
              <w:rPr>
                <w:b/>
                <w:bCs/>
                <w:color w:val="1A2B4C"/>
                <w:sz w:val="20"/>
                <w:szCs w:val="20"/>
              </w:rPr>
              <w:t xml:space="preserve">SIPE-NFL-AIPOLICY-ANALYSIS-v1.0</w:t>
            </w:r>
          </w:p>
          <w:p>
            <w:pPr>
              <w:spacing w:before="100"/>
              <w:jc w:val="center"/>
            </w:pPr>
            <w:r>
              <w:rPr>
                <w:color w:val="4A5568"/>
                <w:sz w:val="20"/>
                <w:szCs w:val="20"/>
              </w:rPr>
              <w:t xml:space="preserve">Classification: </w:t>
            </w:r>
            <w:r>
              <w:rPr>
                <w:b/>
                <w:bCs/>
                <w:color w:val="2E8B8B"/>
                <w:sz w:val="20"/>
                <w:szCs w:val="20"/>
              </w:rPr>
              <w:t xml:space="preserve">NOVATE PROPRIETARY – CLIENT CONFIDENTIAL</w:t>
            </w:r>
          </w:p>
          <w:p>
            <w:pPr>
              <w:spacing w:before="100"/>
              <w:jc w:val="center"/>
            </w:pPr>
            <w:r>
              <w:rPr>
                <w:color w:val="4A5568"/>
                <w:sz w:val="20"/>
                <w:szCs w:val="20"/>
              </w:rPr>
              <w:t xml:space="preserve">Version: 1.0  |  January 2026</w:t>
            </w:r>
          </w:p>
        </w:tc>
      </w:tr>
    </w:tbl>
    <w:p>
      <w:r>
        <w:br w:type="page"/>
      </w:r>
    </w:p>
    <w:p>
      <w:pPr>
        <w:pStyle w:val="Heading1"/>
      </w:pPr>
      <w:r>
        <w:t xml:space="preserve">1. Executive Summary</w:t>
      </w:r>
    </w:p>
    <w:p>
      <w:pPr>
        <w:spacing w:after="200"/>
      </w:pPr>
      <w:r>
        <w:t xml:space="preserve">This analysis examines the NFL's Artificial Intelligence Policy (effective July 18, 2024) to identify strategic alignment opportunities with the EVERGAME Phase II implementation and ensure full compliance within our engagement framework. The policy establishes comprehensive governance structures that directly support NOVATE's evidence-based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8"/>
              <w:left w:val="single" w:color="2E8B8B" w:sz="8"/>
              <w:bottom w:val="single" w:color="2E8B8B" w:sz="8"/>
              <w:right w:val="single" w:color="2E8B8B" w:sz="8"/>
            </w:tcBorders>
            <w:shd w:fill="E8F4F4" w:val="clear"/>
            <w:tcMar>
              <w:top w:type="dxa" w:w="150"/>
              <w:left w:type="dxa" w:w="200"/>
              <w:bottom w:type="dxa" w:w="150"/>
              <w:right w:type="dxa" w:w="200"/>
            </w:tcMar>
          </w:tcPr>
          <w:p>
            <w:r>
              <w:rPr>
                <w:b/>
                <w:bCs/>
                <w:color w:val="2E8B8B"/>
                <w:sz w:val="22"/>
                <w:szCs w:val="22"/>
              </w:rPr>
              <w:t xml:space="preserve">KEY FINDING: </w:t>
            </w:r>
            <w:r>
              <w:rPr>
                <w:color w:val="4A5568"/>
                <w:sz w:val="22"/>
                <w:szCs w:val="22"/>
              </w:rPr>
              <w:t xml:space="preserve">The NFL AI Policy's emphasis on transparency, human oversight, continuous monitoring, and forensic documentation aligns exceptionally well with SIPE methodology and the EVERGAME platform architecture. Our existing compliance frameworks exceed several baseline policy requirements.</w:t>
            </w:r>
          </w:p>
        </w:tc>
      </w:tr>
    </w:tbl>
    <w:p>
      <w:pPr>
        <w:pStyle w:val="Heading2"/>
      </w:pPr>
      <w:r>
        <w:t xml:space="preserve">1.1 Policy Overview</w:t>
      </w:r>
    </w:p>
    <w:p>
      <w:pPr>
        <w:spacing w:after="150"/>
      </w:pPr>
      <w:r>
        <w:t xml:space="preserve">The NFL AI Policy governs the use of AI Systems across all NFL Entities and Personnel, establishing requirements for transparency, ethical use, data protection, and governance. Critical elements include the AI Steering Committee (cross-organizational oversight), AI Council (implementation and approval), and a comprehensive AI Agreements Checklist for third-party relationships.</w:t>
      </w:r>
    </w:p>
    <w:p>
      <w:pPr>
        <w:pStyle w:val="Heading2"/>
      </w:pPr>
      <w:r>
        <w:t xml:space="preserve">1.2 EVERGAME Relevance</w:t>
      </w:r>
    </w:p>
    <w:p>
      <w:pPr>
        <w:spacing w:after="200"/>
      </w:pPr>
      <w:r>
        <w:t xml:space="preserve">The EVERGAME platform, built on Sentrais technology, incorporates AI-powered capabilities for predictive analytics, compliance monitoring, and automated workflows. This policy analysis ensures our implementation approach satisfies all NFL requirements while leveraging AI responsibly to enhance IT Game Day operations.</w:t>
      </w:r>
    </w:p>
    <w:p>
      <w:pPr>
        <w:pStyle w:val="Heading1"/>
      </w:pPr>
      <w:r>
        <w:t xml:space="preserve">2. Policy Analysis</w:t>
      </w:r>
    </w:p>
    <w:p>
      <w:pPr>
        <w:pStyle w:val="Heading2"/>
      </w:pPr>
      <w:r>
        <w:t xml:space="preserve">2.1 Core Policy Principles</w:t>
      </w:r>
    </w:p>
    <w:p>
      <w:pPr>
        <w:spacing w:after="150"/>
      </w:pPr>
      <w:r>
        <w:t xml:space="preserve">The NFL AI Policy establishes seven foundational principles that govern all AI usage. Our analysis maps each principle to EVERGAME implementation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1A2B4C" w:sz="1"/>
              <w:left w:val="single" w:color="1A2B4C" w:sz="1"/>
              <w:bottom w:val="single" w:color="1A2B4C" w:sz="1"/>
              <w:right w:val="single" w:color="1A2B4C" w:sz="1"/>
            </w:tcBorders>
            <w:shd w:fill="1A2B4C" w:val="clear"/>
            <w:tcMar>
              <w:top w:type="dxa" w:w="80"/>
              <w:left w:type="dxa" w:w="120"/>
              <w:bottom w:type="dxa" w:w="80"/>
              <w:right w:type="dxa" w:w="120"/>
            </w:tcMar>
          </w:tcPr>
          <w:p>
            <w:r>
              <w:rPr>
                <w:b/>
                <w:bCs/>
                <w:color w:val="FFFFFF"/>
                <w:sz w:val="20"/>
                <w:szCs w:val="20"/>
              </w:rPr>
              <w:t xml:space="preserve">PRINCIPLE</w:t>
            </w:r>
          </w:p>
        </w:tc>
        <w:tc>
          <w:tcPr>
            <w:tcBorders>
              <w:top w:val="single" w:color="1A2B4C" w:sz="1"/>
              <w:left w:val="single" w:color="1A2B4C" w:sz="1"/>
              <w:bottom w:val="single" w:color="1A2B4C" w:sz="1"/>
              <w:right w:val="single" w:color="1A2B4C" w:sz="1"/>
            </w:tcBorders>
            <w:shd w:fill="1A2B4C" w:val="clear"/>
            <w:tcMar>
              <w:top w:type="dxa" w:w="80"/>
              <w:left w:type="dxa" w:w="120"/>
              <w:bottom w:type="dxa" w:w="80"/>
              <w:right w:type="dxa" w:w="120"/>
            </w:tcMar>
          </w:tcPr>
          <w:p>
            <w:r>
              <w:rPr>
                <w:b/>
                <w:bCs/>
                <w:color w:val="FFFFFF"/>
                <w:sz w:val="20"/>
                <w:szCs w:val="20"/>
              </w:rPr>
              <w:t xml:space="preserve">NFL REQUIREMENT</w:t>
            </w:r>
          </w:p>
        </w:tc>
        <w:tc>
          <w:tcPr>
            <w:tcBorders>
              <w:top w:val="single" w:color="1A2B4C" w:sz="1"/>
              <w:left w:val="single" w:color="1A2B4C" w:sz="1"/>
              <w:bottom w:val="single" w:color="1A2B4C" w:sz="1"/>
              <w:right w:val="single" w:color="1A2B4C" w:sz="1"/>
            </w:tcBorders>
            <w:shd w:fill="1A2B4C" w:val="clear"/>
            <w:tcMar>
              <w:top w:type="dxa" w:w="80"/>
              <w:left w:type="dxa" w:w="120"/>
              <w:bottom w:type="dxa" w:w="80"/>
              <w:right w:type="dxa" w:w="120"/>
            </w:tcMar>
          </w:tcPr>
          <w:p>
            <w:r>
              <w:rPr>
                <w:b/>
                <w:bCs/>
                <w:color w:val="FFFFFF"/>
                <w:sz w:val="20"/>
                <w:szCs w:val="20"/>
              </w:rPr>
              <w:t xml:space="preserve">EVERGAME ALIGNMENT</w:t>
            </w:r>
          </w:p>
        </w:tc>
      </w:tr>
      <w:tr>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18"/>
                <w:szCs w:val="18"/>
              </w:rPr>
              <w:t xml:space="preserve">Transparency</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Training on AI inputs, outputs, and decision-making processes</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Sentrais Evidence Ledger provides full audit trail; GDA training curriculum includes AI component education</w:t>
            </w:r>
          </w:p>
        </w:tc>
      </w:tr>
      <w:tr>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18"/>
                <w:szCs w:val="18"/>
              </w:rPr>
              <w:t xml:space="preserve">Human Oversight</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AI augments, not replaces, human decision-making</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All EVERGAME workflows require human validation at Stage Gates; no autonomous critical decisions</w:t>
            </w:r>
          </w:p>
        </w:tc>
      </w:tr>
      <w:tr>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18"/>
                <w:szCs w:val="18"/>
              </w:rPr>
              <w:t xml:space="preserve">Ethical Use</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Prevent bias, discrimination, and harm</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Platform design reviewed for fairness; no demographic-based automated decisions</w:t>
            </w:r>
          </w:p>
        </w:tc>
      </w:tr>
      <w:tr>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18"/>
                <w:szCs w:val="18"/>
              </w:rPr>
              <w:t xml:space="preserve">Continuous Monitoring</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Regular audits, model reviews, corrective actions</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SIPE continuous monitoring dashboards; quarterly compliance reviews built into engagement</w:t>
            </w:r>
          </w:p>
        </w:tc>
      </w:tr>
      <w:tr>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18"/>
                <w:szCs w:val="18"/>
              </w:rPr>
              <w:t xml:space="preserve">Legal Compliance</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Adhere to data privacy, security, and copyright laws</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SOC 2, GDPR, and CCPA compliance frameworks embedded in Sentrais architecture</w:t>
            </w:r>
          </w:p>
        </w:tc>
      </w:tr>
      <w:tr>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b/>
                <w:bCs/>
                <w:color w:val="1A2B4C"/>
                <w:sz w:val="18"/>
                <w:szCs w:val="18"/>
              </w:rPr>
              <w:t xml:space="preserve">Incident Reporting</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Prompt reporting to AI Council</w:t>
            </w:r>
          </w:p>
        </w:tc>
        <w:tc>
          <w:tcPr>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r>
              <w:rPr>
                <w:color w:val="4A5568"/>
                <w:sz w:val="18"/>
                <w:szCs w:val="18"/>
              </w:rPr>
              <w:t xml:space="preserve">Automated incident flagging with escalation protocols; direct integration pathway available</w:t>
            </w:r>
          </w:p>
        </w:tc>
      </w:tr>
      <w:tr>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b/>
                <w:bCs/>
                <w:color w:val="1A2B4C"/>
                <w:sz w:val="18"/>
                <w:szCs w:val="18"/>
              </w:rPr>
              <w:t xml:space="preserve">Prohibited Uses</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No passwords, API keys, or restricted data</w:t>
            </w:r>
          </w:p>
        </w:tc>
        <w:tc>
          <w:tcPr>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r>
              <w:rPr>
                <w:color w:val="4A5568"/>
                <w:sz w:val="18"/>
                <w:szCs w:val="18"/>
              </w:rPr>
              <w:t xml:space="preserve">Credential isolation architecture; input validation prevents prohibited data entry</w:t>
            </w:r>
          </w:p>
        </w:tc>
      </w:tr>
    </w:tbl>
    <w:p>
      <w:pPr>
        <w:pStyle w:val="Heading2"/>
        <w:spacing w:before="300"/>
      </w:pPr>
      <w:r>
        <w:t xml:space="preserve">2.2 Governance Structure</w:t>
      </w:r>
    </w:p>
    <w:p>
      <w:pPr>
        <w:spacing w:after="150"/>
      </w:pPr>
      <w:r>
        <w:t xml:space="preserve">The NFL has established a two-tier governance model requiring engagement at both strategic and operational levels:</w:t>
      </w:r>
    </w:p>
    <w:p>
      <w:pPr>
        <w:pStyle w:val="ListParagraph"/>
        <w:numPr>
          <w:ilvl w:val="0"/>
          <w:numId w:val="2"/>
        </w:numPr>
        <w:spacing w:after="100"/>
      </w:pPr>
      <w:r>
        <w:rPr>
          <w:b/>
          <w:bCs/>
        </w:rPr>
        <w:t xml:space="preserve">AI Steering Committee: </w:t>
      </w:r>
      <w:r>
        <w:t xml:space="preserve">Cross-organizational stakeholders including Business Development, Compliance, Data &amp; Analytics, Football Operations, Information Security, IT, Privacy, Sponsorship, Consumer Products, Media, and Legal. Conducts policy reviews and provides executive updates.</w:t>
      </w:r>
    </w:p>
    <w:p>
      <w:pPr>
        <w:pStyle w:val="ListParagraph"/>
        <w:numPr>
          <w:ilvl w:val="0"/>
          <w:numId w:val="2"/>
        </w:numPr>
        <w:spacing w:after="100"/>
      </w:pPr>
      <w:r>
        <w:rPr>
          <w:b/>
          <w:bCs/>
        </w:rPr>
        <w:t xml:space="preserve">AI Council: </w:t>
      </w:r>
      <w:r>
        <w:t xml:space="preserve">Implementation body responsible for approval processes, review oversight, and external expert consultation. Contact: NFLAICouncil@nfl.com</w:t>
      </w:r>
    </w:p>
    <w:p>
      <w:pPr>
        <w:pStyle w:val="Heading2"/>
      </w:pPr>
      <w:r>
        <w:t xml:space="preserve">2.3 Prohibited Uses</w:t>
      </w:r>
    </w:p>
    <w:p>
      <w:pPr>
        <w:spacing w:after="150"/>
      </w:pPr>
      <w:r>
        <w:t xml:space="preserve">The policy explicitly prohibits input of the following into any AI System:</w:t>
      </w:r>
    </w:p>
    <w:p>
      <w:pPr>
        <w:pStyle w:val="ListParagraph"/>
        <w:numPr>
          <w:ilvl w:val="0"/>
          <w:numId w:val="2"/>
        </w:numPr>
        <w:spacing w:after="80"/>
      </w:pPr>
      <w:r>
        <w:t xml:space="preserve">Passwords, API keys, or system access credentials</w:t>
      </w:r>
    </w:p>
    <w:p>
      <w:pPr>
        <w:pStyle w:val="ListParagraph"/>
        <w:numPr>
          <w:ilvl w:val="0"/>
          <w:numId w:val="2"/>
        </w:numPr>
        <w:spacing w:after="80"/>
      </w:pPr>
      <w:r>
        <w:t xml:space="preserve">Any information designated as prohibited by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8"/>
              <w:left w:val="single" w:color="2E8B8B" w:sz="8"/>
              <w:bottom w:val="single" w:color="2E8B8B" w:sz="8"/>
              <w:right w:val="single" w:color="2E8B8B" w:sz="8"/>
            </w:tcBorders>
            <w:shd w:fill="E8F4F4" w:val="clear"/>
            <w:tcMar>
              <w:top w:type="dxa" w:w="150"/>
              <w:left w:type="dxa" w:w="200"/>
              <w:bottom w:type="dxa" w:w="150"/>
              <w:right w:type="dxa" w:w="200"/>
            </w:tcMar>
          </w:tcPr>
          <w:p>
            <w:r>
              <w:rPr>
                <w:b/>
                <w:bCs/>
                <w:color w:val="2E8B8B"/>
                <w:sz w:val="22"/>
                <w:szCs w:val="22"/>
              </w:rPr>
              <w:t xml:space="preserve">EVERGAME COMPLIANCE: </w:t>
            </w:r>
            <w:r>
              <w:rPr>
                <w:color w:val="4A5568"/>
                <w:sz w:val="22"/>
                <w:szCs w:val="22"/>
              </w:rPr>
              <w:t xml:space="preserve">The EVERGAME platform architecture inherently prevents prohibited data entry through role-based access controls, input validation layers, and credential management systems that operate independently of AI components.</w:t>
            </w:r>
          </w:p>
        </w:tc>
      </w:tr>
    </w:tbl>
    <w:p>
      <w:r>
        <w:br w:type="page"/>
      </w:r>
    </w:p>
    <w:p>
      <w:pPr>
        <w:pStyle w:val="Heading1"/>
      </w:pPr>
      <w:r>
        <w:t xml:space="preserve">3. Strategic Alignment Assessment</w:t>
      </w:r>
    </w:p>
    <w:p>
      <w:pPr>
        <w:pStyle w:val="Heading2"/>
      </w:pPr>
      <w:r>
        <w:t xml:space="preserve">3.1 SIPE Methodology Convergence</w:t>
      </w:r>
    </w:p>
    <w:p>
      <w:pPr>
        <w:spacing w:after="150"/>
      </w:pPr>
      <w:r>
        <w:t xml:space="preserve">The NFL AI Policy's emphasis on evidence-based governance directly mirrors SIPE's forensic documentation standards. Key convergence points include:</w:t>
      </w:r>
    </w:p>
    <w:p>
      <w:pPr>
        <w:pStyle w:val="ListParagraph"/>
        <w:numPr>
          <w:ilvl w:val="0"/>
          <w:numId w:val="2"/>
        </w:numPr>
        <w:spacing w:after="100"/>
      </w:pPr>
      <w:r>
        <w:rPr>
          <w:b/>
          <w:bCs/>
        </w:rPr>
        <w:t xml:space="preserve">Evidence Ledger Integration: </w:t>
      </w:r>
      <w:r>
        <w:t xml:space="preserve">The policy's requirement for documented decision-making processes aligns with SIPE's immutable audit trail architecture, providing the transparency and traceability demanded by the AI Council.</w:t>
      </w:r>
    </w:p>
    <w:p>
      <w:pPr>
        <w:pStyle w:val="ListParagraph"/>
        <w:numPr>
          <w:ilvl w:val="0"/>
          <w:numId w:val="2"/>
        </w:numPr>
        <w:spacing w:after="100"/>
      </w:pPr>
      <w:r>
        <w:rPr>
          <w:b/>
          <w:bCs/>
        </w:rPr>
        <w:t xml:space="preserve">Stage Gate Validation: </w:t>
      </w:r>
      <w:r>
        <w:t xml:space="preserve">The policy's human oversight requirements are inherently satisfied by SIPE's Stage Gate approval process, ensuring no AI-driven decision advances without executive sign-off.</w:t>
      </w:r>
    </w:p>
    <w:p>
      <w:pPr>
        <w:pStyle w:val="ListParagraph"/>
        <w:numPr>
          <w:ilvl w:val="0"/>
          <w:numId w:val="2"/>
        </w:numPr>
        <w:spacing w:after="100"/>
      </w:pPr>
      <w:r>
        <w:rPr>
          <w:b/>
          <w:bCs/>
        </w:rPr>
        <w:t xml:space="preserve">360 Modeling Framework: </w:t>
      </w:r>
      <w:r>
        <w:t xml:space="preserve">Our comprehensive diagnostic approach examining Strategic, Operational, Technical, Cultural, Financial, and Ecosystem dimensions ensures AI implementation considers all policy-relevant factors.</w:t>
      </w:r>
    </w:p>
    <w:p>
      <w:pPr>
        <w:pStyle w:val="Heading2"/>
      </w:pPr>
      <w:r>
        <w:t xml:space="preserve">3.2 AI Agreements Checklist Compliance</w:t>
      </w:r>
    </w:p>
    <w:p>
      <w:pPr>
        <w:spacing w:after="150"/>
      </w:pPr>
      <w:r>
        <w:t xml:space="preserve">The NFL AI Policy's Annex I establishes 15 mandatory checklist items for AI Agreements. Our analysis indicates EVERGAME satisfies all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CHECKLIST ITEM</w:t>
            </w:r>
          </w:p>
        </w:tc>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REQUIREMENT</w:t>
            </w:r>
          </w:p>
        </w:tc>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pPr>
              <w:jc w:val="center"/>
            </w:pPr>
            <w:r>
              <w:rPr>
                <w:b/>
                <w:bCs/>
                <w:color w:val="FFFFFF"/>
                <w:sz w:val="18"/>
                <w:szCs w:val="18"/>
              </w:rPr>
              <w:t xml:space="preserve">STATUS</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Scope of Use</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Valid license for intended use</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AI Standards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Ethical, responsible AI principles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Validation Testing</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Verification and validation processes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Regulatory Compliance</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Current and future AI law compliance</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Ethics &amp; Bias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Design to avoid harmful outputs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IP Protections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Third-party rights compliance</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AI Governance</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Policies, controls, kill switch</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Proprietary Rights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Training, input, output, model ownership</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Liability &amp; Indemnification</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Broad indemnity obligations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Data Privacy</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Data processing agreements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Data Security</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Technical/administrative measures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Insurance</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Appropriate coverage policies</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Audit Rights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Performance and compliance audits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2E8B8B"/>
                <w:sz w:val="18"/>
                <w:szCs w:val="18"/>
              </w:rPr>
              <w:t xml:space="preserve">✓</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b/>
                <w:bCs/>
                <w:color w:val="1A2B4C"/>
                <w:sz w:val="16"/>
                <w:szCs w:val="16"/>
              </w:rPr>
              <w:t xml:space="preserve">Player Data</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6"/>
                <w:szCs w:val="16"/>
              </w:rPr>
              <w:t xml:space="preserve">Policy and agreement compliance</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4A5568"/>
                <w:sz w:val="18"/>
                <w:szCs w:val="18"/>
              </w:rPr>
              <w:t xml:space="preserve">N/A*</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b/>
                <w:bCs/>
                <w:color w:val="1A2B4C"/>
                <w:sz w:val="16"/>
                <w:szCs w:val="16"/>
              </w:rPr>
              <w:t xml:space="preserve">Sports Betting</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6"/>
                <w:szCs w:val="16"/>
              </w:rPr>
              <w:t xml:space="preserve">NFL Gambling Policy compliance</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4A5568"/>
                <w:sz w:val="18"/>
                <w:szCs w:val="18"/>
              </w:rPr>
              <w:t xml:space="preserve">N/A*</w:t>
            </w:r>
          </w:p>
        </w:tc>
      </w:tr>
    </w:tbl>
    <w:p>
      <w:pPr>
        <w:pStyle w:val="Heading2"/>
        <w:spacing w:before="300"/>
      </w:pPr>
      <w:r>
        <w:t xml:space="preserve">3.3 Football Operations Exclusion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8B" w:sz="8"/>
              <w:left w:val="single" w:color="2E8B8B" w:sz="8"/>
              <w:bottom w:val="single" w:color="2E8B8B" w:sz="8"/>
              <w:right w:val="single" w:color="2E8B8B" w:sz="8"/>
            </w:tcBorders>
            <w:shd w:fill="E8F4F4" w:val="clear"/>
            <w:tcMar>
              <w:top w:type="dxa" w:w="150"/>
              <w:left w:type="dxa" w:w="200"/>
              <w:bottom w:type="dxa" w:w="150"/>
              <w:right w:type="dxa" w:w="200"/>
            </w:tcMar>
          </w:tcPr>
          <w:p>
            <w:r>
              <w:rPr>
                <w:b/>
                <w:bCs/>
                <w:color w:val="2E8B8B"/>
                <w:sz w:val="22"/>
                <w:szCs w:val="22"/>
              </w:rPr>
              <w:t xml:space="preserve">IMPORTANT NOTE: </w:t>
            </w:r>
            <w:r>
              <w:rPr>
                <w:color w:val="4A5568"/>
                <w:sz w:val="22"/>
                <w:szCs w:val="22"/>
              </w:rPr>
              <w:t xml:space="preserve">The policy explicitly excludes AI Systems related to football operations (game day and non-game day applications like scouting, game modeling) from AI Council review processes. However, the EVERGAME platform focuses on IT operations and compliance—not football operations—and therefore falls within the scope of required AI Council review and approval.</w:t>
            </w:r>
          </w:p>
        </w:tc>
      </w:tr>
    </w:tbl>
    <w:p>
      <w:pPr>
        <w:pStyle w:val="Heading1"/>
      </w:pPr>
      <w:r>
        <w:t xml:space="preserve">4. Strategic Recommendations</w:t>
      </w:r>
    </w:p>
    <w:p>
      <w:pPr>
        <w:pStyle w:val="Heading2"/>
      </w:pPr>
      <w:r>
        <w:t xml:space="preserve">4.1 Pre-Engagement Actions</w:t>
      </w:r>
    </w:p>
    <w:p>
      <w:pPr>
        <w:spacing w:after="150"/>
      </w:pPr>
      <w:r>
        <w:t xml:space="preserve">Based on our policy analysis, NOVATE recommends the following actions prior to Phase II kickoff:</w:t>
      </w:r>
    </w:p>
    <w:p>
      <w:pPr>
        <w:pStyle w:val="ListParagraph"/>
        <w:numPr>
          <w:ilvl w:val="0"/>
          <w:numId w:val="3"/>
        </w:numPr>
        <w:spacing w:after="100"/>
      </w:pPr>
      <w:r>
        <w:rPr>
          <w:b/>
          <w:bCs/>
        </w:rPr>
        <w:t xml:space="preserve">AI Council Intake Submission: </w:t>
      </w:r>
      <w:r>
        <w:t xml:space="preserve">Complete and submit the ServiceNow AI Intake questionnaire for EVERGAME Phase II, documenting all AI System components, data usage, and third-party integrations.</w:t>
      </w:r>
    </w:p>
    <w:p>
      <w:pPr>
        <w:pStyle w:val="ListParagraph"/>
        <w:numPr>
          <w:ilvl w:val="0"/>
          <w:numId w:val="3"/>
        </w:numPr>
        <w:spacing w:after="100"/>
      </w:pPr>
      <w:r>
        <w:rPr>
          <w:b/>
          <w:bCs/>
        </w:rPr>
        <w:t xml:space="preserve">Agreement Review: </w:t>
      </w:r>
      <w:r>
        <w:t xml:space="preserve">Submit proposed EVERGAME agreements to NFLAICouncil@nfl.com for review prior to contract execution, ensuring all Annex I checklist items are addressed.</w:t>
      </w:r>
    </w:p>
    <w:p>
      <w:pPr>
        <w:pStyle w:val="ListParagraph"/>
        <w:numPr>
          <w:ilvl w:val="0"/>
          <w:numId w:val="3"/>
        </w:numPr>
        <w:spacing w:after="100"/>
      </w:pPr>
      <w:r>
        <w:rPr>
          <w:b/>
          <w:bCs/>
        </w:rPr>
        <w:t xml:space="preserve">AI Component Documentation: </w:t>
      </w:r>
      <w:r>
        <w:t xml:space="preserve">Prepare comprehensive documentation of all AI/ML components within the Sentrais platform, including model architectures, training data sources, and decision-making processes.</w:t>
      </w:r>
    </w:p>
    <w:p>
      <w:pPr>
        <w:pStyle w:val="ListParagraph"/>
        <w:numPr>
          <w:ilvl w:val="0"/>
          <w:numId w:val="3"/>
        </w:numPr>
        <w:spacing w:after="100"/>
      </w:pPr>
      <w:r>
        <w:rPr>
          <w:b/>
          <w:bCs/>
        </w:rPr>
        <w:t xml:space="preserve">GDA Training Curriculum: </w:t>
      </w:r>
      <w:r>
        <w:t xml:space="preserve">Develop AI-specific training modules for GDAs that explain how AI components work within EVERGAME, ensuring transparency requirements are met.</w:t>
      </w:r>
    </w:p>
    <w:p>
      <w:pPr>
        <w:pStyle w:val="Heading2"/>
      </w:pPr>
      <w:r>
        <w:t xml:space="preserve">4.2 Ongoing Compliance Framework</w:t>
      </w:r>
    </w:p>
    <w:p>
      <w:pPr>
        <w:spacing w:after="150"/>
      </w:pPr>
      <w:r>
        <w:t xml:space="preserve">To maintain continuous compliance throughout the 3-year partnership:</w:t>
      </w:r>
    </w:p>
    <w:p>
      <w:pPr>
        <w:pStyle w:val="ListParagraph"/>
        <w:numPr>
          <w:ilvl w:val="0"/>
          <w:numId w:val="2"/>
        </w:numPr>
        <w:spacing w:after="80"/>
      </w:pPr>
      <w:r>
        <w:rPr>
          <w:b/>
          <w:bCs/>
        </w:rPr>
        <w:t xml:space="preserve">Quarterly AI Audits: </w:t>
      </w:r>
      <w:r>
        <w:t xml:space="preserve">Conduct regular reviews of AI system performance, bias detection, and output accuracy aligned with Quarterly Business Reviews.</w:t>
      </w:r>
    </w:p>
    <w:p>
      <w:pPr>
        <w:pStyle w:val="ListParagraph"/>
        <w:numPr>
          <w:ilvl w:val="0"/>
          <w:numId w:val="2"/>
        </w:numPr>
        <w:spacing w:after="80"/>
      </w:pPr>
      <w:r>
        <w:rPr>
          <w:b/>
          <w:bCs/>
        </w:rPr>
        <w:t xml:space="preserve">Policy Change Monitoring: </w:t>
      </w:r>
      <w:r>
        <w:t xml:space="preserve">Track AI Steering Committee updates and policy revisions, adjusting EVERGAME compliance posture as requirements evolve.</w:t>
      </w:r>
    </w:p>
    <w:p>
      <w:pPr>
        <w:pStyle w:val="ListParagraph"/>
        <w:numPr>
          <w:ilvl w:val="0"/>
          <w:numId w:val="2"/>
        </w:numPr>
        <w:spacing w:after="80"/>
      </w:pPr>
      <w:r>
        <w:rPr>
          <w:b/>
          <w:bCs/>
        </w:rPr>
        <w:t xml:space="preserve">Incident Response Protocol: </w:t>
      </w:r>
      <w:r>
        <w:t xml:space="preserve">Establish direct communication channel with AI Council for immediate incident reporting (bias, security, ethical issues).</w:t>
      </w:r>
    </w:p>
    <w:p>
      <w:pPr>
        <w:pStyle w:val="ListParagraph"/>
        <w:numPr>
          <w:ilvl w:val="0"/>
          <w:numId w:val="2"/>
        </w:numPr>
        <w:spacing w:after="100"/>
      </w:pPr>
      <w:r>
        <w:rPr>
          <w:b/>
          <w:bCs/>
        </w:rPr>
        <w:t xml:space="preserve">Evidence Ledger Integration: </w:t>
      </w:r>
      <w:r>
        <w:t xml:space="preserve">Configure SIPE Evidence Ledger to capture all AI-related decisions, model updates, and compliance validations for audit readiness.</w:t>
      </w:r>
    </w:p>
    <w:p>
      <w:r>
        <w:br w:type="page"/>
      </w:r>
    </w:p>
    <w:p>
      <w:pPr>
        <w:pStyle w:val="Heading1"/>
      </w:pPr>
      <w:r>
        <w:t xml:space="preserve">5. Implementation Framework</w:t>
      </w:r>
    </w:p>
    <w:p>
      <w:pPr>
        <w:pStyle w:val="Heading2"/>
      </w:pPr>
      <w:r>
        <w:t xml:space="preserve">5.1 AI Policy Compliance Timeline</w:t>
      </w:r>
    </w:p>
    <w:p>
      <w:pPr>
        <w:spacing w:after="150"/>
      </w:pPr>
      <w:r>
        <w:t xml:space="preserve">The following timeline integrates AI Policy compliance milestones with the EVERGAME Phase II implementation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r>
              <w:rPr>
                <w:b/>
                <w:bCs/>
                <w:color w:val="FFFFFF"/>
                <w:sz w:val="18"/>
                <w:szCs w:val="18"/>
              </w:rPr>
              <w:t xml:space="preserve">TIMING</w:t>
            </w:r>
          </w:p>
        </w:tc>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r>
              <w:rPr>
                <w:b/>
                <w:bCs/>
                <w:color w:val="FFFFFF"/>
                <w:sz w:val="18"/>
                <w:szCs w:val="18"/>
              </w:rPr>
              <w:t xml:space="preserve">PHASE</w:t>
            </w:r>
          </w:p>
        </w:tc>
        <w:tc>
          <w:tcPr>
            <w:tcBorders>
              <w:top w:val="single" w:color="2E8B8B" w:sz="1"/>
              <w:left w:val="single" w:color="2E8B8B" w:sz="1"/>
              <w:bottom w:val="single" w:color="2E8B8B" w:sz="1"/>
              <w:right w:val="single" w:color="2E8B8B" w:sz="1"/>
            </w:tcBorders>
            <w:shd w:fill="2E8B8B" w:val="clear"/>
            <w:tcMar>
              <w:top w:type="dxa" w:w="80"/>
              <w:left w:type="dxa" w:w="120"/>
              <w:bottom w:type="dxa" w:w="80"/>
              <w:right w:type="dxa" w:w="120"/>
            </w:tcMar>
          </w:tcPr>
          <w:p>
            <w:r>
              <w:rPr>
                <w:b/>
                <w:bCs/>
                <w:color w:val="FFFFFF"/>
                <w:sz w:val="18"/>
                <w:szCs w:val="18"/>
              </w:rPr>
              <w:t xml:space="preserve">AI COMPLIANCE ACTIVITIES</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Week 1-2</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Pre-Engagement</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AI Intake questionnaire submission; Agreement review initiation</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Week 3</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D1: DISCOVER</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AI component documentation; AI Council approval confirmation</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Week 4-7</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D2: DIAGNOSE</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Current state AI assessment; Risk register AI entries</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Week 8-12</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D3: DESIGN</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AI governance design; Training curriculum finalization</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Week 13-20</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D4: DEVELOP</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AI system build; Bias testing; Security validation</w:t>
            </w:r>
          </w:p>
        </w:tc>
      </w:tr>
      <w:tr>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b/>
                <w:bCs/>
                <w:color w:val="1A2B4C"/>
                <w:sz w:val="18"/>
                <w:szCs w:val="18"/>
              </w:rPr>
              <w:t xml:space="preserve">Week 21-24</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D5: DEPLOY</w:t>
            </w:r>
          </w:p>
        </w:tc>
        <w:tc>
          <w:tcPr>
            <w:tcBorders>
              <w:top w:val="single" w:color="E8ECF0" w:sz="1"/>
              <w:left w:val="single" w:color="E8ECF0" w:sz="1"/>
              <w:bottom w:val="single" w:color="E8ECF0" w:sz="1"/>
              <w:right w:val="single" w:color="E8ECF0" w:sz="1"/>
            </w:tcBorders>
            <w:shd w:fill="FFFFFF" w:val="clear"/>
            <w:tcMar>
              <w:top w:type="dxa" w:w="60"/>
              <w:left w:type="dxa" w:w="120"/>
              <w:bottom w:type="dxa" w:w="60"/>
              <w:right w:type="dxa" w:w="120"/>
            </w:tcMar>
          </w:tcPr>
          <w:p>
            <w:r>
              <w:rPr>
                <w:color w:val="4A5568"/>
                <w:sz w:val="18"/>
                <w:szCs w:val="18"/>
              </w:rPr>
              <w:t xml:space="preserve">GDA AI training; Compliance verification; Go-live approval</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18"/>
                <w:szCs w:val="18"/>
              </w:rPr>
              <w:t xml:space="preserve">Ongoing</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Operations</w:t>
            </w:r>
          </w:p>
        </w:tc>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color w:val="4A5568"/>
                <w:sz w:val="18"/>
                <w:szCs w:val="18"/>
              </w:rPr>
              <w:t xml:space="preserve">Quarterly audits; Incident monitoring; Policy tracking</w:t>
            </w:r>
          </w:p>
        </w:tc>
      </w:tr>
    </w:tbl>
    <w:p>
      <w:pPr>
        <w:pStyle w:val="Heading2"/>
        <w:spacing w:before="300"/>
      </w:pPr>
      <w:r>
        <w:t xml:space="preserve">5.2 RACI Matrix for AI Compliance</w:t>
      </w:r>
    </w:p>
    <w:p>
      <w:pPr>
        <w:spacing w:after="150"/>
      </w:pPr>
      <w:r>
        <w:t xml:space="preserve">Responsibilities for AI Policy compliance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Borders>
              <w:top w:val="single" w:color="1A2B4C" w:sz="1"/>
              <w:left w:val="single" w:color="1A2B4C" w:sz="1"/>
              <w:bottom w:val="single" w:color="1A2B4C" w:sz="1"/>
              <w:right w:val="single" w:color="1A2B4C" w:sz="1"/>
            </w:tcBorders>
            <w:shd w:fill="1A2B4C" w:val="clear"/>
            <w:tcMar>
              <w:top w:type="dxa" w:w="60"/>
              <w:left w:type="dxa" w:w="100"/>
              <w:bottom w:type="dxa" w:w="60"/>
              <w:right w:type="dxa" w:w="100"/>
            </w:tcMar>
          </w:tcPr>
          <w:p>
            <w:r>
              <w:rPr>
                <w:b/>
                <w:bCs/>
                <w:color w:val="FFFFFF"/>
                <w:sz w:val="18"/>
                <w:szCs w:val="18"/>
              </w:rPr>
              <w:t xml:space="preserve">ACTIVITY</w:t>
            </w:r>
          </w:p>
        </w:tc>
        <w:tc>
          <w:tcPr>
            <w:tcBorders>
              <w:top w:val="single" w:color="1A2B4C" w:sz="1"/>
              <w:left w:val="single" w:color="1A2B4C" w:sz="1"/>
              <w:bottom w:val="single" w:color="1A2B4C" w:sz="1"/>
              <w:right w:val="single" w:color="1A2B4C" w:sz="1"/>
            </w:tcBorders>
            <w:shd w:fill="1A2B4C" w:val="clear"/>
            <w:tcMar>
              <w:top w:type="dxa" w:w="60"/>
              <w:left w:type="dxa" w:w="100"/>
              <w:bottom w:type="dxa" w:w="60"/>
              <w:right w:type="dxa" w:w="100"/>
            </w:tcMar>
          </w:tcPr>
          <w:p>
            <w:pPr>
              <w:jc w:val="center"/>
            </w:pPr>
            <w:r>
              <w:rPr>
                <w:b/>
                <w:bCs/>
                <w:color w:val="FFFFFF"/>
                <w:sz w:val="18"/>
                <w:szCs w:val="18"/>
              </w:rPr>
              <w:t xml:space="preserve">NOVATE</w:t>
            </w:r>
          </w:p>
        </w:tc>
        <w:tc>
          <w:tcPr>
            <w:tcBorders>
              <w:top w:val="single" w:color="1A2B4C" w:sz="1"/>
              <w:left w:val="single" w:color="1A2B4C" w:sz="1"/>
              <w:bottom w:val="single" w:color="1A2B4C" w:sz="1"/>
              <w:right w:val="single" w:color="1A2B4C" w:sz="1"/>
            </w:tcBorders>
            <w:shd w:fill="1A2B4C" w:val="clear"/>
            <w:tcMar>
              <w:top w:type="dxa" w:w="60"/>
              <w:left w:type="dxa" w:w="100"/>
              <w:bottom w:type="dxa" w:w="60"/>
              <w:right w:type="dxa" w:w="100"/>
            </w:tcMar>
          </w:tcPr>
          <w:p>
            <w:pPr>
              <w:jc w:val="center"/>
            </w:pPr>
            <w:r>
              <w:rPr>
                <w:b/>
                <w:bCs/>
                <w:color w:val="FFFFFF"/>
                <w:sz w:val="18"/>
                <w:szCs w:val="18"/>
              </w:rPr>
              <w:t xml:space="preserve">NFL IT</w:t>
            </w:r>
          </w:p>
        </w:tc>
        <w:tc>
          <w:tcPr>
            <w:tcBorders>
              <w:top w:val="single" w:color="1A2B4C" w:sz="1"/>
              <w:left w:val="single" w:color="1A2B4C" w:sz="1"/>
              <w:bottom w:val="single" w:color="1A2B4C" w:sz="1"/>
              <w:right w:val="single" w:color="1A2B4C" w:sz="1"/>
            </w:tcBorders>
            <w:shd w:fill="1A2B4C" w:val="clear"/>
            <w:tcMar>
              <w:top w:type="dxa" w:w="60"/>
              <w:left w:type="dxa" w:w="100"/>
              <w:bottom w:type="dxa" w:w="60"/>
              <w:right w:type="dxa" w:w="100"/>
            </w:tcMar>
          </w:tcPr>
          <w:p>
            <w:pPr>
              <w:jc w:val="center"/>
            </w:pPr>
            <w:r>
              <w:rPr>
                <w:b/>
                <w:bCs/>
                <w:color w:val="FFFFFF"/>
                <w:sz w:val="18"/>
                <w:szCs w:val="18"/>
              </w:rPr>
              <w:t xml:space="preserve">AI COUNCIL</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8"/>
                <w:szCs w:val="18"/>
              </w:rPr>
              <w:t xml:space="preserve">AI Intake Submission</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R/A</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C</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I</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8"/>
                <w:szCs w:val="18"/>
              </w:rPr>
              <w:t xml:space="preserve">Agreement Review</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R</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C</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A</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8"/>
                <w:szCs w:val="18"/>
              </w:rPr>
              <w:t xml:space="preserve">AI Component Documentation</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R/A</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C</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I</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8"/>
                <w:szCs w:val="18"/>
              </w:rPr>
              <w:t xml:space="preserve">GDA AI Training</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R/A</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C/I</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I</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8"/>
                <w:szCs w:val="18"/>
              </w:rPr>
              <w:t xml:space="preserve">Quarterly AI Audits</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R</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C</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A</w:t>
            </w:r>
          </w:p>
        </w:tc>
      </w:tr>
      <w:tr>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r>
              <w:rPr>
                <w:color w:val="4A5568"/>
                <w:sz w:val="18"/>
                <w:szCs w:val="18"/>
              </w:rPr>
              <w:t xml:space="preserve">Incident Reporting</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R</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C</w:t>
            </w:r>
          </w:p>
        </w:tc>
        <w:tc>
          <w:tcPr>
            <w:tcBorders>
              <w:top w:val="single" w:color="E8ECF0" w:sz="1"/>
              <w:left w:val="single" w:color="E8ECF0" w:sz="1"/>
              <w:bottom w:val="single" w:color="E8ECF0" w:sz="1"/>
              <w:right w:val="single" w:color="E8ECF0" w:sz="1"/>
            </w:tcBorders>
            <w:shd w:fill="FFFFFF" w:val="clear"/>
            <w:tcMar>
              <w:top w:type="dxa" w:w="50"/>
              <w:left w:type="dxa" w:w="100"/>
              <w:bottom w:type="dxa" w:w="50"/>
              <w:right w:type="dxa" w:w="100"/>
            </w:tcMar>
          </w:tcPr>
          <w:p>
            <w:pPr>
              <w:jc w:val="center"/>
            </w:pPr>
            <w:r>
              <w:rPr>
                <w:b/>
                <w:bCs/>
                <w:color w:val="1A2B4C"/>
                <w:sz w:val="18"/>
                <w:szCs w:val="18"/>
              </w:rPr>
              <w:t xml:space="preserve">A</w:t>
            </w:r>
          </w:p>
        </w:tc>
      </w:tr>
      <w:tr>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r>
              <w:rPr>
                <w:color w:val="4A5568"/>
                <w:sz w:val="18"/>
                <w:szCs w:val="18"/>
              </w:rPr>
              <w:t xml:space="preserve">Policy Compliance Monitoring</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R/A</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I</w:t>
            </w:r>
          </w:p>
        </w:tc>
        <w:tc>
          <w:tcPr>
            <w:tcBorders>
              <w:top w:val="single" w:color="E8ECF0" w:sz="1"/>
              <w:left w:val="single" w:color="E8ECF0" w:sz="1"/>
              <w:bottom w:val="single" w:color="E8ECF0" w:sz="1"/>
              <w:right w:val="single" w:color="E8ECF0" w:sz="1"/>
            </w:tcBorders>
            <w:shd w:fill="F5F7FA" w:val="clear"/>
            <w:tcMar>
              <w:top w:type="dxa" w:w="50"/>
              <w:left w:type="dxa" w:w="100"/>
              <w:bottom w:type="dxa" w:w="50"/>
              <w:right w:type="dxa" w:w="100"/>
            </w:tcMar>
          </w:tcPr>
          <w:p>
            <w:pPr>
              <w:jc w:val="center"/>
            </w:pPr>
            <w:r>
              <w:rPr>
                <w:b/>
                <w:bCs/>
                <w:color w:val="1A2B4C"/>
                <w:sz w:val="18"/>
                <w:szCs w:val="18"/>
              </w:rPr>
              <w:t xml:space="preserve">I</w:t>
            </w:r>
          </w:p>
        </w:tc>
      </w:tr>
      <w:tr>
        <w:tc>
          <w:tcPr>
            <w:gridSpan w:val="4"/>
            <w:tcBorders>
              <w:top w:val="single" w:color="E8ECF0" w:sz="1"/>
              <w:left w:val="single" w:color="E8ECF0" w:sz="1"/>
              <w:bottom w:val="single" w:color="E8ECF0" w:sz="1"/>
              <w:right w:val="single" w:color="E8ECF0" w:sz="1"/>
            </w:tcBorders>
            <w:shd w:fill="E8ECF0" w:val="clear"/>
            <w:tcMar>
              <w:top w:type="dxa" w:w="50"/>
              <w:left w:type="dxa" w:w="100"/>
              <w:bottom w:type="dxa" w:w="50"/>
              <w:right w:type="dxa" w:w="100"/>
            </w:tcMar>
          </w:tcPr>
          <w:p>
            <w:r>
              <w:rPr>
                <w:i/>
                <w:iCs/>
                <w:color w:val="4A5568"/>
                <w:sz w:val="16"/>
                <w:szCs w:val="16"/>
              </w:rPr>
              <w:t xml:space="preserve">R = Responsible | A = Accountable | C = Consulted | I = Informed</w:t>
            </w:r>
          </w:p>
        </w:tc>
      </w:tr>
    </w:tbl>
    <w:p>
      <w:pPr>
        <w:pStyle w:val="Heading1"/>
      </w:pPr>
      <w:r>
        <w:t xml:space="preserve">6. Risk Assessment</w:t>
      </w:r>
    </w:p>
    <w:p>
      <w:pPr>
        <w:pStyle w:val="Heading2"/>
      </w:pPr>
      <w:r>
        <w:t xml:space="preserve">6.1 AI Policy Compliance Risks</w:t>
      </w:r>
    </w:p>
    <w:p>
      <w:pPr>
        <w:spacing w:after="150"/>
      </w:pPr>
      <w:r>
        <w:t xml:space="preserve">The following risks have been identified related to AI Policy compliance within the EVERGAME 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RISK</w:t>
            </w:r>
          </w:p>
        </w:tc>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pPr>
              <w:jc w:val="center"/>
            </w:pPr>
            <w:r>
              <w:rPr>
                <w:b/>
                <w:bCs/>
                <w:color w:val="FFFFFF"/>
                <w:sz w:val="18"/>
                <w:szCs w:val="18"/>
              </w:rPr>
              <w:t xml:space="preserve">SEVERITY</w:t>
            </w:r>
          </w:p>
        </w:tc>
        <w:tc>
          <w:tcPr>
            <w:tcBorders>
              <w:top w:val="single" w:color="2B5A8F" w:sz="1"/>
              <w:left w:val="single" w:color="2B5A8F" w:sz="1"/>
              <w:bottom w:val="single" w:color="2B5A8F" w:sz="1"/>
              <w:right w:val="single" w:color="2B5A8F" w:sz="1"/>
            </w:tcBorders>
            <w:shd w:fill="2B5A8F" w:val="clear"/>
            <w:tcMar>
              <w:top w:type="dxa" w:w="60"/>
              <w:left w:type="dxa" w:w="100"/>
              <w:bottom w:type="dxa" w:w="60"/>
              <w:right w:type="dxa" w:w="100"/>
            </w:tcMar>
          </w:tcPr>
          <w:p>
            <w:r>
              <w:rPr>
                <w:b/>
                <w:bCs/>
                <w:color w:val="FFFFFF"/>
                <w:sz w:val="18"/>
                <w:szCs w:val="18"/>
              </w:rPr>
              <w:t xml:space="preserve">MITIGATION</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AI Council Approval Delay</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pPr>
              <w:jc w:val="center"/>
            </w:pPr>
            <w:r>
              <w:rPr>
                <w:b/>
                <w:bCs/>
                <w:color w:val="9AA44D"/>
                <w:sz w:val="18"/>
                <w:szCs w:val="18"/>
              </w:rPr>
              <w:t xml:space="preserve">MEDIUM</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Pre-engagement submission; Early stakeholder engagement</w:t>
            </w:r>
          </w:p>
        </w:tc>
      </w:tr>
      <w:tr>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Policy Updates During Engagement</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pPr>
              <w:jc w:val="center"/>
            </w:pPr>
            <w:r>
              <w:rPr>
                <w:b/>
                <w:bCs/>
                <w:color w:val="2E8B8B"/>
                <w:sz w:val="18"/>
                <w:szCs w:val="18"/>
              </w:rPr>
              <w:t xml:space="preserve">LOW</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Quarterly policy monitoring; Flexible architecture</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Bias Detection in AI Components</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pPr>
              <w:jc w:val="center"/>
            </w:pPr>
            <w:r>
              <w:rPr>
                <w:b/>
                <w:bCs/>
                <w:color w:val="2E8B8B"/>
                <w:sz w:val="18"/>
                <w:szCs w:val="18"/>
              </w:rPr>
              <w:t xml:space="preserve">LOW</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Continuous monitoring; Quarterly audits</w:t>
            </w:r>
          </w:p>
        </w:tc>
      </w:tr>
      <w:tr>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Incident Response Coordination</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pPr>
              <w:jc w:val="center"/>
            </w:pPr>
            <w:r>
              <w:rPr>
                <w:b/>
                <w:bCs/>
                <w:color w:val="2E8B8B"/>
                <w:sz w:val="18"/>
                <w:szCs w:val="18"/>
              </w:rPr>
              <w:t xml:space="preserve">LOW</w:t>
            </w:r>
          </w:p>
        </w:tc>
        <w:tc>
          <w:tcPr>
            <w:tcBorders>
              <w:top w:val="single" w:color="E8ECF0" w:sz="1"/>
              <w:left w:val="single" w:color="E8ECF0" w:sz="1"/>
              <w:bottom w:val="single" w:color="E8ECF0" w:sz="1"/>
              <w:right w:val="single" w:color="E8ECF0" w:sz="1"/>
            </w:tcBorders>
            <w:shd w:fill="FFFFFF" w:val="clear"/>
            <w:tcMar>
              <w:top w:type="dxa" w:w="60"/>
              <w:left w:type="dxa" w:w="100"/>
              <w:bottom w:type="dxa" w:w="60"/>
              <w:right w:type="dxa" w:w="100"/>
            </w:tcMar>
          </w:tcPr>
          <w:p>
            <w:r>
              <w:rPr>
                <w:color w:val="4A5568"/>
                <w:sz w:val="18"/>
                <w:szCs w:val="18"/>
              </w:rPr>
              <w:t xml:space="preserve">Direct AI Council communication channel; Escalation protocols</w:t>
            </w:r>
          </w:p>
        </w:tc>
      </w:tr>
      <w:tr>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GDA AI Training Gaps</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pPr>
              <w:jc w:val="center"/>
            </w:pPr>
            <w:r>
              <w:rPr>
                <w:b/>
                <w:bCs/>
                <w:color w:val="9AA44D"/>
                <w:sz w:val="18"/>
                <w:szCs w:val="18"/>
              </w:rPr>
              <w:t xml:space="preserve">MEDIUM</w:t>
            </w:r>
          </w:p>
        </w:tc>
        <w:tc>
          <w:tcPr>
            <w:tcBorders>
              <w:top w:val="single" w:color="E8ECF0" w:sz="1"/>
              <w:left w:val="single" w:color="E8ECF0" w:sz="1"/>
              <w:bottom w:val="single" w:color="E8ECF0" w:sz="1"/>
              <w:right w:val="single" w:color="E8ECF0" w:sz="1"/>
            </w:tcBorders>
            <w:shd w:fill="F5F7FA" w:val="clear"/>
            <w:tcMar>
              <w:top w:type="dxa" w:w="60"/>
              <w:left w:type="dxa" w:w="100"/>
              <w:bottom w:type="dxa" w:w="60"/>
              <w:right w:type="dxa" w:w="100"/>
            </w:tcMar>
          </w:tcPr>
          <w:p>
            <w:r>
              <w:rPr>
                <w:color w:val="4A5568"/>
                <w:sz w:val="18"/>
                <w:szCs w:val="18"/>
              </w:rPr>
              <w:t xml:space="preserve">Comprehensive curriculum; Competency validation</w:t>
            </w:r>
          </w:p>
        </w:tc>
      </w:tr>
    </w:tbl>
    <w:p>
      <w:pPr>
        <w:pStyle w:val="Heading2"/>
        <w:spacing w:before="300"/>
      </w:pPr>
      <w:r>
        <w:t xml:space="preserve">6.2 Mitigation Strategies</w:t>
      </w:r>
    </w:p>
    <w:p>
      <w:pPr>
        <w:spacing w:after="150"/>
      </w:pPr>
      <w:r>
        <w:t xml:space="preserve">NOVATE's standard SIPE risk management protocols address all identified risks through proactive monitoring, early warning systems, and intervention protocols. The Evidence Ledger ensures complete audit readiness for any AI Council review.</w:t>
      </w:r>
    </w:p>
    <w:p>
      <w:pPr>
        <w:pStyle w:val="Heading1"/>
      </w:pPr>
      <w:r>
        <w:t xml:space="preserve">7. Next Steps</w:t>
      </w:r>
    </w:p>
    <w:p>
      <w:pPr>
        <w:pStyle w:val="Heading2"/>
      </w:pPr>
      <w:r>
        <w:t xml:space="preserve">7.1 Immediate Actions (Week 1-2)</w:t>
      </w:r>
    </w:p>
    <w:p>
      <w:pPr>
        <w:pStyle w:val="ListParagraph"/>
        <w:numPr>
          <w:ilvl w:val="0"/>
          <w:numId w:val="3"/>
        </w:numPr>
        <w:spacing w:after="100"/>
      </w:pPr>
      <w:r>
        <w:rPr>
          <w:b/>
          <w:bCs/>
        </w:rPr>
        <w:t xml:space="preserve">NFL IT Executive Sponsor: </w:t>
      </w:r>
      <w:r>
        <w:t xml:space="preserve">Review this analysis and confirm AI Policy compliance approach</w:t>
      </w:r>
    </w:p>
    <w:p>
      <w:pPr>
        <w:pStyle w:val="ListParagraph"/>
        <w:numPr>
          <w:ilvl w:val="0"/>
          <w:numId w:val="3"/>
        </w:numPr>
        <w:spacing w:after="100"/>
      </w:pPr>
      <w:r>
        <w:rPr>
          <w:b/>
          <w:bCs/>
        </w:rPr>
        <w:t xml:space="preserve">NOVATE: </w:t>
      </w:r>
      <w:r>
        <w:t xml:space="preserve">Prepare AI Intake questionnaire submission materials</w:t>
      </w:r>
    </w:p>
    <w:p>
      <w:pPr>
        <w:pStyle w:val="ListParagraph"/>
        <w:numPr>
          <w:ilvl w:val="0"/>
          <w:numId w:val="3"/>
        </w:numPr>
        <w:spacing w:after="100"/>
      </w:pPr>
      <w:r>
        <w:rPr>
          <w:b/>
          <w:bCs/>
        </w:rPr>
        <w:t xml:space="preserve">Joint: </w:t>
      </w:r>
      <w:r>
        <w:t xml:space="preserve">Schedule AI Council briefing to discuss EVERGAME platform architecture</w:t>
      </w:r>
    </w:p>
    <w:p>
      <w:pPr>
        <w:pStyle w:val="ListParagraph"/>
        <w:numPr>
          <w:ilvl w:val="0"/>
          <w:numId w:val="3"/>
        </w:numPr>
        <w:spacing w:after="100"/>
      </w:pPr>
      <w:r>
        <w:rPr>
          <w:b/>
          <w:bCs/>
        </w:rPr>
        <w:t xml:space="preserve">NOVATE: </w:t>
      </w:r>
      <w:r>
        <w:t xml:space="preserve">Submit proposed agreements to NFLAICouncil@nfl.com for review</w:t>
      </w:r>
    </w:p>
    <w:p>
      <w:pPr>
        <w:pStyle w:val="Heading2"/>
      </w:pPr>
      <w:r>
        <w:t xml:space="preserve">7.2 Key Contacts</w:t>
      </w:r>
    </w:p>
    <w:p>
      <w:pPr>
        <w:spacing w:after="80"/>
      </w:pPr>
      <w:r>
        <w:rPr>
          <w:b/>
          <w:bCs/>
        </w:rPr>
        <w:t xml:space="preserve">NFL AI Council: </w:t>
      </w:r>
      <w:r>
        <w:t xml:space="preserve">NFLAICouncil@nfl.com</w:t>
      </w:r>
    </w:p>
    <w:p>
      <w:pPr>
        <w:spacing w:after="80"/>
      </w:pPr>
      <w:r>
        <w:rPr>
          <w:b/>
          <w:bCs/>
        </w:rPr>
        <w:t xml:space="preserve">AI Intake Portal: </w:t>
      </w:r>
      <w:r>
        <w:t xml:space="preserve">ServiceNow Portal → AI Intake</w:t>
      </w:r>
    </w:p>
    <w:p>
      <w:pPr>
        <w:spacing w:after="200"/>
      </w:pPr>
      <w:r>
        <w:rPr>
          <w:b/>
          <w:bCs/>
        </w:rPr>
        <w:t xml:space="preserve">NOVATE Compliance Lead: </w:t>
      </w:r>
      <w:r>
        <w:t xml:space="preserve">[To Be Assigned]</w:t>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Document ID</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SIPE-NFL-AIPOLICY-ANALYSIS-v1.0</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Version</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1.0</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Release Date</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January 2026</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Classification</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NOVATE PROPRIETARY – CLIENT CONFIDENTIAL</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SIPE Reference</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NFL AI Policy (Effective July 18, 2024)</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SIPE Tag</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TRANSFORMATION-CHALLENGE-P1</w:t>
            </w:r>
          </w:p>
        </w:tc>
      </w:tr>
      <w:tr>
        <w:tc>
          <w:tcPr>
            <w:tcBorders>
              <w:top w:val="single" w:color="E8ECF0" w:sz="1"/>
              <w:left w:val="single" w:color="E8ECF0" w:sz="1"/>
              <w:bottom w:val="single" w:color="E8ECF0" w:sz="1"/>
              <w:right w:val="single" w:color="E8ECF0" w:sz="1"/>
            </w:tcBorders>
            <w:shd w:fill="F5F7FA" w:val="clear"/>
            <w:tcMar>
              <w:top w:type="dxa" w:w="60"/>
              <w:left w:type="dxa" w:w="120"/>
              <w:bottom w:type="dxa" w:w="60"/>
              <w:right w:type="dxa" w:w="120"/>
            </w:tcMar>
          </w:tcPr>
          <w:p>
            <w:r>
              <w:rPr>
                <w:b/>
                <w:bCs/>
                <w:color w:val="1A2B4C"/>
                <w:sz w:val="20"/>
                <w:szCs w:val="20"/>
              </w:rPr>
              <w:t xml:space="preserve">Next Review</w:t>
            </w:r>
          </w:p>
        </w:tc>
        <w:tc>
          <w:tcPr>
            <w:tcBorders>
              <w:top w:val="single" w:color="E8ECF0" w:sz="1"/>
              <w:left w:val="single" w:color="E8ECF0" w:sz="1"/>
              <w:bottom w:val="single" w:color="E8ECF0" w:sz="1"/>
              <w:right w:val="single" w:color="E8ECF0" w:sz="1"/>
            </w:tcBorders>
            <w:tcMar>
              <w:top w:type="dxa" w:w="60"/>
              <w:left w:type="dxa" w:w="120"/>
              <w:bottom w:type="dxa" w:w="60"/>
              <w:right w:type="dxa" w:w="120"/>
            </w:tcMar>
          </w:tcPr>
          <w:p>
            <w:r>
              <w:rPr>
                <w:color w:val="4A5568"/>
                <w:sz w:val="20"/>
                <w:szCs w:val="20"/>
              </w:rPr>
              <w:t xml:space="preserve">Upon Contract Execution / AI Council Approval</w:t>
            </w:r>
          </w:p>
        </w:tc>
      </w:tr>
    </w:tbl>
    <w:p>
      <w:pPr>
        <w:spacing w:before="400"/>
        <w:jc w:val="center"/>
      </w:pPr>
      <w:r>
        <w:rPr>
          <w:b/>
          <w:bCs/>
          <w:color w:val="4A556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6"/>
        <w:szCs w:val="16"/>
      </w:rPr>
      <w:t xml:space="preserve">NOVATE PROPRIETARY – CLIENT CONFIDENTIAL</w:t>
    </w:r>
    <w:r>
      <w:rPr>
        <w:color w:val="4A5568"/>
        <w:sz w:val="16"/>
        <w:szCs w:val="16"/>
      </w:rPr>
      <w:t xml:space="preserve">  |  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A2B4C"/>
        <w:sz w:val="20"/>
        <w:szCs w:val="20"/>
      </w:rPr>
      <w:t xml:space="preserve">SENTRAIS</w:t>
    </w:r>
    <w:r>
      <w:rPr>
        <w:color w:val="2E8B8B"/>
        <w:sz w:val="18"/>
        <w:szCs w:val="18"/>
      </w:rPr>
      <w:t xml:space="preserve"> | Powered by NOVATE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B4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5A8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2026-01-27T21:15:12.513Z</dcterms:created>
  <dcterms:modified xsi:type="dcterms:W3CDTF">2026-01-27T21:15:12.513Z</dcterms:modified>
</cp:coreProperties>
</file>

<file path=docProps/custom.xml><?xml version="1.0" encoding="utf-8"?>
<Properties xmlns="http://schemas.openxmlformats.org/officeDocument/2006/custom-properties" xmlns:vt="http://schemas.openxmlformats.org/officeDocument/2006/docPropsVTypes"/>
</file>