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B8860B"/>
          <w:sz w:val="18"/>
          <w:szCs w:val="18"/>
        </w:rPr>
        <w:t xml:space="preserve">SENTRAIS  •  CONFIDENTIAL</w:t>
      </w:r>
    </w:p>
    <w:p>
      <w:pPr>
        <w:spacing w:after="40"/>
      </w:pPr>
      <w:r>
        <w:rPr>
          <w:rFonts w:ascii="Calibri" w:cs="Calibri" w:eastAsia="Calibri" w:hAnsi="Calibri"/>
          <w:b/>
          <w:bCs/>
          <w:color w:val="595959"/>
          <w:sz w:val="18"/>
          <w:szCs w:val="18"/>
        </w:rPr>
        <w:t xml:space="preserve">GARTNER ANALYST BRIEFING REQUEST</w:t>
      </w:r>
    </w:p>
    <w:p>
      <w:pPr>
        <w:pBdr>
          <w:bottom w:val="single" w:color="1F2C4C" w:sz="12" w:space="4"/>
        </w:pBdr>
        <w:spacing w:after="360"/>
      </w:pPr>
      <w:r>
        <w:t xml:space="preserve"/>
      </w:r>
    </w:p>
    <w:p>
      <w:pPr>
        <w:spacing w:after="100"/>
      </w:pPr>
      <w:r>
        <w:rPr>
          <w:rFonts w:ascii="Calibri" w:cs="Calibri" w:eastAsia="Calibri" w:hAnsi="Calibri"/>
          <w:b/>
          <w:bCs/>
          <w:color w:val="1F2C4C"/>
          <w:sz w:val="36"/>
          <w:szCs w:val="36"/>
        </w:rPr>
        <w:t xml:space="preserve">Sentrais: A Unified Civic Operating System for Host-City Resilience</w:t>
      </w:r>
    </w:p>
    <w:p>
      <w:pPr>
        <w:spacing w:after="240"/>
      </w:pPr>
      <w:r>
        <w:rPr>
          <w:rFonts w:ascii="Calibri" w:cs="Calibri" w:eastAsia="Calibri" w:hAnsi="Calibri"/>
          <w:i/>
          <w:iCs/>
          <w:color w:val="595959"/>
          <w:sz w:val="24"/>
          <w:szCs w:val="24"/>
        </w:rPr>
        <w:t xml:space="preserve">Briefing Request — Smart City Technologies &amp; Solutions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bCs/>
                <w:sz w:val="20"/>
                <w:szCs w:val="20"/>
              </w:rPr>
              <w:t xml:space="preserve">Submitting Company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Sentrais Corporation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bCs/>
                <w:sz w:val="20"/>
                <w:szCs w:val="20"/>
              </w:rPr>
              <w:t xml:space="preserve">Primary Briefer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Tye Hayes, Executive Leader / Founder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bCs/>
                <w:sz w:val="20"/>
                <w:szCs w:val="20"/>
              </w:rPr>
              <w:t xml:space="preserve">Requested Analyst Coverage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Smart City Technologies &amp; Solutions; Local Government CIO; Urban Digital Twin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bCs/>
                <w:sz w:val="20"/>
                <w:szCs w:val="20"/>
              </w:rPr>
              <w:t xml:space="preserve">Requested Format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30-minute vendor briefing (virtual), with optional 15-minute live demo</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bCs/>
                <w:sz w:val="20"/>
                <w:szCs w:val="20"/>
              </w:rPr>
              <w:t xml:space="preserve">Earliest Availability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June 2026 — following Atlanta360 system power-on (May 20, 2026)</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bCs/>
                <w:sz w:val="20"/>
                <w:szCs w:val="20"/>
              </w:rPr>
              <w:t xml:space="preserve">Distribution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Gartner analyst briefing portal — gartner.com/analyst/portal</w:t>
            </w:r>
          </w:p>
        </w:tc>
      </w:tr>
    </w:tbl>
    <w:p>
      <w:pPr>
        <w:spacing w:after="240"/>
      </w:pPr>
      <w:r>
        <w:t xml:space="preserve"/>
      </w:r>
    </w:p>
    <w:p>
      <w:pPr>
        <w:pStyle w:val="Heading1"/>
        <w:spacing w:after="180" w:before="360"/>
      </w:pPr>
      <w:r>
        <w:rPr>
          <w:rFonts w:ascii="Calibri" w:cs="Calibri" w:eastAsia="Calibri" w:hAnsi="Calibri"/>
          <w:b/>
          <w:bCs/>
          <w:color w:val="1F2C4C"/>
          <w:sz w:val="32"/>
          <w:szCs w:val="32"/>
        </w:rPr>
        <w:t xml:space="preserve">What we would like to brief Gartner on</w:t>
      </w:r>
    </w:p>
    <w:p>
      <w:pPr>
        <w:spacing w:after="120" w:before="0" w:line="300"/>
      </w:pPr>
      <w:r>
        <w:rPr>
          <w:rFonts w:ascii="Calibri" w:cs="Calibri" w:eastAsia="Calibri" w:hAnsi="Calibri"/>
        </w:rPr>
        <w:t xml:space="preserve">Sentrais has built and deployed a unified civic operating system — Atlanta360 — that runs the City of Atlanta's daily lifelines and is contracted to absorb three SEAR-1 anchor events (FIFA World Cup 2026, LA Olympics 2028, Super Bowl LXII) as managed workloads on the same platform. We would like 30 minutes with the Gartner analysts covering Smart City Technologies &amp; Solutions to share what we are seeing operationally and to align on how this fits within the current Hype Cycle taxonomy.</w:t>
      </w:r>
    </w:p>
    <w:p>
      <w:pPr>
        <w:spacing w:after="120" w:before="0" w:line="300"/>
      </w:pPr>
      <w:r>
        <w:rPr>
          <w:rFonts w:ascii="Calibri" w:cs="Calibri" w:eastAsia="Calibri" w:hAnsi="Calibri"/>
        </w:rPr>
        <w:t xml:space="preserve">This is not a pitch for placement. It is a working briefing on a category that Gartner has actively mapped — urban digital twins, smart city platforms, AI-enabled urban operations centers, and citizen digital trust — using a live tier-1 city deployment as the reference case.</w:t>
      </w:r>
    </w:p>
    <w:p>
      <w:pPr>
        <w:pStyle w:val="Heading1"/>
        <w:spacing w:after="180" w:before="360"/>
      </w:pPr>
      <w:r>
        <w:rPr>
          <w:rFonts w:ascii="Calibri" w:cs="Calibri" w:eastAsia="Calibri" w:hAnsi="Calibri"/>
          <w:b/>
          <w:bCs/>
          <w:color w:val="1F2C4C"/>
          <w:sz w:val="32"/>
          <w:szCs w:val="32"/>
        </w:rPr>
        <w:t xml:space="preserve">Why this briefing is worth Gartner's time</w:t>
      </w:r>
    </w:p>
    <w:p>
      <w:pPr>
        <w:spacing w:after="120" w:before="0" w:line="300"/>
      </w:pPr>
      <w:r>
        <w:rPr>
          <w:rFonts w:ascii="Calibri" w:cs="Calibri" w:eastAsia="Calibri" w:hAnsi="Calibri"/>
        </w:rPr>
        <w:t xml:space="preserve">Three things distinguish Atlanta360 from the smart-city vendor landscape Gartner currently tracks:</w:t>
      </w:r>
    </w:p>
    <w:p>
      <w:pPr>
        <w:pStyle w:val="ListParagraph"/>
        <w:numPr>
          <w:ilvl w:val="0"/>
          <w:numId w:val="2"/>
        </w:numPr>
        <w:spacing w:after="80" w:line="280"/>
      </w:pPr>
      <w:r>
        <w:rPr>
          <w:rFonts w:ascii="Calibri" w:cs="Calibri" w:eastAsia="Calibri" w:hAnsi="Calibri"/>
          <w:b/>
          <w:bCs/>
          <w:sz w:val="22"/>
          <w:szCs w:val="22"/>
        </w:rPr>
        <w:t xml:space="preserve">A live tier-1 deployment, not a vision deck —</w:t>
      </w:r>
      <w:r>
        <w:rPr>
          <w:rFonts w:ascii="Calibri" w:cs="Calibri" w:eastAsia="Calibri" w:hAnsi="Calibri"/>
          <w:sz w:val="22"/>
          <w:szCs w:val="22"/>
        </w:rPr>
        <w:t xml:space="preserve"> we are running a contracted city OS in a US tier-1 city with a published Composite Readiness threshold, an immutable Evidence Ledger, and a public trust artifact (the AURI Receipt) attested by an independent governance node. Most platforms Gartner covers in this space brief on roadmap; we brief on operations.</w:t>
      </w:r>
    </w:p>
    <w:p>
      <w:pPr>
        <w:pStyle w:val="ListParagraph"/>
        <w:numPr>
          <w:ilvl w:val="0"/>
          <w:numId w:val="2"/>
        </w:numPr>
        <w:spacing w:after="80" w:line="280"/>
      </w:pPr>
      <w:r>
        <w:rPr>
          <w:rFonts w:ascii="Calibri" w:cs="Calibri" w:eastAsia="Calibri" w:hAnsi="Calibri"/>
          <w:b/>
          <w:bCs/>
          <w:sz w:val="22"/>
          <w:szCs w:val="22"/>
        </w:rPr>
        <w:t xml:space="preserve">A 660-day Super Cycle as the proof case —</w:t>
      </w:r>
      <w:r>
        <w:rPr>
          <w:rFonts w:ascii="Calibri" w:cs="Calibri" w:eastAsia="Calibri" w:hAnsi="Calibri"/>
          <w:sz w:val="22"/>
          <w:szCs w:val="22"/>
        </w:rPr>
        <w:t xml:space="preserve"> the Atlanta360 architecture treats FIFA, the LA Olympics, and Super Bowl LXII as workloads on the same platform that runs a normal Tuesday. The civic-to-event-to-civic transition is the architectural thesis. Gartner has covered mass event management and smart city operations as adjacent but separate categories; we believe the convergence is worth examining.</w:t>
      </w:r>
    </w:p>
    <w:p>
      <w:pPr>
        <w:pStyle w:val="ListParagraph"/>
        <w:numPr>
          <w:ilvl w:val="0"/>
          <w:numId w:val="2"/>
        </w:numPr>
        <w:spacing w:after="80" w:line="280"/>
      </w:pPr>
      <w:r>
        <w:rPr>
          <w:rFonts w:ascii="Calibri" w:cs="Calibri" w:eastAsia="Calibri" w:hAnsi="Calibri"/>
          <w:b/>
          <w:bCs/>
          <w:sz w:val="22"/>
          <w:szCs w:val="22"/>
        </w:rPr>
        <w:t xml:space="preserve">Architectural ground that maps to Gartner's 2026 themes —</w:t>
      </w:r>
      <w:r>
        <w:rPr>
          <w:rFonts w:ascii="Calibri" w:cs="Calibri" w:eastAsia="Calibri" w:hAnsi="Calibri"/>
          <w:sz w:val="22"/>
          <w:szCs w:val="22"/>
        </w:rPr>
        <w:t xml:space="preserve"> the platform integrates a Unified Digital Twin (IBM Maximo + NASA-IBM Prithvi), an intelligence core (SEAROS) with AI guardrails, a coordination engine (ConvergeOS), six role-based program consoles (Aviation, Health, Venue, Community, Logistics, Civic), and an independent Moral Node attestation layer for public-facing decisions. This addresses a structural gap Gartner has flagged repeatedly: smart-city outputs that residents cannot verify.</w:t>
      </w:r>
    </w:p>
    <w:p>
      <w:pPr>
        <w:pStyle w:val="Heading1"/>
        <w:spacing w:after="180" w:before="360"/>
      </w:pPr>
      <w:r>
        <w:rPr>
          <w:rFonts w:ascii="Calibri" w:cs="Calibri" w:eastAsia="Calibri" w:hAnsi="Calibri"/>
          <w:b/>
          <w:bCs/>
          <w:color w:val="1F2C4C"/>
          <w:sz w:val="32"/>
          <w:szCs w:val="32"/>
        </w:rPr>
        <w:t xml:space="preserve">Where Sentrais maps within Gartner's current research</w:t>
      </w:r>
    </w:p>
    <w:p>
      <w:pPr>
        <w:spacing w:after="120" w:before="0" w:line="300"/>
      </w:pPr>
      <w:r>
        <w:rPr>
          <w:rFonts w:ascii="Calibri" w:cs="Calibri" w:eastAsia="Calibri" w:hAnsi="Calibri"/>
        </w:rPr>
        <w:t xml:space="preserve">We have studied the most recent Hype Cycle for Smart City Technologies and Solutions and adjacent research. We believe Sentrais sits at the intersection of the following innovations on that Hype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FBFBF" w:sz="4"/>
              <w:left w:val="single" w:color="BFBFBF" w:sz="4"/>
              <w:bottom w:val="single" w:color="BFBFBF" w:sz="4"/>
              <w:right w:val="single" w:color="BFBFBF" w:sz="4"/>
            </w:tcBorders>
            <w:shd w:fill="1F2C4C"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Gartner Innovation Profile</w:t>
            </w:r>
          </w:p>
        </w:tc>
        <w:tc>
          <w:tcPr>
            <w:tcW w:type="dxa" w:w="6000"/>
            <w:tcBorders>
              <w:top w:val="single" w:color="BFBFBF" w:sz="4"/>
              <w:left w:val="single" w:color="BFBFBF" w:sz="4"/>
              <w:bottom w:val="single" w:color="BFBFBF" w:sz="4"/>
              <w:right w:val="single" w:color="BFBFBF" w:sz="4"/>
            </w:tcBorders>
            <w:shd w:fill="1F2C4C"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Sentrais Mapping</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Urban Digital Twin</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L1 Unified Digital Twin: IBM Maximo asset layer + NASA-IBM Prithvi geospatial model, ingesting CAD, IoT, FAA, DOT, CARES, weather, and venue ops in real time.</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Smart City Platforms / Urban Data Exchange</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L3 ConvergeOS: coordination engine routing signals, resolving conflicts, and enforcing decision rights across municipal agencies, federal partners, and private operators.</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AI-Enabled Urban Operations Center</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L2 SEAROS: readiness scoring, dependency graph, scenario simulator, and AI guardrails. Composite Readiness Score and Remediation Latency are continuous KPIs.</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Citizen Digital Trust / Public Accountability</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AURI Receipt: a public-facing dashboard attested by an independent Moral Node, designed to make civic decisions verifiable by residents and press without exposing operational PII.</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Composable Government / Decision Rights</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Six program consoles (Aviation, Health, Venue, Community, Logistics, Civic), each with named owners, pre-assigned authority, and automated escalation thresholds.</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Mass Event Management &amp; Crowd Analytics</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VenueOS console: 3D crowd telemetry, sub-second crowd-state index, T+0 evacuation authority. Mercedes-Benz Stadium, State Farm Arena, mirror node at SoFi for LA28.</w:t>
            </w:r>
          </w:p>
        </w:tc>
      </w:tr>
    </w:tbl>
    <w:p>
      <w:pPr>
        <w:spacing w:after="240"/>
      </w:pPr>
      <w:r>
        <w:t xml:space="preserve"/>
      </w:r>
    </w:p>
    <w:p>
      <w:pPr>
        <w:pStyle w:val="Heading1"/>
        <w:spacing w:after="180" w:before="360"/>
      </w:pPr>
      <w:r>
        <w:rPr>
          <w:rFonts w:ascii="Calibri" w:cs="Calibri" w:eastAsia="Calibri" w:hAnsi="Calibri"/>
          <w:b/>
          <w:bCs/>
          <w:color w:val="1F2C4C"/>
          <w:sz w:val="32"/>
          <w:szCs w:val="32"/>
        </w:rPr>
        <w:t xml:space="preserve">Proposed agenda —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rPr>
          <w:tblHeader/>
        </w:trPr>
        <w:tc>
          <w:tcPr>
            <w:tcW w:type="dxa" w:w="1440"/>
            <w:tcBorders>
              <w:top w:val="single" w:color="BFBFBF" w:sz="4"/>
              <w:left w:val="single" w:color="BFBFBF" w:sz="4"/>
              <w:bottom w:val="single" w:color="BFBFBF" w:sz="4"/>
              <w:right w:val="single" w:color="BFBFBF" w:sz="4"/>
            </w:tcBorders>
            <w:shd w:fill="1F2C4C"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Time</w:t>
            </w:r>
          </w:p>
        </w:tc>
        <w:tc>
          <w:tcPr>
            <w:tcW w:type="dxa" w:w="5040"/>
            <w:tcBorders>
              <w:top w:val="single" w:color="BFBFBF" w:sz="4"/>
              <w:left w:val="single" w:color="BFBFBF" w:sz="4"/>
              <w:bottom w:val="single" w:color="BFBFBF" w:sz="4"/>
              <w:right w:val="single" w:color="BFBFBF" w:sz="4"/>
            </w:tcBorders>
            <w:shd w:fill="1F2C4C"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Topic</w:t>
            </w:r>
          </w:p>
        </w:tc>
        <w:tc>
          <w:tcPr>
            <w:tcW w:type="dxa" w:w="2880"/>
            <w:tcBorders>
              <w:top w:val="single" w:color="BFBFBF" w:sz="4"/>
              <w:left w:val="single" w:color="BFBFBF" w:sz="4"/>
              <w:bottom w:val="single" w:color="BFBFBF" w:sz="4"/>
              <w:right w:val="single" w:color="BFBFBF" w:sz="4"/>
            </w:tcBorders>
            <w:shd w:fill="1F2C4C"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Outcome</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0:00 — 0:05</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Sentrais introduction, founder context, and the Atlanta360 thesis: civic OS that absorbs SEAR-1 events as workloads.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Shared frame for the rest of the briefing.</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0:05 — 0:15</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Architecture walkthrough: the four-layer stack (Ingestion + Twin → SEAROS → ConvergeOS → Experience layer), the six consoles, and the Evidence Ledger.</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Analyst can place Sentrais on the current Hype Cycle.</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0:15 — 0:22</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Deployment evidence: live Atlanta operations, federal grant alignment (FEMA BRIC), anchor partner posture (AWS GovCloud, Azure Government, Google), and the Super Cycle workload plan.</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Analyst sees the proof, not the pitch.</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0:22 — 0:30</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Open discussion: where Gartner sees the category moving, where we are positioned wrongly, what the analyst would push us on.</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sz w:val="20"/>
                <w:szCs w:val="20"/>
              </w:rPr>
              <w:t xml:space="preserve">Honest analyst feedback on positioning.</w:t>
            </w:r>
          </w:p>
        </w:tc>
      </w:tr>
    </w:tbl>
    <w:p>
      <w:pPr>
        <w:spacing w:after="240"/>
      </w:pPr>
      <w:r>
        <w:t xml:space="preserve"/>
      </w:r>
    </w:p>
    <w:p>
      <w:pPr>
        <w:pStyle w:val="Heading1"/>
        <w:spacing w:after="180" w:before="360"/>
      </w:pPr>
      <w:r>
        <w:rPr>
          <w:rFonts w:ascii="Calibri" w:cs="Calibri" w:eastAsia="Calibri" w:hAnsi="Calibri"/>
          <w:b/>
          <w:bCs/>
          <w:color w:val="1F2C4C"/>
          <w:sz w:val="32"/>
          <w:szCs w:val="32"/>
        </w:rPr>
        <w:t xml:space="preserve">What this briefing is — and is not</w:t>
      </w:r>
    </w:p>
    <w:p>
      <w:pPr>
        <w:spacing w:after="120" w:before="0" w:line="300"/>
      </w:pPr>
      <w:r>
        <w:rPr>
          <w:rFonts w:ascii="Calibri" w:cs="Calibri" w:eastAsia="Calibri" w:hAnsi="Calibri"/>
        </w:rPr>
        <w:t xml:space="preserve">This briefing is a research input. We are not requesting:</w:t>
      </w:r>
    </w:p>
    <w:p>
      <w:pPr>
        <w:pStyle w:val="ListParagraph"/>
        <w:numPr>
          <w:ilvl w:val="0"/>
          <w:numId w:val="2"/>
        </w:numPr>
        <w:spacing w:after="80" w:line="280"/>
      </w:pPr>
      <w:r>
        <w:rPr>
          <w:rFonts w:ascii="Calibri" w:cs="Calibri" w:eastAsia="Calibri" w:hAnsi="Calibri"/>
          <w:sz w:val="22"/>
          <w:szCs w:val="22"/>
        </w:rPr>
        <w:t xml:space="preserve">placement in a Magic Quadrant or Critical Capabilities report</w:t>
      </w:r>
    </w:p>
    <w:p>
      <w:pPr>
        <w:pStyle w:val="ListParagraph"/>
        <w:numPr>
          <w:ilvl w:val="0"/>
          <w:numId w:val="2"/>
        </w:numPr>
        <w:spacing w:after="80" w:line="280"/>
      </w:pPr>
      <w:r>
        <w:rPr>
          <w:rFonts w:ascii="Calibri" w:cs="Calibri" w:eastAsia="Calibri" w:hAnsi="Calibri"/>
          <w:sz w:val="22"/>
          <w:szCs w:val="22"/>
        </w:rPr>
        <w:t xml:space="preserve">preferential treatment in any vendor evaluation</w:t>
      </w:r>
    </w:p>
    <w:p>
      <w:pPr>
        <w:pStyle w:val="ListParagraph"/>
        <w:numPr>
          <w:ilvl w:val="0"/>
          <w:numId w:val="2"/>
        </w:numPr>
        <w:spacing w:after="80" w:line="280"/>
      </w:pPr>
      <w:r>
        <w:rPr>
          <w:rFonts w:ascii="Calibri" w:cs="Calibri" w:eastAsia="Calibri" w:hAnsi="Calibri"/>
          <w:sz w:val="22"/>
          <w:szCs w:val="22"/>
        </w:rPr>
        <w:t xml:space="preserve">endorsement, recommendation, or named citation</w:t>
      </w:r>
    </w:p>
    <w:p>
      <w:pPr>
        <w:spacing w:after="120" w:before="0" w:line="300"/>
      </w:pPr>
      <w:r>
        <w:rPr>
          <w:rFonts w:ascii="Calibri" w:cs="Calibri" w:eastAsia="Calibri" w:hAnsi="Calibri"/>
        </w:rPr>
        <w:t xml:space="preserve">We are requesting honest analyst time and analyst feedback. If Gartner finds the deployment relevant to ongoing Smart City, Urban Digital Twin, or Digital Government Services research, we are happy to be available for follow-up inquiry as a reference vendor.</w:t>
      </w:r>
    </w:p>
    <w:p>
      <w:pPr>
        <w:pStyle w:val="Heading1"/>
        <w:spacing w:after="180" w:before="360"/>
      </w:pPr>
      <w:r>
        <w:rPr>
          <w:rFonts w:ascii="Calibri" w:cs="Calibri" w:eastAsia="Calibri" w:hAnsi="Calibri"/>
          <w:b/>
          <w:bCs/>
          <w:color w:val="1F2C4C"/>
          <w:sz w:val="32"/>
          <w:szCs w:val="32"/>
        </w:rPr>
        <w:t xml:space="preserve">Reference materials we can share under NDA</w:t>
      </w:r>
    </w:p>
    <w:p>
      <w:pPr>
        <w:pStyle w:val="ListParagraph"/>
        <w:numPr>
          <w:ilvl w:val="0"/>
          <w:numId w:val="2"/>
        </w:numPr>
        <w:spacing w:after="80" w:line="280"/>
      </w:pPr>
      <w:r>
        <w:rPr>
          <w:rFonts w:ascii="Calibri" w:cs="Calibri" w:eastAsia="Calibri" w:hAnsi="Calibri"/>
          <w:sz w:val="22"/>
          <w:szCs w:val="22"/>
        </w:rPr>
        <w:t xml:space="preserve">Atlanta360 Super Cycle Blueprint v1.0 — 660-day operational plan from system power-on through Super Bowl LXII</w:t>
      </w:r>
    </w:p>
    <w:p>
      <w:pPr>
        <w:pStyle w:val="ListParagraph"/>
        <w:numPr>
          <w:ilvl w:val="0"/>
          <w:numId w:val="2"/>
        </w:numPr>
        <w:spacing w:after="80" w:line="280"/>
      </w:pPr>
      <w:r>
        <w:rPr>
          <w:rFonts w:ascii="Calibri" w:cs="Calibri" w:eastAsia="Calibri" w:hAnsi="Calibri"/>
          <w:sz w:val="22"/>
          <w:szCs w:val="22"/>
        </w:rPr>
        <w:t xml:space="preserve">Atlanta360 Intelligence Fabric v1.0 — persona-by-persona decision rights, SLAs, and escalation paths</w:t>
      </w:r>
    </w:p>
    <w:p>
      <w:pPr>
        <w:pStyle w:val="ListParagraph"/>
        <w:numPr>
          <w:ilvl w:val="0"/>
          <w:numId w:val="2"/>
        </w:numPr>
        <w:spacing w:after="80" w:line="280"/>
      </w:pPr>
      <w:r>
        <w:rPr>
          <w:rFonts w:ascii="Calibri" w:cs="Calibri" w:eastAsia="Calibri" w:hAnsi="Calibri"/>
          <w:sz w:val="22"/>
          <w:szCs w:val="22"/>
        </w:rPr>
        <w:t xml:space="preserve">Atlanta360 Program Charter v2.0 — governance structure, console architecture, and the Unified Standard</w:t>
      </w:r>
    </w:p>
    <w:p>
      <w:pPr>
        <w:pStyle w:val="ListParagraph"/>
        <w:numPr>
          <w:ilvl w:val="0"/>
          <w:numId w:val="2"/>
        </w:numPr>
        <w:spacing w:after="80" w:line="280"/>
      </w:pPr>
      <w:r>
        <w:rPr>
          <w:rFonts w:ascii="Calibri" w:cs="Calibri" w:eastAsia="Calibri" w:hAnsi="Calibri"/>
          <w:sz w:val="22"/>
          <w:szCs w:val="22"/>
        </w:rPr>
        <w:t xml:space="preserve">FEMA BRIC technical narrative and BCA volumes — federal grant submission illustrating procurement-integrity firewall (2 CFR §200.319(b))</w:t>
      </w:r>
    </w:p>
    <w:p>
      <w:pPr>
        <w:pStyle w:val="ListParagraph"/>
        <w:numPr>
          <w:ilvl w:val="0"/>
          <w:numId w:val="2"/>
        </w:numPr>
        <w:spacing w:after="80" w:line="280"/>
      </w:pPr>
      <w:r>
        <w:rPr>
          <w:rFonts w:ascii="Calibri" w:cs="Calibri" w:eastAsia="Calibri" w:hAnsi="Calibri"/>
          <w:sz w:val="22"/>
          <w:szCs w:val="22"/>
        </w:rPr>
        <w:t xml:space="preserve">Reference architectures for shared situational awareness, cybersecurity defense operations, and multi-agency communications mesh</w:t>
      </w:r>
    </w:p>
    <w:p>
      <w:pPr>
        <w:pBdr>
          <w:top w:val="single" w:color="1F2C4C" w:sz="8" w:space="8"/>
        </w:pBdr>
        <w:spacing w:after="0" w:before="480"/>
      </w:pPr>
      <w:r>
        <w:t xml:space="preserve"/>
      </w:r>
    </w:p>
    <w:p>
      <w:pPr>
        <w:spacing w:after="60" w:before="120"/>
      </w:pPr>
      <w:r>
        <w:rPr>
          <w:rFonts w:ascii="Calibri" w:cs="Calibri" w:eastAsia="Calibri" w:hAnsi="Calibri"/>
          <w:b/>
          <w:bCs/>
          <w:color w:val="595959"/>
          <w:sz w:val="18"/>
          <w:szCs w:val="18"/>
        </w:rPr>
        <w:t xml:space="preserve">Document control:</w:t>
      </w:r>
      <w:r>
        <w:rPr>
          <w:rFonts w:ascii="Calibri" w:cs="Calibri" w:eastAsia="Calibri" w:hAnsi="Calibri"/>
          <w:color w:val="595959"/>
          <w:sz w:val="18"/>
          <w:szCs w:val="18"/>
        </w:rPr>
        <w:t xml:space="preserve"> Gartner Analyst Briefing Request v1.0  •  Sentrais Corporation  •  Issued May 13, 2026</w:t>
      </w:r>
    </w:p>
    <w:p>
      <w:pPr>
        <w:spacing w:after="0"/>
      </w:pPr>
      <w:r>
        <w:rPr>
          <w:rFonts w:ascii="Calibri" w:cs="Calibri" w:eastAsia="Calibri" w:hAnsi="Calibri"/>
          <w:b/>
          <w:bCs/>
          <w:color w:val="595959"/>
          <w:sz w:val="18"/>
          <w:szCs w:val="18"/>
        </w:rPr>
        <w:t xml:space="preserve">Submit via:</w:t>
      </w:r>
      <w:r>
        <w:rPr>
          <w:rFonts w:ascii="Calibri" w:cs="Calibri" w:eastAsia="Calibri" w:hAnsi="Calibri"/>
          <w:color w:val="595959"/>
          <w:sz w:val="18"/>
          <w:szCs w:val="18"/>
        </w:rPr>
        <w:t xml:space="preserve">  gartner.com/analyst/portal  →  “Submit a briefing request”  →  Public Sector / Smart City coverage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2C4C"/>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2C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Gartner Analyst Briefing Request — Sentrais</dc:title>
  <dc:creator>Sentrais</dc:creator>
  <cp:lastModifiedBy>Un-named</cp:lastModifiedBy>
  <cp:revision>1</cp:revision>
  <dcterms:created xsi:type="dcterms:W3CDTF">2026-05-13T10:47:36.601Z</dcterms:created>
  <dcterms:modified xsi:type="dcterms:W3CDTF">2026-05-13T10:47:36.601Z</dcterms:modified>
</cp:coreProperties>
</file>

<file path=docProps/custom.xml><?xml version="1.0" encoding="utf-8"?>
<Properties xmlns="http://schemas.openxmlformats.org/officeDocument/2006/custom-properties" xmlns:vt="http://schemas.openxmlformats.org/officeDocument/2006/docPropsVTypes"/>
</file>