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pStyle w:val="Title"/>
      </w:pPr>
      <w:r>
        <w:t xml:space="preserve">SENTRAIS CORPORATION</w:t>
      </w:r>
    </w:p>
    <w:p>
      <w:pPr>
        <w:spacing w:after="400"/>
        <w:jc w:val="center"/>
      </w:pPr>
      <w:r>
        <w:rPr>
          <w:color w:val="2D5A8A"/>
          <w:sz w:val="36"/>
          <w:szCs w:val="36"/>
        </w:rPr>
        <w:t xml:space="preserve">Google Cloud Strategic Partnership Proposal</w:t>
      </w:r>
    </w:p>
    <w:p>
      <w:pPr>
        <w:spacing w:after="200"/>
        <w:jc w:val="center"/>
      </w:pPr>
      <w:r>
        <w:rPr>
          <w:i/>
          <w:iCs/>
          <w:color w:val="666666"/>
          <w:sz w:val="26"/>
          <w:szCs w:val="26"/>
        </w:rPr>
        <w:t xml:space="preserve">Operational Intelligence Infrastructure for Major Events</w:t>
      </w:r>
    </w:p>
    <w:p>
      <w:pPr>
        <w:spacing w:before="1500"/>
      </w:pPr>
    </w:p>
    <w:p>
      <w:pPr>
        <w:jc w:val="center"/>
      </w:pPr>
      <w:r>
        <w:rPr>
          <w:b/>
          <w:bCs/>
          <w:sz w:val="24"/>
          <w:szCs w:val="24"/>
        </w:rPr>
        <w:t xml:space="preserve">Prepared for: Google Cloud Platform</w:t>
      </w:r>
    </w:p>
    <w:p>
      <w:pPr>
        <w:spacing w:after="100"/>
        <w:jc w:val="center"/>
      </w:pPr>
      <w:r>
        <w:rPr>
          <w:color w:val="666666"/>
          <w:sz w:val="22"/>
          <w:szCs w:val="22"/>
        </w:rPr>
        <w:t xml:space="preserve">Strategic Partnerships &amp; Sports/Entertainment Vertical</w:t>
      </w:r>
    </w:p>
    <w:p>
      <w:pPr>
        <w:spacing w:before="800"/>
      </w:pPr>
    </w:p>
    <w:p>
      <w:pPr>
        <w:jc w:val="center"/>
      </w:pPr>
      <w:r>
        <w:rPr>
          <w:sz w:val="22"/>
          <w:szCs w:val="22"/>
        </w:rPr>
        <w:t xml:space="preserve">Prepared by: Tye Hayes</w:t>
      </w:r>
    </w:p>
    <w:p>
      <w:pPr>
        <w:jc w:val="center"/>
      </w:pPr>
      <w:r>
        <w:rPr>
          <w:sz w:val="22"/>
          <w:szCs w:val="22"/>
        </w:rPr>
        <w:t xml:space="preserve">CEO &amp; Founder, Sentrais Corporation</w:t>
      </w:r>
    </w:p>
    <w:p>
      <w:pPr>
        <w:spacing w:after="100"/>
        <w:jc w:val="center"/>
      </w:pPr>
      <w:r>
        <w:rPr>
          <w:color w:val="666666"/>
          <w:sz w:val="22"/>
          <w:szCs w:val="22"/>
        </w:rPr>
        <w:t xml:space="preserve">December 2025</w:t>
      </w:r>
    </w:p>
    <w:p>
      <w:r>
        <w:br w:type="page"/>
      </w:r>
    </w:p>
    <w:p>
      <w:pPr>
        <w:pStyle w:val="Heading1"/>
      </w:pPr>
      <w:r>
        <w:t xml:space="preserve">EXECUTIVE SUMMARY</w:t>
      </w:r>
    </w:p>
    <w:p>
      <w:pPr>
        <w:spacing w:after="200"/>
      </w:pPr>
      <w:r>
        <w:t xml:space="preserve">Sentrais Corporation proposes a strategic partnership with Google Cloud Platform to become the operational intelligence layer for major sporting events and venue operations globally. This partnership positions Google Cloud as the definitive platform for mission-critical event coordination, complementing your LA28 Official Cloud Provider status and expanding your sports technology footprint.</w:t>
      </w:r>
    </w:p>
    <w:p>
      <w:pPr>
        <w:pStyle w:val="Heading2"/>
      </w:pPr>
      <w:r>
        <w:t xml:space="preserve">The Opportunity</w:t>
      </w:r>
    </w:p>
    <w:p>
      <w:pPr>
        <w:spacing w:after="200"/>
      </w:pPr>
      <w:r>
        <w:t xml:space="preserve">Google Cloud's October 2025 announcement as Official Cloud Provider and Founding Partner for LA28 Olympics creates a unique strategic window. Sentrais brings proven operational intelligence technology currently deployed with the NFL across 32 stadiums, delivering the coordination layer that transforms raw cloud infrastructure into actionable operational outcomes.</w:t>
      </w:r>
    </w:p>
    <w:p>
      <w:pPr>
        <w:pStyle w:val="Heading2"/>
      </w:pPr>
      <w:r>
        <w:t xml:space="preserve">What We Bring</w:t>
      </w:r>
    </w:p>
    <w:p>
      <w:pPr>
        <w:pStyle w:val="ListParagraph"/>
        <w:numPr>
          <w:ilvl w:val="0"/>
          <w:numId w:val="2"/>
        </w:numPr>
      </w:pPr>
      <w:r>
        <w:rPr>
          <w:b/>
          <w:bCs/>
        </w:rPr>
        <w:t xml:space="preserve">Proven NFL Deployment: </w:t>
      </w:r>
      <w:r>
        <w:t xml:space="preserve">$6.3M contract ($600K implementation + $1.9M annually × 3 years) managing game-day operations across all 32 NFL stadiums</w:t>
      </w:r>
    </w:p>
    <w:p>
      <w:pPr>
        <w:pStyle w:val="ListParagraph"/>
        <w:numPr>
          <w:ilvl w:val="0"/>
          <w:numId w:val="2"/>
        </w:numPr>
      </w:pPr>
      <w:r>
        <w:rPr>
          <w:b/>
          <w:bCs/>
        </w:rPr>
        <w:t xml:space="preserve">Super Bowl Experience: </w:t>
      </w:r>
      <w:r>
        <w:t xml:space="preserve">Multi-year Super Bowl operational coordination leadership</w:t>
      </w:r>
    </w:p>
    <w:p>
      <w:pPr>
        <w:pStyle w:val="ListParagraph"/>
        <w:numPr>
          <w:ilvl w:val="0"/>
          <w:numId w:val="2"/>
        </w:numPr>
      </w:pPr>
      <w:r>
        <w:rPr>
          <w:b/>
          <w:bCs/>
        </w:rPr>
        <w:t xml:space="preserve">Crisis Management Expertise: </w:t>
      </w:r>
      <w:r>
        <w:t xml:space="preserve">Former CIO/CTO of Atlanta with critical infrastructure cyber command experience</w:t>
      </w:r>
    </w:p>
    <w:p>
      <w:pPr>
        <w:pStyle w:val="ListParagraph"/>
        <w:numPr>
          <w:ilvl w:val="0"/>
          <w:numId w:val="2"/>
        </w:numPr>
      </w:pPr>
      <w:r>
        <w:rPr>
          <w:b/>
          <w:bCs/>
        </w:rPr>
        <w:t xml:space="preserve">Proprietary IP: </w:t>
      </w:r>
      <w:r>
        <w:t xml:space="preserve">N-Ovate Innovation Nexus (NIN) methodology and SentraisOS platform</w:t>
      </w:r>
    </w:p>
    <w:p>
      <w:pPr>
        <w:pStyle w:val="ListParagraph"/>
        <w:numPr>
          <w:ilvl w:val="0"/>
          <w:numId w:val="2"/>
        </w:numPr>
        <w:spacing w:after="200"/>
      </w:pPr>
      <w:r>
        <w:rPr>
          <w:b/>
          <w:bCs/>
        </w:rPr>
        <w:t xml:space="preserve">Multi-Vertical Platform: </w:t>
      </w:r>
      <w:r>
        <w:t xml:space="preserve">EVERGAME (sports), eVEnU (venues), CiviGrid (emergency response)</w:t>
      </w:r>
    </w:p>
    <w:p>
      <w:pPr>
        <w:pStyle w:val="Heading2"/>
      </w:pPr>
      <w:r>
        <w:t xml:space="preserve">Strategic Value for Google Cloud</w:t>
      </w:r>
    </w:p>
    <w:p>
      <w:pPr>
        <w:pStyle w:val="ListParagraph"/>
        <w:numPr>
          <w:ilvl w:val="0"/>
          <w:numId w:val="3"/>
        </w:numPr>
      </w:pPr>
      <w:r>
        <w:rPr>
          <w:b/>
          <w:bCs/>
        </w:rPr>
        <w:t xml:space="preserve">LA28 Differentiation: </w:t>
      </w:r>
      <w:r>
        <w:t xml:space="preserve">Operational intelligence layer that transforms infrastructure into coordinated outcomes</w:t>
      </w:r>
    </w:p>
    <w:p>
      <w:pPr>
        <w:pStyle w:val="ListParagraph"/>
        <w:numPr>
          <w:ilvl w:val="0"/>
          <w:numId w:val="3"/>
        </w:numPr>
      </w:pPr>
      <w:r>
        <w:rPr>
          <w:b/>
          <w:bCs/>
        </w:rPr>
        <w:t xml:space="preserve">FIFA World Cup 2026 Opportunity: </w:t>
      </w:r>
      <w:r>
        <w:t xml:space="preserve">48-team tournament across 16 North American cities needs venue coordination</w:t>
      </w:r>
    </w:p>
    <w:p>
      <w:pPr>
        <w:pStyle w:val="ListParagraph"/>
        <w:numPr>
          <w:ilvl w:val="0"/>
          <w:numId w:val="3"/>
        </w:numPr>
      </w:pPr>
      <w:r>
        <w:rPr>
          <w:b/>
          <w:bCs/>
        </w:rPr>
        <w:t xml:space="preserve">Sports Vertical Expansion: </w:t>
      </w:r>
      <w:r>
        <w:t xml:space="preserve">Counter AWS's NFL/NBA partnerships with operational intelligence differentiation</w:t>
      </w:r>
    </w:p>
    <w:p>
      <w:pPr>
        <w:pStyle w:val="ListParagraph"/>
        <w:numPr>
          <w:ilvl w:val="0"/>
          <w:numId w:val="3"/>
        </w:numPr>
      </w:pPr>
      <w:r>
        <w:rPr>
          <w:b/>
          <w:bCs/>
        </w:rPr>
        <w:t xml:space="preserve">AI/ML Showcase: </w:t>
      </w:r>
      <w:r>
        <w:t xml:space="preserve">Real-world mission-critical AI deployment validating Gemini and Vertex AI</w:t>
      </w:r>
    </w:p>
    <w:p>
      <w:pPr>
        <w:pStyle w:val="ListParagraph"/>
        <w:numPr>
          <w:ilvl w:val="0"/>
          <w:numId w:val="3"/>
        </w:numPr>
        <w:spacing w:after="200"/>
      </w:pPr>
      <w:r>
        <w:rPr>
          <w:b/>
          <w:bCs/>
        </w:rPr>
        <w:t xml:space="preserve">GCP Consumption Flywheel: </w:t>
      </w:r>
      <w:r>
        <w:t xml:space="preserve">High-consumption workloads across compute, ML, IoT, and analytics</w:t>
      </w:r>
    </w:p>
    <w:p>
      <w:r>
        <w:br w:type="page"/>
      </w:r>
    </w:p>
    <w:p>
      <w:pPr>
        <w:pStyle w:val="Heading1"/>
      </w:pPr>
      <w:r>
        <w:t xml:space="preserve">PART 1: THE STRATEGIC CASE FOR GOOGLE CLOUD</w:t>
      </w:r>
    </w:p>
    <w:p>
      <w:pPr>
        <w:pStyle w:val="Heading2"/>
      </w:pPr>
      <w:r>
        <w:t xml:space="preserve">Why Google Over AWS</w:t>
      </w:r>
    </w:p>
    <w:p>
      <w:pPr>
        <w:spacing w:after="200"/>
      </w:pPr>
      <w:r>
        <w:t xml:space="preserve">While AWS holds partnerships with the NFL and NBA, Google Cloud's strategic position offers Sentrais superior alignment for building the operational intelligence category: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Factor</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Google Cloud</w:t>
            </w:r>
          </w:p>
        </w:tc>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AWS</w:t>
            </w:r>
          </w:p>
        </w:tc>
      </w:tr>
      <w:tr>
        <w:tc>
          <w:tcPr>
            <w:tcW w:type="dxa" w:w="3120"/>
            <w:tcBorders>
              <w:top w:val="single" w:color="CCCCCC" w:sz="1"/>
              <w:left w:val="single" w:color="CCCCCC" w:sz="1"/>
              <w:bottom w:val="single" w:color="CCCCCC" w:sz="1"/>
              <w:right w:val="single" w:color="CCCCCC" w:sz="1"/>
            </w:tcBorders>
            <w:shd w:fill="F7FAFC" w:val="clear"/>
          </w:tcPr>
          <w:p>
            <w:r>
              <w:rPr>
                <w:b/>
                <w:bCs/>
              </w:rPr>
              <w:t xml:space="preserve">Olympics 2028</w:t>
            </w:r>
          </w:p>
        </w:tc>
        <w:tc>
          <w:tcPr>
            <w:tcW w:type="dxa" w:w="3120"/>
            <w:tcBorders>
              <w:top w:val="single" w:color="CCCCCC" w:sz="1"/>
              <w:left w:val="single" w:color="CCCCCC" w:sz="1"/>
              <w:bottom w:val="single" w:color="CCCCCC" w:sz="1"/>
              <w:right w:val="single" w:color="CCCCCC" w:sz="1"/>
            </w:tcBorders>
          </w:tcPr>
          <w:p>
            <w:r>
              <w:rPr>
                <w:color w:val="2E7D32"/>
              </w:rPr>
              <w:t xml:space="preserve">Official Cloud Provider + Founding Partner</w:t>
            </w:r>
          </w:p>
        </w:tc>
        <w:tc>
          <w:tcPr>
            <w:tcW w:type="dxa" w:w="3120"/>
            <w:tcBorders>
              <w:top w:val="single" w:color="CCCCCC" w:sz="1"/>
              <w:left w:val="single" w:color="CCCCCC" w:sz="1"/>
              <w:bottom w:val="single" w:color="CCCCCC" w:sz="1"/>
              <w:right w:val="single" w:color="CCCCCC" w:sz="1"/>
            </w:tcBorders>
          </w:tcPr>
          <w:p>
            <w:r>
              <w:t xml:space="preserve">No official partnership</w:t>
            </w:r>
          </w:p>
        </w:tc>
      </w:tr>
      <w:tr>
        <w:tc>
          <w:tcPr>
            <w:tcW w:type="dxa" w:w="3120"/>
            <w:tcBorders>
              <w:top w:val="single" w:color="CCCCCC" w:sz="1"/>
              <w:left w:val="single" w:color="CCCCCC" w:sz="1"/>
              <w:bottom w:val="single" w:color="CCCCCC" w:sz="1"/>
              <w:right w:val="single" w:color="CCCCCC" w:sz="1"/>
            </w:tcBorders>
            <w:shd w:fill="F7FAFC" w:val="clear"/>
          </w:tcPr>
          <w:p>
            <w:r>
              <w:rPr>
                <w:b/>
                <w:bCs/>
              </w:rPr>
              <w:t xml:space="preserve">MLB Partnership</w:t>
            </w:r>
          </w:p>
        </w:tc>
        <w:tc>
          <w:tcPr>
            <w:tcW w:type="dxa" w:w="3120"/>
            <w:tcBorders>
              <w:top w:val="single" w:color="CCCCCC" w:sz="1"/>
              <w:left w:val="single" w:color="CCCCCC" w:sz="1"/>
              <w:bottom w:val="single" w:color="CCCCCC" w:sz="1"/>
              <w:right w:val="single" w:color="CCCCCC" w:sz="1"/>
            </w:tcBorders>
          </w:tcPr>
          <w:p>
            <w:r>
              <w:rPr>
                <w:color w:val="2E7D32"/>
              </w:rPr>
              <w:t xml:space="preserve">Official Cloud Partner (multi-year)</w:t>
            </w:r>
          </w:p>
        </w:tc>
        <w:tc>
          <w:tcPr>
            <w:tcW w:type="dxa" w:w="3120"/>
            <w:tcBorders>
              <w:top w:val="single" w:color="CCCCCC" w:sz="1"/>
              <w:left w:val="single" w:color="CCCCCC" w:sz="1"/>
              <w:bottom w:val="single" w:color="CCCCCC" w:sz="1"/>
              <w:right w:val="single" w:color="CCCCCC" w:sz="1"/>
            </w:tcBorders>
          </w:tcPr>
          <w:p>
            <w:r>
              <w:t xml:space="preserve">No MLB partnership</w:t>
            </w:r>
          </w:p>
        </w:tc>
      </w:tr>
      <w:tr>
        <w:tc>
          <w:tcPr>
            <w:tcW w:type="dxa" w:w="3120"/>
            <w:tcBorders>
              <w:top w:val="single" w:color="CCCCCC" w:sz="1"/>
              <w:left w:val="single" w:color="CCCCCC" w:sz="1"/>
              <w:bottom w:val="single" w:color="CCCCCC" w:sz="1"/>
              <w:right w:val="single" w:color="CCCCCC" w:sz="1"/>
            </w:tcBorders>
            <w:shd w:fill="F7FAFC" w:val="clear"/>
          </w:tcPr>
          <w:p>
            <w:r>
              <w:rPr>
                <w:b/>
                <w:bCs/>
              </w:rPr>
              <w:t xml:space="preserve">AI/ML Leadership</w:t>
            </w:r>
          </w:p>
        </w:tc>
        <w:tc>
          <w:tcPr>
            <w:tcW w:type="dxa" w:w="3120"/>
            <w:tcBorders>
              <w:top w:val="single" w:color="CCCCCC" w:sz="1"/>
              <w:left w:val="single" w:color="CCCCCC" w:sz="1"/>
              <w:bottom w:val="single" w:color="CCCCCC" w:sz="1"/>
              <w:right w:val="single" w:color="CCCCCC" w:sz="1"/>
            </w:tcBorders>
          </w:tcPr>
          <w:p>
            <w:r>
              <w:rPr>
                <w:color w:val="2E7D32"/>
              </w:rPr>
              <w:t xml:space="preserve">Gemini, Vertex AI, TPUs</w:t>
            </w:r>
          </w:p>
        </w:tc>
        <w:tc>
          <w:tcPr>
            <w:tcW w:type="dxa" w:w="3120"/>
            <w:tcBorders>
              <w:top w:val="single" w:color="CCCCCC" w:sz="1"/>
              <w:left w:val="single" w:color="CCCCCC" w:sz="1"/>
              <w:bottom w:val="single" w:color="CCCCCC" w:sz="1"/>
              <w:right w:val="single" w:color="CCCCCC" w:sz="1"/>
            </w:tcBorders>
          </w:tcPr>
          <w:p>
            <w:r>
              <w:t xml:space="preserve">Bedrock, SageMaker</w:t>
            </w:r>
          </w:p>
        </w:tc>
      </w:tr>
      <w:tr>
        <w:tc>
          <w:tcPr>
            <w:tcW w:type="dxa" w:w="3120"/>
            <w:tcBorders>
              <w:top w:val="single" w:color="CCCCCC" w:sz="1"/>
              <w:left w:val="single" w:color="CCCCCC" w:sz="1"/>
              <w:bottom w:val="single" w:color="CCCCCC" w:sz="1"/>
              <w:right w:val="single" w:color="CCCCCC" w:sz="1"/>
            </w:tcBorders>
            <w:shd w:fill="F7FAFC" w:val="clear"/>
          </w:tcPr>
          <w:p>
            <w:r>
              <w:rPr>
                <w:b/>
                <w:bCs/>
              </w:rPr>
              <w:t xml:space="preserve">Market Position</w:t>
            </w:r>
          </w:p>
        </w:tc>
        <w:tc>
          <w:tcPr>
            <w:tcW w:type="dxa" w:w="3120"/>
            <w:tcBorders>
              <w:top w:val="single" w:color="CCCCCC" w:sz="1"/>
              <w:left w:val="single" w:color="CCCCCC" w:sz="1"/>
              <w:bottom w:val="single" w:color="CCCCCC" w:sz="1"/>
              <w:right w:val="single" w:color="CCCCCC" w:sz="1"/>
            </w:tcBorders>
          </w:tcPr>
          <w:p>
            <w:r>
              <w:rPr>
                <w:color w:val="2E7D32"/>
              </w:rPr>
              <w:t xml:space="preserve">13% share, fastest AI growth</w:t>
            </w:r>
          </w:p>
        </w:tc>
        <w:tc>
          <w:tcPr>
            <w:tcW w:type="dxa" w:w="3120"/>
            <w:tcBorders>
              <w:top w:val="single" w:color="CCCCCC" w:sz="1"/>
              <w:left w:val="single" w:color="CCCCCC" w:sz="1"/>
              <w:bottom w:val="single" w:color="CCCCCC" w:sz="1"/>
              <w:right w:val="single" w:color="CCCCCC" w:sz="1"/>
            </w:tcBorders>
          </w:tcPr>
          <w:p>
            <w:r>
              <w:t xml:space="preserve">29% share, gradual decline</w:t>
            </w:r>
          </w:p>
        </w:tc>
      </w:tr>
      <w:tr>
        <w:tc>
          <w:tcPr>
            <w:tcW w:type="dxa" w:w="3120"/>
            <w:tcBorders>
              <w:top w:val="single" w:color="CCCCCC" w:sz="1"/>
              <w:left w:val="single" w:color="CCCCCC" w:sz="1"/>
              <w:bottom w:val="single" w:color="CCCCCC" w:sz="1"/>
              <w:right w:val="single" w:color="CCCCCC" w:sz="1"/>
            </w:tcBorders>
            <w:shd w:fill="F7FAFC" w:val="clear"/>
          </w:tcPr>
          <w:p>
            <w:r>
              <w:rPr>
                <w:b/>
                <w:bCs/>
              </w:rPr>
              <w:t xml:space="preserve">Startup Credits</w:t>
            </w:r>
          </w:p>
        </w:tc>
        <w:tc>
          <w:tcPr>
            <w:tcW w:type="dxa" w:w="3120"/>
            <w:tcBorders>
              <w:top w:val="single" w:color="CCCCCC" w:sz="1"/>
              <w:left w:val="single" w:color="CCCCCC" w:sz="1"/>
              <w:bottom w:val="single" w:color="CCCCCC" w:sz="1"/>
              <w:right w:val="single" w:color="CCCCCC" w:sz="1"/>
            </w:tcBorders>
          </w:tcPr>
          <w:p>
            <w:r>
              <w:rPr>
                <w:color w:val="2E7D32"/>
              </w:rPr>
              <w:t xml:space="preserve">Up to $350K (AI startups)</w:t>
            </w:r>
          </w:p>
        </w:tc>
        <w:tc>
          <w:tcPr>
            <w:tcW w:type="dxa" w:w="3120"/>
            <w:tcBorders>
              <w:top w:val="single" w:color="CCCCCC" w:sz="1"/>
              <w:left w:val="single" w:color="CCCCCC" w:sz="1"/>
              <w:bottom w:val="single" w:color="CCCCCC" w:sz="1"/>
              <w:right w:val="single" w:color="CCCCCC" w:sz="1"/>
            </w:tcBorders>
          </w:tcPr>
          <w:p>
            <w:r>
              <w:t xml:space="preserve">Up to $100K (Activate)</w:t>
            </w:r>
          </w:p>
        </w:tc>
      </w:tr>
      <w:tr>
        <w:tc>
          <w:tcPr>
            <w:tcW w:type="dxa" w:w="3120"/>
            <w:tcBorders>
              <w:top w:val="single" w:color="CCCCCC" w:sz="1"/>
              <w:left w:val="single" w:color="CCCCCC" w:sz="1"/>
              <w:bottom w:val="single" w:color="CCCCCC" w:sz="1"/>
              <w:right w:val="single" w:color="CCCCCC" w:sz="1"/>
            </w:tcBorders>
            <w:shd w:fill="F7FAFC" w:val="clear"/>
          </w:tcPr>
          <w:p>
            <w:r>
              <w:rPr>
                <w:b/>
                <w:bCs/>
              </w:rPr>
              <w:t xml:space="preserve">Sports Strategy Gap</w:t>
            </w:r>
          </w:p>
        </w:tc>
        <w:tc>
          <w:tcPr>
            <w:tcW w:type="dxa" w:w="3120"/>
            <w:tcBorders>
              <w:top w:val="single" w:color="CCCCCC" w:sz="1"/>
              <w:left w:val="single" w:color="CCCCCC" w:sz="1"/>
              <w:bottom w:val="single" w:color="CCCCCC" w:sz="1"/>
              <w:right w:val="single" w:color="CCCCCC" w:sz="1"/>
            </w:tcBorders>
          </w:tcPr>
          <w:p>
            <w:r>
              <w:rPr>
                <w:color w:val="D84315"/>
              </w:rPr>
              <w:t xml:space="preserve">No venue operations layer</w:t>
            </w:r>
          </w:p>
        </w:tc>
        <w:tc>
          <w:tcPr>
            <w:tcW w:type="dxa" w:w="3120"/>
            <w:tcBorders>
              <w:top w:val="single" w:color="CCCCCC" w:sz="1"/>
              <w:left w:val="single" w:color="CCCCCC" w:sz="1"/>
              <w:bottom w:val="single" w:color="CCCCCC" w:sz="1"/>
              <w:right w:val="single" w:color="CCCCCC" w:sz="1"/>
            </w:tcBorders>
          </w:tcPr>
          <w:p>
            <w:r>
              <w:rPr>
                <w:color w:val="D84315"/>
              </w:rPr>
              <w:t xml:space="preserve">No venue operations layer</w:t>
            </w:r>
          </w:p>
        </w:tc>
      </w:tr>
    </w:tbl>
    <w:p>
      <w:pPr>
        <w:spacing w:before="200" w:after="200"/>
      </w:pPr>
      <w:r>
        <w:rPr>
          <w:b/>
          <w:bCs/>
          <w:i/>
          <w:iCs/>
        </w:rPr>
        <w:t xml:space="preserve">Key Insight: </w:t>
      </w:r>
      <w:r>
        <w:rPr>
          <w:i/>
          <w:iCs/>
        </w:rPr>
        <w:t xml:space="preserve">Google Cloud has the major event relationships (LA28, MLB) but lacks the operational intelligence layer to maximize value. Sentrais fills this gap.</w:t>
      </w:r>
    </w:p>
    <w:p>
      <w:pPr>
        <w:pStyle w:val="Heading2"/>
      </w:pPr>
      <w:r>
        <w:t xml:space="preserve">The LA28 + FIFA 2026 Convergence</w:t>
      </w:r>
    </w:p>
    <w:p>
      <w:pPr>
        <w:spacing w:after="200"/>
      </w:pPr>
      <w:r>
        <w:t xml:space="preserve">Two of the largest sporting events in history will occur within two years of each other, both primarily in North America. Google Cloud's LA28 partnership creates the foundation; Sentrais provides the operational coordination layer that makes it work:</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Event</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Timeline</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Scale</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Google Position</w:t>
            </w:r>
          </w:p>
        </w:tc>
      </w:tr>
      <w:tr>
        <w:tc>
          <w:tcPr>
            <w:tcW w:type="dxa" w:w="2340"/>
            <w:tcBorders>
              <w:top w:val="single" w:color="CCCCCC" w:sz="1"/>
              <w:left w:val="single" w:color="CCCCCC" w:sz="1"/>
              <w:bottom w:val="single" w:color="CCCCCC" w:sz="1"/>
              <w:right w:val="single" w:color="CCCCCC" w:sz="1"/>
            </w:tcBorders>
          </w:tcPr>
          <w:p>
            <w:r>
              <w:rPr>
                <w:b/>
                <w:bCs/>
              </w:rPr>
              <w:t xml:space="preserve">FIFA World Cup 2026</w:t>
            </w:r>
          </w:p>
        </w:tc>
        <w:tc>
          <w:tcPr>
            <w:tcW w:type="dxa" w:w="2340"/>
            <w:tcBorders>
              <w:top w:val="single" w:color="CCCCCC" w:sz="1"/>
              <w:left w:val="single" w:color="CCCCCC" w:sz="1"/>
              <w:bottom w:val="single" w:color="CCCCCC" w:sz="1"/>
              <w:right w:val="single" w:color="CCCCCC" w:sz="1"/>
            </w:tcBorders>
          </w:tcPr>
          <w:p>
            <w:r>
              <w:t xml:space="preserve">June-July 2026</w:t>
            </w:r>
          </w:p>
        </w:tc>
        <w:tc>
          <w:tcPr>
            <w:tcW w:type="dxa" w:w="2340"/>
            <w:tcBorders>
              <w:top w:val="single" w:color="CCCCCC" w:sz="1"/>
              <w:left w:val="single" w:color="CCCCCC" w:sz="1"/>
              <w:bottom w:val="single" w:color="CCCCCC" w:sz="1"/>
              <w:right w:val="single" w:color="CCCCCC" w:sz="1"/>
            </w:tcBorders>
          </w:tcPr>
          <w:p>
            <w:r>
              <w:t xml:space="preserve">48 teams, 104 games, 16 cities</w:t>
            </w:r>
          </w:p>
        </w:tc>
        <w:tc>
          <w:tcPr>
            <w:tcW w:type="dxa" w:w="2340"/>
            <w:tcBorders>
              <w:top w:val="single" w:color="CCCCCC" w:sz="1"/>
              <w:left w:val="single" w:color="CCCCCC" w:sz="1"/>
              <w:bottom w:val="single" w:color="CCCCCC" w:sz="1"/>
              <w:right w:val="single" w:color="CCCCCC" w:sz="1"/>
            </w:tcBorders>
          </w:tcPr>
          <w:p>
            <w:r>
              <w:t xml:space="preserve">No official partnership (Lenovo is tech partner)</w:t>
            </w:r>
          </w:p>
        </w:tc>
      </w:tr>
      <w:tr>
        <w:tc>
          <w:tcPr>
            <w:tcW w:type="dxa" w:w="2340"/>
            <w:tcBorders>
              <w:top w:val="single" w:color="CCCCCC" w:sz="1"/>
              <w:left w:val="single" w:color="CCCCCC" w:sz="1"/>
              <w:bottom w:val="single" w:color="CCCCCC" w:sz="1"/>
              <w:right w:val="single" w:color="CCCCCC" w:sz="1"/>
            </w:tcBorders>
          </w:tcPr>
          <w:p>
            <w:r>
              <w:rPr>
                <w:b/>
                <w:bCs/>
              </w:rPr>
              <w:t xml:space="preserve">LA28 Olympics</w:t>
            </w:r>
          </w:p>
        </w:tc>
        <w:tc>
          <w:tcPr>
            <w:tcW w:type="dxa" w:w="2340"/>
            <w:tcBorders>
              <w:top w:val="single" w:color="CCCCCC" w:sz="1"/>
              <w:left w:val="single" w:color="CCCCCC" w:sz="1"/>
              <w:bottom w:val="single" w:color="CCCCCC" w:sz="1"/>
              <w:right w:val="single" w:color="CCCCCC" w:sz="1"/>
            </w:tcBorders>
          </w:tcPr>
          <w:p>
            <w:r>
              <w:t xml:space="preserve">July 2028</w:t>
            </w:r>
          </w:p>
        </w:tc>
        <w:tc>
          <w:tcPr>
            <w:tcW w:type="dxa" w:w="2340"/>
            <w:tcBorders>
              <w:top w:val="single" w:color="CCCCCC" w:sz="1"/>
              <w:left w:val="single" w:color="CCCCCC" w:sz="1"/>
              <w:bottom w:val="single" w:color="CCCCCC" w:sz="1"/>
              <w:right w:val="single" w:color="CCCCCC" w:sz="1"/>
            </w:tcBorders>
          </w:tcPr>
          <w:p>
            <w:r>
              <w:t xml:space="preserve">15,000+ athletes, 70,000+ workforce</w:t>
            </w:r>
          </w:p>
        </w:tc>
        <w:tc>
          <w:tcPr>
            <w:tcW w:type="dxa" w:w="2340"/>
            <w:tcBorders>
              <w:top w:val="single" w:color="CCCCCC" w:sz="1"/>
              <w:left w:val="single" w:color="CCCCCC" w:sz="1"/>
              <w:bottom w:val="single" w:color="CCCCCC" w:sz="1"/>
              <w:right w:val="single" w:color="CCCCCC" w:sz="1"/>
            </w:tcBorders>
          </w:tcPr>
          <w:p>
            <w:r>
              <w:rPr>
                <w:b/>
                <w:bCs/>
                <w:color w:val="2E7D32"/>
              </w:rPr>
              <w:t xml:space="preserve">Official Cloud Provider + Founding Partner</w:t>
            </w:r>
          </w:p>
        </w:tc>
      </w:tr>
      <w:tr>
        <w:tc>
          <w:tcPr>
            <w:tcW w:type="dxa" w:w="2340"/>
            <w:tcBorders>
              <w:top w:val="single" w:color="CCCCCC" w:sz="1"/>
              <w:left w:val="single" w:color="CCCCCC" w:sz="1"/>
              <w:bottom w:val="single" w:color="CCCCCC" w:sz="1"/>
              <w:right w:val="single" w:color="CCCCCC" w:sz="1"/>
            </w:tcBorders>
          </w:tcPr>
          <w:p>
            <w:r>
              <w:rPr>
                <w:b/>
                <w:bCs/>
              </w:rPr>
              <w:t xml:space="preserve">FIFA Women's WC 2027</w:t>
            </w:r>
          </w:p>
        </w:tc>
        <w:tc>
          <w:tcPr>
            <w:tcW w:type="dxa" w:w="2340"/>
            <w:tcBorders>
              <w:top w:val="single" w:color="CCCCCC" w:sz="1"/>
              <w:left w:val="single" w:color="CCCCCC" w:sz="1"/>
              <w:bottom w:val="single" w:color="CCCCCC" w:sz="1"/>
              <w:right w:val="single" w:color="CCCCCC" w:sz="1"/>
            </w:tcBorders>
          </w:tcPr>
          <w:p>
            <w:r>
              <w:t xml:space="preserve">July 2027</w:t>
            </w:r>
          </w:p>
        </w:tc>
        <w:tc>
          <w:tcPr>
            <w:tcW w:type="dxa" w:w="2340"/>
            <w:tcBorders>
              <w:top w:val="single" w:color="CCCCCC" w:sz="1"/>
              <w:left w:val="single" w:color="CCCCCC" w:sz="1"/>
              <w:bottom w:val="single" w:color="CCCCCC" w:sz="1"/>
              <w:right w:val="single" w:color="CCCCCC" w:sz="1"/>
            </w:tcBorders>
          </w:tcPr>
          <w:p>
            <w:r>
              <w:t xml:space="preserve">32 teams, Brazil</w:t>
            </w:r>
          </w:p>
        </w:tc>
        <w:tc>
          <w:tcPr>
            <w:tcW w:type="dxa" w:w="2340"/>
            <w:tcBorders>
              <w:top w:val="single" w:color="CCCCCC" w:sz="1"/>
              <w:left w:val="single" w:color="CCCCCC" w:sz="1"/>
              <w:bottom w:val="single" w:color="CCCCCC" w:sz="1"/>
              <w:right w:val="single" w:color="CCCCCC" w:sz="1"/>
            </w:tcBorders>
          </w:tcPr>
          <w:p>
            <w:r>
              <w:t xml:space="preserve">No official partnership</w:t>
            </w:r>
          </w:p>
        </w:tc>
      </w:tr>
    </w:tbl>
    <w:p>
      <w:r>
        <w:br w:type="page"/>
      </w:r>
    </w:p>
    <w:p>
      <w:pPr>
        <w:pStyle w:val="Heading1"/>
      </w:pPr>
      <w:r>
        <w:t xml:space="preserve">PART 2: COMPETITIVE ANALYSIS</w:t>
      </w:r>
    </w:p>
    <w:p>
      <w:pPr>
        <w:pStyle w:val="Heading2"/>
      </w:pPr>
      <w:r>
        <w:t xml:space="preserve">Current Cloud Sports Landscape</w:t>
      </w:r>
    </w:p>
    <w:p>
      <w:pPr>
        <w:spacing w:after="200"/>
      </w:pPr>
      <w:r>
        <w:t xml:space="preserve">The major cloud providers have staked positions in professional sports, but none have captured the operational intelligence layer: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Provider</w:t>
            </w:r>
          </w:p>
        </w:tc>
        <w:tc>
          <w:tcPr>
            <w:tcW w:type="dxa" w:w="351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Sports Partnerships</w:t>
            </w:r>
          </w:p>
        </w:tc>
        <w:tc>
          <w:tcPr>
            <w:tcW w:type="dxa" w:w="351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Gap</w:t>
            </w:r>
          </w:p>
        </w:tc>
      </w:tr>
      <w:tr>
        <w:tc>
          <w:tcPr>
            <w:tcW w:type="dxa" w:w="2340"/>
            <w:tcBorders>
              <w:top w:val="single" w:color="CCCCCC" w:sz="1"/>
              <w:left w:val="single" w:color="CCCCCC" w:sz="1"/>
              <w:bottom w:val="single" w:color="CCCCCC" w:sz="1"/>
              <w:right w:val="single" w:color="CCCCCC" w:sz="1"/>
            </w:tcBorders>
          </w:tcPr>
          <w:p>
            <w:r>
              <w:rPr>
                <w:b/>
                <w:bCs/>
              </w:rPr>
              <w:t xml:space="preserve">AWS</w:t>
            </w:r>
          </w:p>
        </w:tc>
        <w:tc>
          <w:tcPr>
            <w:tcW w:type="dxa" w:w="3510"/>
            <w:tcBorders>
              <w:top w:val="single" w:color="CCCCCC" w:sz="1"/>
              <w:left w:val="single" w:color="CCCCCC" w:sz="1"/>
              <w:bottom w:val="single" w:color="CCCCCC" w:sz="1"/>
              <w:right w:val="single" w:color="CCCCCC" w:sz="1"/>
            </w:tcBorders>
          </w:tcPr>
          <w:p>
            <w:r>
              <w:t xml:space="preserve">NFL (Official Cloud), NBA/WNBA, F1, PGA TOUR</w:t>
            </w:r>
          </w:p>
        </w:tc>
        <w:tc>
          <w:tcPr>
            <w:tcW w:type="dxa" w:w="3510"/>
            <w:tcBorders>
              <w:top w:val="single" w:color="CCCCCC" w:sz="1"/>
              <w:left w:val="single" w:color="CCCCCC" w:sz="1"/>
              <w:bottom w:val="single" w:color="CCCCCC" w:sz="1"/>
              <w:right w:val="single" w:color="CCCCCC" w:sz="1"/>
            </w:tcBorders>
          </w:tcPr>
          <w:p>
            <w:r>
              <w:t xml:space="preserve">Infrastructure focus; no venue operations coordination</w:t>
            </w:r>
          </w:p>
        </w:tc>
      </w:tr>
      <w:tr>
        <w:tc>
          <w:tcPr>
            <w:tcW w:type="dxa" w:w="2340"/>
            <w:tcBorders>
              <w:top w:val="single" w:color="CCCCCC" w:sz="1"/>
              <w:left w:val="single" w:color="CCCCCC" w:sz="1"/>
              <w:bottom w:val="single" w:color="CCCCCC" w:sz="1"/>
              <w:right w:val="single" w:color="CCCCCC" w:sz="1"/>
            </w:tcBorders>
          </w:tcPr>
          <w:p>
            <w:r>
              <w:rPr>
                <w:b/>
                <w:bCs/>
              </w:rPr>
              <w:t xml:space="preserve">Google Cloud</w:t>
            </w:r>
          </w:p>
        </w:tc>
        <w:tc>
          <w:tcPr>
            <w:tcW w:type="dxa" w:w="3510"/>
            <w:tcBorders>
              <w:top w:val="single" w:color="CCCCCC" w:sz="1"/>
              <w:left w:val="single" w:color="CCCCCC" w:sz="1"/>
              <w:bottom w:val="single" w:color="CCCCCC" w:sz="1"/>
              <w:right w:val="single" w:color="CCCCCC" w:sz="1"/>
            </w:tcBorders>
          </w:tcPr>
          <w:p>
            <w:r>
              <w:t xml:space="preserve">LA28 Olympics, MLB, English FA, Golden State Warriors</w:t>
            </w:r>
          </w:p>
        </w:tc>
        <w:tc>
          <w:tcPr>
            <w:tcW w:type="dxa" w:w="3510"/>
            <w:tcBorders>
              <w:top w:val="single" w:color="CCCCCC" w:sz="1"/>
              <w:left w:val="single" w:color="CCCCCC" w:sz="1"/>
              <w:bottom w:val="single" w:color="CCCCCC" w:sz="1"/>
              <w:right w:val="single" w:color="CCCCCC" w:sz="1"/>
            </w:tcBorders>
          </w:tcPr>
          <w:p>
            <w:r>
              <w:t xml:space="preserve">Analytics focus; no game-day operational intelligence</w:t>
            </w:r>
          </w:p>
        </w:tc>
      </w:tr>
      <w:tr>
        <w:tc>
          <w:tcPr>
            <w:tcW w:type="dxa" w:w="2340"/>
            <w:tcBorders>
              <w:top w:val="single" w:color="CCCCCC" w:sz="1"/>
              <w:left w:val="single" w:color="CCCCCC" w:sz="1"/>
              <w:bottom w:val="single" w:color="CCCCCC" w:sz="1"/>
              <w:right w:val="single" w:color="CCCCCC" w:sz="1"/>
            </w:tcBorders>
          </w:tcPr>
          <w:p>
            <w:r>
              <w:rPr>
                <w:b/>
                <w:bCs/>
              </w:rPr>
              <w:t xml:space="preserve">Microsoft Azure</w:t>
            </w:r>
          </w:p>
        </w:tc>
        <w:tc>
          <w:tcPr>
            <w:tcW w:type="dxa" w:w="3510"/>
            <w:tcBorders>
              <w:top w:val="single" w:color="CCCCCC" w:sz="1"/>
              <w:left w:val="single" w:color="CCCCCC" w:sz="1"/>
              <w:bottom w:val="single" w:color="CCCCCC" w:sz="1"/>
              <w:right w:val="single" w:color="CCCCCC" w:sz="1"/>
            </w:tcBorders>
          </w:tcPr>
          <w:p>
            <w:r>
              <w:t xml:space="preserve">NFL (basic infrastructure), Real Madrid, Team Liquid</w:t>
            </w:r>
          </w:p>
        </w:tc>
        <w:tc>
          <w:tcPr>
            <w:tcW w:type="dxa" w:w="3510"/>
            <w:tcBorders>
              <w:top w:val="single" w:color="CCCCCC" w:sz="1"/>
              <w:left w:val="single" w:color="CCCCCC" w:sz="1"/>
              <w:bottom w:val="single" w:color="CCCCCC" w:sz="1"/>
              <w:right w:val="single" w:color="CCCCCC" w:sz="1"/>
            </w:tcBorders>
          </w:tcPr>
          <w:p>
            <w:r>
              <w:t xml:space="preserve">Enterprise IT focus; no event coordination layer</w:t>
            </w:r>
          </w:p>
        </w:tc>
      </w:tr>
    </w:tbl>
    <w:p>
      <w:pPr>
        <w:pStyle w:val="Heading2"/>
        <w:spacing w:before="400"/>
      </w:pPr>
      <w:r>
        <w:t xml:space="preserve">The Orchestration Gap</w:t>
      </w:r>
    </w:p>
    <w:p>
      <w:pPr>
        <w:spacing w:after="200"/>
      </w:pPr>
      <w:r>
        <w:t xml:space="preserve">Cloud providers offer infrastructure. Leagues and venues need coordination. This gap represents the next platform layer in the evolution of sports technology:</w:t>
      </w:r>
    </w:p>
    <w:p>
      <w:pPr>
        <w:pStyle w:val="ListParagraph"/>
        <w:numPr>
          <w:ilvl w:val="0"/>
          <w:numId w:val="4"/>
        </w:numPr>
      </w:pPr>
      <w:r>
        <w:rPr>
          <w:b/>
          <w:bCs/>
        </w:rPr>
        <w:t xml:space="preserve">1990s-2000s: Infrastructure as a Service </w:t>
      </w:r>
      <w:r>
        <w:t xml:space="preserve">— AWS won this layer</w:t>
      </w:r>
    </w:p>
    <w:p>
      <w:pPr>
        <w:pStyle w:val="ListParagraph"/>
        <w:numPr>
          <w:ilvl w:val="0"/>
          <w:numId w:val="4"/>
        </w:numPr>
      </w:pPr>
      <w:r>
        <w:rPr>
          <w:b/>
          <w:bCs/>
        </w:rPr>
        <w:t xml:space="preserve">2010s: Platform as a Service </w:t>
      </w:r>
      <w:r>
        <w:t xml:space="preserve">— AWS/Azure dominated</w:t>
      </w:r>
    </w:p>
    <w:p>
      <w:pPr>
        <w:pStyle w:val="ListParagraph"/>
        <w:numPr>
          <w:ilvl w:val="0"/>
          <w:numId w:val="4"/>
        </w:numPr>
      </w:pPr>
      <w:r>
        <w:rPr>
          <w:b/>
          <w:bCs/>
        </w:rPr>
        <w:t xml:space="preserve">2020s: Orchestration as a Service </w:t>
      </w:r>
      <w:r>
        <w:t xml:space="preserve">— UNCLAIMED. This is where Sentrais operates.</w:t>
      </w:r>
    </w:p>
    <w:p>
      <w:pPr>
        <w:spacing w:before="200" w:after="200"/>
      </w:pPr>
      <w:r>
        <w:rPr>
          <w:b/>
          <w:bCs/>
        </w:rPr>
        <w:t xml:space="preserve">Strategic Implication: </w:t>
      </w:r>
      <w:r>
        <w:t xml:space="preserve">Google Cloud can leap ahead of AWS in sports by owning orchestration intelligence, not competing on infrastructure. Sentrais provides this layer.</w:t>
      </w:r>
    </w:p>
    <w:p>
      <w:pPr>
        <w:pStyle w:val="Heading2"/>
      </w:pPr>
      <w:r>
        <w:t xml:space="preserve">Why AWS Shouldn't Be Your Primary Partner</w:t>
      </w:r>
    </w:p>
    <w:p>
      <w:pPr>
        <w:spacing w:after="100"/>
      </w:pPr>
      <w:r>
        <w:t xml:space="preserve">A transparent assessment of the AWS alternative:</w:t>
      </w:r>
    </w:p>
    <w:p>
      <w:pPr>
        <w:pStyle w:val="ListParagraph"/>
        <w:numPr>
          <w:ilvl w:val="0"/>
          <w:numId w:val="5"/>
        </w:numPr>
      </w:pPr>
      <w:r>
        <w:rPr>
          <w:b/>
          <w:bCs/>
        </w:rPr>
        <w:t xml:space="preserve">Competing Interests: </w:t>
      </w:r>
      <w:r>
        <w:t xml:space="preserve">AWS already has NFL relationship—Sentrais becomes redundant, not strategic</w:t>
      </w:r>
    </w:p>
    <w:p>
      <w:pPr>
        <w:pStyle w:val="ListParagraph"/>
        <w:numPr>
          <w:ilvl w:val="0"/>
          <w:numId w:val="5"/>
        </w:numPr>
      </w:pPr>
      <w:r>
        <w:rPr>
          <w:b/>
          <w:bCs/>
        </w:rPr>
        <w:t xml:space="preserve">No Olympics Access: </w:t>
      </w:r>
      <w:r>
        <w:t xml:space="preserve">AWS lacks LA28 relationship; can't leverage major event positioning</w:t>
      </w:r>
    </w:p>
    <w:p>
      <w:pPr>
        <w:pStyle w:val="ListParagraph"/>
        <w:numPr>
          <w:ilvl w:val="0"/>
          <w:numId w:val="5"/>
        </w:numPr>
      </w:pPr>
      <w:r>
        <w:rPr>
          <w:b/>
          <w:bCs/>
        </w:rPr>
        <w:t xml:space="preserve">Market Saturation: </w:t>
      </w:r>
      <w:r>
        <w:t xml:space="preserve">AWS sports portfolio is mature; less investment appetite for new partners</w:t>
      </w:r>
    </w:p>
    <w:p>
      <w:pPr>
        <w:pStyle w:val="ListParagraph"/>
        <w:numPr>
          <w:ilvl w:val="0"/>
          <w:numId w:val="5"/>
        </w:numPr>
      </w:pPr>
      <w:r>
        <w:rPr>
          <w:b/>
          <w:bCs/>
        </w:rPr>
        <w:t xml:space="preserve">AI/ML Differentiation: </w:t>
      </w:r>
      <w:r>
        <w:t xml:space="preserve">Google's Gemini and Vertex AI better positioned for operational intelligence use cases</w:t>
      </w:r>
    </w:p>
    <w:p>
      <w:pPr>
        <w:pStyle w:val="ListParagraph"/>
        <w:numPr>
          <w:ilvl w:val="0"/>
          <w:numId w:val="5"/>
        </w:numPr>
        <w:spacing w:after="200"/>
      </w:pPr>
      <w:r>
        <w:rPr>
          <w:b/>
          <w:bCs/>
        </w:rPr>
        <w:t xml:space="preserve">Credit Disparity: </w:t>
      </w:r>
      <w:r>
        <w:t xml:space="preserve">Google offers up to $350K for AI startups vs. AWS's $100K maximum</w:t>
      </w:r>
    </w:p>
    <w:p>
      <w:r>
        <w:br w:type="page"/>
      </w:r>
    </w:p>
    <w:p>
      <w:pPr>
        <w:pStyle w:val="Heading1"/>
      </w:pPr>
      <w:r>
        <w:t xml:space="preserve">PART 3: PROPOSED PARTNERSHIP STRUCTURE</w:t>
      </w:r>
    </w:p>
    <w:p>
      <w:pPr>
        <w:pStyle w:val="Heading2"/>
      </w:pPr>
      <w:r>
        <w:t xml:space="preserve">Partnership Tier: Strategic Technology Partner</w:t>
      </w:r>
    </w:p>
    <w:p>
      <w:pPr>
        <w:spacing w:after="200"/>
      </w:pPr>
      <w:r>
        <w:t xml:space="preserve">Sentrais seeks designation as a Google Cloud Strategic Technology Partner with focus on Sports, Entertainment &amp; Major Events. This positions Sentrais within Google's ecosystem while maintaining independence for multi-cloud deployments in non-sports verticals.</w:t>
      </w:r>
    </w:p>
    <w:p>
      <w:pPr>
        <w:pStyle w:val="Heading2"/>
      </w:pPr>
      <w:r>
        <w:t xml:space="preserve">Proposed Deal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Component</w:t>
            </w:r>
          </w:p>
        </w:tc>
        <w:tc>
          <w:tcPr>
            <w:tcW w:type="dxa" w:w="6240"/>
            <w:tcBorders>
              <w:top w:val="single" w:color="CCCCCC" w:sz="1"/>
              <w:left w:val="single" w:color="CCCCCC" w:sz="1"/>
              <w:bottom w:val="single" w:color="CCCCCC" w:sz="1"/>
              <w:right w:val="single" w:color="CCCCCC" w:sz="1"/>
            </w:tcBorders>
            <w:shd w:fill="1A365D" w:val="clear"/>
          </w:tcPr>
          <w:p>
            <w:pPr>
              <w:jc w:val="center"/>
            </w:pPr>
            <w:r>
              <w:rPr>
                <w:b/>
                <w:bCs/>
                <w:color w:val="FFFFFF"/>
                <w:sz w:val="22"/>
                <w:szCs w:val="22"/>
              </w:rPr>
              <w:t xml:space="preserve">Terms</w:t>
            </w:r>
          </w:p>
        </w:tc>
      </w:tr>
      <w:tr>
        <w:tc>
          <w:tcPr>
            <w:tcW w:type="dxa" w:w="3120"/>
            <w:tcBorders>
              <w:top w:val="single" w:color="CCCCCC" w:sz="1"/>
              <w:left w:val="single" w:color="CCCCCC" w:sz="1"/>
              <w:bottom w:val="single" w:color="CCCCCC" w:sz="1"/>
              <w:right w:val="single" w:color="CCCCCC" w:sz="1"/>
            </w:tcBorders>
            <w:shd w:fill="F7FAFC" w:val="clear"/>
          </w:tcPr>
          <w:p>
            <w:r>
              <w:rPr>
                <w:b/>
                <w:bCs/>
              </w:rPr>
              <w:t xml:space="preserve">Cloud Credits</w:t>
            </w:r>
          </w:p>
        </w:tc>
        <w:tc>
          <w:tcPr>
            <w:tcW w:type="dxa" w:w="6240"/>
            <w:tcBorders>
              <w:top w:val="single" w:color="CCCCCC" w:sz="1"/>
              <w:left w:val="single" w:color="CCCCCC" w:sz="1"/>
              <w:bottom w:val="single" w:color="CCCCCC" w:sz="1"/>
              <w:right w:val="single" w:color="CCCCCC" w:sz="1"/>
            </w:tcBorders>
          </w:tcPr>
          <w:p>
            <w:r>
              <w:t xml:space="preserve">$350,000 over 24 months (AI Startup tier) for Sentrais platform development and client deployments</w:t>
            </w:r>
          </w:p>
        </w:tc>
      </w:tr>
      <w:tr>
        <w:tc>
          <w:tcPr>
            <w:tcW w:type="dxa" w:w="3120"/>
            <w:tcBorders>
              <w:top w:val="single" w:color="CCCCCC" w:sz="1"/>
              <w:left w:val="single" w:color="CCCCCC" w:sz="1"/>
              <w:bottom w:val="single" w:color="CCCCCC" w:sz="1"/>
              <w:right w:val="single" w:color="CCCCCC" w:sz="1"/>
            </w:tcBorders>
            <w:shd w:fill="F7FAFC" w:val="clear"/>
          </w:tcPr>
          <w:p>
            <w:r>
              <w:rPr>
                <w:b/>
                <w:bCs/>
              </w:rPr>
              <w:t xml:space="preserve">Strategic Investment</w:t>
            </w:r>
          </w:p>
        </w:tc>
        <w:tc>
          <w:tcPr>
            <w:tcW w:type="dxa" w:w="6240"/>
            <w:tcBorders>
              <w:top w:val="single" w:color="CCCCCC" w:sz="1"/>
              <w:left w:val="single" w:color="CCCCCC" w:sz="1"/>
              <w:bottom w:val="single" w:color="CCCCCC" w:sz="1"/>
              <w:right w:val="single" w:color="CCCCCC" w:sz="1"/>
            </w:tcBorders>
          </w:tcPr>
          <w:p>
            <w:r>
              <w:t xml:space="preserve">$750K convertible note (converts at Series A discount or $15M cap), representing Google Ventures or GCP strategic investment</w:t>
            </w:r>
          </w:p>
        </w:tc>
      </w:tr>
      <w:tr>
        <w:tc>
          <w:tcPr>
            <w:tcW w:type="dxa" w:w="3120"/>
            <w:tcBorders>
              <w:top w:val="single" w:color="CCCCCC" w:sz="1"/>
              <w:left w:val="single" w:color="CCCCCC" w:sz="1"/>
              <w:bottom w:val="single" w:color="CCCCCC" w:sz="1"/>
              <w:right w:val="single" w:color="CCCCCC" w:sz="1"/>
            </w:tcBorders>
            <w:shd w:fill="F7FAFC" w:val="clear"/>
          </w:tcPr>
          <w:p>
            <w:r>
              <w:rPr>
                <w:b/>
                <w:bCs/>
              </w:rPr>
              <w:t xml:space="preserve">Go-to-Market Support</w:t>
            </w:r>
          </w:p>
        </w:tc>
        <w:tc>
          <w:tcPr>
            <w:tcW w:type="dxa" w:w="6240"/>
            <w:tcBorders>
              <w:top w:val="single" w:color="CCCCCC" w:sz="1"/>
              <w:left w:val="single" w:color="CCCCCC" w:sz="1"/>
              <w:bottom w:val="single" w:color="CCCCCC" w:sz="1"/>
              <w:right w:val="single" w:color="CCCCCC" w:sz="1"/>
            </w:tcBorders>
          </w:tcPr>
          <w:p>
            <w:r>
              <w:t xml:space="preserve">$500K in technical and GTM support: solution architect access, co-marketing, customer introductions, Google Cloud Next showcase</w:t>
            </w:r>
          </w:p>
        </w:tc>
      </w:tr>
      <w:tr>
        <w:tc>
          <w:tcPr>
            <w:tcW w:type="dxa" w:w="3120"/>
            <w:tcBorders>
              <w:top w:val="single" w:color="CCCCCC" w:sz="1"/>
              <w:left w:val="single" w:color="CCCCCC" w:sz="1"/>
              <w:bottom w:val="single" w:color="CCCCCC" w:sz="1"/>
              <w:right w:val="single" w:color="CCCCCC" w:sz="1"/>
            </w:tcBorders>
            <w:shd w:fill="F7FAFC" w:val="clear"/>
          </w:tcPr>
          <w:p>
            <w:r>
              <w:rPr>
                <w:b/>
                <w:bCs/>
              </w:rPr>
              <w:t xml:space="preserve">Exclusivity</w:t>
            </w:r>
          </w:p>
        </w:tc>
        <w:tc>
          <w:tcPr>
            <w:tcW w:type="dxa" w:w="6240"/>
            <w:tcBorders>
              <w:top w:val="single" w:color="CCCCCC" w:sz="1"/>
              <w:left w:val="single" w:color="CCCCCC" w:sz="1"/>
              <w:bottom w:val="single" w:color="CCCCCC" w:sz="1"/>
              <w:right w:val="single" w:color="CCCCCC" w:sz="1"/>
            </w:tcBorders>
          </w:tcPr>
          <w:p>
            <w:r>
              <w:t xml:space="preserve">Exclusive cloud partnership in Sports &amp; Major Events vertical for 3 years; non-exclusive for CiviGrid (government) vertical</w:t>
            </w:r>
          </w:p>
        </w:tc>
      </w:tr>
      <w:tr>
        <w:tc>
          <w:tcPr>
            <w:tcW w:type="dxa" w:w="3120"/>
            <w:tcBorders>
              <w:top w:val="single" w:color="CCCCCC" w:sz="1"/>
              <w:left w:val="single" w:color="CCCCCC" w:sz="1"/>
              <w:bottom w:val="single" w:color="CCCCCC" w:sz="1"/>
              <w:right w:val="single" w:color="CCCCCC" w:sz="1"/>
            </w:tcBorders>
            <w:shd w:fill="F7FAFC" w:val="clear"/>
          </w:tcPr>
          <w:p>
            <w:r>
              <w:rPr>
                <w:b/>
                <w:bCs/>
              </w:rPr>
              <w:t xml:space="preserve">Revenue Share</w:t>
            </w:r>
          </w:p>
        </w:tc>
        <w:tc>
          <w:tcPr>
            <w:tcW w:type="dxa" w:w="6240"/>
            <w:tcBorders>
              <w:top w:val="single" w:color="CCCCCC" w:sz="1"/>
              <w:left w:val="single" w:color="CCCCCC" w:sz="1"/>
              <w:bottom w:val="single" w:color="CCCCCC" w:sz="1"/>
              <w:right w:val="single" w:color="CCCCCC" w:sz="1"/>
            </w:tcBorders>
          </w:tcPr>
          <w:p>
            <w:r>
              <w:t xml:space="preserve">15% of net new GCP consumption from Sentrais-originated customers (venues, leagues)</w:t>
            </w:r>
          </w:p>
        </w:tc>
      </w:tr>
      <w:tr>
        <w:tc>
          <w:tcPr>
            <w:tcW w:type="dxa" w:w="3120"/>
            <w:tcBorders>
              <w:top w:val="single" w:color="CCCCCC" w:sz="1"/>
              <w:left w:val="single" w:color="CCCCCC" w:sz="1"/>
              <w:bottom w:val="single" w:color="CCCCCC" w:sz="1"/>
              <w:right w:val="single" w:color="CCCCCC" w:sz="1"/>
            </w:tcBorders>
            <w:shd w:fill="F7FAFC" w:val="clear"/>
          </w:tcPr>
          <w:p>
            <w:r>
              <w:rPr>
                <w:b/>
                <w:bCs/>
              </w:rPr>
              <w:t xml:space="preserve">LA28 Integration</w:t>
            </w:r>
          </w:p>
        </w:tc>
        <w:tc>
          <w:tcPr>
            <w:tcW w:type="dxa" w:w="6240"/>
            <w:tcBorders>
              <w:top w:val="single" w:color="CCCCCC" w:sz="1"/>
              <w:left w:val="single" w:color="CCCCCC" w:sz="1"/>
              <w:bottom w:val="single" w:color="CCCCCC" w:sz="1"/>
              <w:right w:val="single" w:color="CCCCCC" w:sz="1"/>
            </w:tcBorders>
          </w:tcPr>
          <w:p>
            <w:r>
              <w:t xml:space="preserve">Joint pursuit of LA28 venue operations coordination; Sentrais as recommended operational intelligence partner</w:t>
            </w:r>
          </w:p>
        </w:tc>
      </w:tr>
    </w:tbl>
    <w:p>
      <w:pPr>
        <w:pStyle w:val="Heading2"/>
        <w:spacing w:before="400"/>
      </w:pPr>
      <w:r>
        <w:t xml:space="preserve">Total Partnership Value</w:t>
      </w:r>
    </w:p>
    <w:p>
      <w:pPr>
        <w:spacing w:after="100"/>
      </w:pPr>
      <w:r>
        <w:rPr>
          <w:b/>
          <w:bCs/>
          <w:sz w:val="26"/>
          <w:szCs w:val="26"/>
        </w:rPr>
        <w:t xml:space="preserve">Cash + Credits + Support: $1.6M</w:t>
      </w:r>
    </w:p>
    <w:p>
      <w:pPr>
        <w:pStyle w:val="ListParagraph"/>
        <w:numPr>
          <w:ilvl w:val="0"/>
          <w:numId w:val="6"/>
        </w:numPr>
      </w:pPr>
      <w:r>
        <w:t xml:space="preserve">$350K cloud credits</w:t>
      </w:r>
    </w:p>
    <w:p>
      <w:pPr>
        <w:pStyle w:val="ListParagraph"/>
        <w:numPr>
          <w:ilvl w:val="0"/>
          <w:numId w:val="6"/>
        </w:numPr>
      </w:pPr>
      <w:r>
        <w:t xml:space="preserve">$750K convertible investment</w:t>
      </w:r>
    </w:p>
    <w:p>
      <w:pPr>
        <w:pStyle w:val="ListParagraph"/>
        <w:numPr>
          <w:ilvl w:val="0"/>
          <w:numId w:val="6"/>
        </w:numPr>
        <w:spacing w:after="200"/>
      </w:pPr>
      <w:r>
        <w:t xml:space="preserve">$500K GTM support</w:t>
      </w:r>
    </w:p>
    <w:p>
      <w:pPr>
        <w:pStyle w:val="Heading2"/>
      </w:pPr>
      <w:r>
        <w:t xml:space="preserve">What Google Gets</w:t>
      </w:r>
    </w:p>
    <w:p>
      <w:pPr>
        <w:pStyle w:val="ListParagraph"/>
        <w:numPr>
          <w:ilvl w:val="0"/>
          <w:numId w:val="7"/>
        </w:numPr>
      </w:pPr>
      <w:r>
        <w:rPr>
          <w:b/>
          <w:bCs/>
        </w:rPr>
        <w:t xml:space="preserve">Operational Intelligence Layer: </w:t>
      </w:r>
      <w:r>
        <w:t xml:space="preserve">Differentiated value-add for LA28 beyond raw infrastructure</w:t>
      </w:r>
    </w:p>
    <w:p>
      <w:pPr>
        <w:pStyle w:val="ListParagraph"/>
        <w:numPr>
          <w:ilvl w:val="0"/>
          <w:numId w:val="7"/>
        </w:numPr>
      </w:pPr>
      <w:r>
        <w:rPr>
          <w:b/>
          <w:bCs/>
        </w:rPr>
        <w:t xml:space="preserve">NFL Cross-Pollination: </w:t>
      </w:r>
      <w:r>
        <w:t xml:space="preserve">Sentrais brings proven NFL playbooks into Google Cloud ecosystem</w:t>
      </w:r>
    </w:p>
    <w:p>
      <w:pPr>
        <w:pStyle w:val="ListParagraph"/>
        <w:numPr>
          <w:ilvl w:val="0"/>
          <w:numId w:val="7"/>
        </w:numPr>
      </w:pPr>
      <w:r>
        <w:rPr>
          <w:b/>
          <w:bCs/>
        </w:rPr>
        <w:t xml:space="preserve">GCP Consumption Flywheel: </w:t>
      </w:r>
      <w:r>
        <w:t xml:space="preserve">High-consumption workloads (compute + ML + IoT + analytics)</w:t>
      </w:r>
    </w:p>
    <w:p>
      <w:pPr>
        <w:pStyle w:val="ListParagraph"/>
        <w:numPr>
          <w:ilvl w:val="0"/>
          <w:numId w:val="7"/>
        </w:numPr>
      </w:pPr>
      <w:r>
        <w:rPr>
          <w:b/>
          <w:bCs/>
        </w:rPr>
        <w:t xml:space="preserve">AI Validation: </w:t>
      </w:r>
      <w:r>
        <w:t xml:space="preserve">Real mission-critical AI deployment showcasing Gemini/Vertex AI</w:t>
      </w:r>
    </w:p>
    <w:p>
      <w:pPr>
        <w:pStyle w:val="ListParagraph"/>
        <w:numPr>
          <w:ilvl w:val="0"/>
          <w:numId w:val="7"/>
        </w:numPr>
        <w:spacing w:after="200"/>
      </w:pPr>
      <w:r>
        <w:rPr>
          <w:b/>
          <w:bCs/>
        </w:rPr>
        <w:t xml:space="preserve">Sports Vertical Leadership: </w:t>
      </w:r>
      <w:r>
        <w:t xml:space="preserve">Counter AWS's NFL/NBA dominance with operational differentiation</w:t>
      </w:r>
    </w:p>
    <w:p>
      <w:r>
        <w:br w:type="page"/>
      </w:r>
    </w:p>
    <w:p>
      <w:pPr>
        <w:pStyle w:val="Heading1"/>
      </w:pPr>
      <w:r>
        <w:t xml:space="preserve">PART 4: TECHNICAL ARCHITECTURE ON GCP</w:t>
      </w:r>
    </w:p>
    <w:p>
      <w:pPr>
        <w:pStyle w:val="Heading2"/>
      </w:pPr>
      <w:r>
        <w:t xml:space="preserve">Sentrais Backbone Infrastructure</w:t>
      </w:r>
    </w:p>
    <w:p>
      <w:pPr>
        <w:spacing w:after="200"/>
      </w:pPr>
      <w:r>
        <w:t xml:space="preserve">Sentrais has already designed its core platform architecture for Google Cloud Platform, creating the Unified Frame and Data Collection system that serves as the central nervous system for all client engagements: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GCP Service</w:t>
            </w:r>
          </w:p>
        </w:tc>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Purpose</w:t>
            </w:r>
          </w:p>
        </w:tc>
      </w:tr>
      <w:tr>
        <w:tc>
          <w:tcPr>
            <w:tcW w:type="dxa" w:w="2340"/>
            <w:tcBorders>
              <w:top w:val="single" w:color="CCCCCC" w:sz="1"/>
              <w:left w:val="single" w:color="CCCCCC" w:sz="1"/>
              <w:bottom w:val="single" w:color="CCCCCC" w:sz="1"/>
              <w:right w:val="single" w:color="CCCCCC" w:sz="1"/>
            </w:tcBorders>
          </w:tcPr>
          <w:p>
            <w:r>
              <w:rPr>
                <w:b/>
                <w:bCs/>
              </w:rPr>
              <w:t xml:space="preserve">Ingestion</w:t>
            </w:r>
          </w:p>
        </w:tc>
        <w:tc>
          <w:tcPr>
            <w:tcW w:type="dxa" w:w="2340"/>
            <w:tcBorders>
              <w:top w:val="single" w:color="CCCCCC" w:sz="1"/>
              <w:left w:val="single" w:color="CCCCCC" w:sz="1"/>
              <w:bottom w:val="single" w:color="CCCCCC" w:sz="1"/>
              <w:right w:val="single" w:color="CCCCCC" w:sz="1"/>
            </w:tcBorders>
          </w:tcPr>
          <w:p>
            <w:r>
              <w:t xml:space="preserve">Cloud Pub/Sub + Dataflow</w:t>
            </w:r>
          </w:p>
        </w:tc>
        <w:tc>
          <w:tcPr>
            <w:tcW w:type="dxa" w:w="4680"/>
            <w:tcBorders>
              <w:top w:val="single" w:color="CCCCCC" w:sz="1"/>
              <w:left w:val="single" w:color="CCCCCC" w:sz="1"/>
              <w:bottom w:val="single" w:color="CCCCCC" w:sz="1"/>
              <w:right w:val="single" w:color="CCCCCC" w:sz="1"/>
            </w:tcBorders>
          </w:tcPr>
          <w:p>
            <w:r>
              <w:t xml:space="preserve">Real-time event streaming from venues; handles game-day spikes</w:t>
            </w:r>
          </w:p>
        </w:tc>
      </w:tr>
      <w:tr>
        <w:tc>
          <w:tcPr>
            <w:tcW w:type="dxa" w:w="2340"/>
            <w:tcBorders>
              <w:top w:val="single" w:color="CCCCCC" w:sz="1"/>
              <w:left w:val="single" w:color="CCCCCC" w:sz="1"/>
              <w:bottom w:val="single" w:color="CCCCCC" w:sz="1"/>
              <w:right w:val="single" w:color="CCCCCC" w:sz="1"/>
            </w:tcBorders>
          </w:tcPr>
          <w:p>
            <w:r>
              <w:rPr>
                <w:b/>
                <w:bCs/>
              </w:rPr>
              <w:t xml:space="preserve">Unified Frame</w:t>
            </w:r>
          </w:p>
        </w:tc>
        <w:tc>
          <w:tcPr>
            <w:tcW w:type="dxa" w:w="2340"/>
            <w:tcBorders>
              <w:top w:val="single" w:color="CCCCCC" w:sz="1"/>
              <w:left w:val="single" w:color="CCCCCC" w:sz="1"/>
              <w:bottom w:val="single" w:color="CCCCCC" w:sz="1"/>
              <w:right w:val="single" w:color="CCCCCC" w:sz="1"/>
            </w:tcBorders>
          </w:tcPr>
          <w:p>
            <w:r>
              <w:t xml:space="preserve">BigQuery + Spanner</w:t>
            </w:r>
          </w:p>
        </w:tc>
        <w:tc>
          <w:tcPr>
            <w:tcW w:type="dxa" w:w="4680"/>
            <w:tcBorders>
              <w:top w:val="single" w:color="CCCCCC" w:sz="1"/>
              <w:left w:val="single" w:color="CCCCCC" w:sz="1"/>
              <w:bottom w:val="single" w:color="CCCCCC" w:sz="1"/>
              <w:right w:val="single" w:color="CCCCCC" w:sz="1"/>
            </w:tcBorders>
          </w:tcPr>
          <w:p>
            <w:r>
              <w:t xml:space="preserve">Cross-vertical intelligence storage; analytics + transactional consistency</w:t>
            </w:r>
          </w:p>
        </w:tc>
      </w:tr>
      <w:tr>
        <w:tc>
          <w:tcPr>
            <w:tcW w:type="dxa" w:w="2340"/>
            <w:tcBorders>
              <w:top w:val="single" w:color="CCCCCC" w:sz="1"/>
              <w:left w:val="single" w:color="CCCCCC" w:sz="1"/>
              <w:bottom w:val="single" w:color="CCCCCC" w:sz="1"/>
              <w:right w:val="single" w:color="CCCCCC" w:sz="1"/>
            </w:tcBorders>
          </w:tcPr>
          <w:p>
            <w:r>
              <w:rPr>
                <w:b/>
                <w:bCs/>
              </w:rPr>
              <w:t xml:space="preserve">NIN Intelligence</w:t>
            </w:r>
          </w:p>
        </w:tc>
        <w:tc>
          <w:tcPr>
            <w:tcW w:type="dxa" w:w="2340"/>
            <w:tcBorders>
              <w:top w:val="single" w:color="CCCCCC" w:sz="1"/>
              <w:left w:val="single" w:color="CCCCCC" w:sz="1"/>
              <w:bottom w:val="single" w:color="CCCCCC" w:sz="1"/>
              <w:right w:val="single" w:color="CCCCCC" w:sz="1"/>
            </w:tcBorders>
          </w:tcPr>
          <w:p>
            <w:r>
              <w:t xml:space="preserve">Vertex AI + BigQuery ML</w:t>
            </w:r>
          </w:p>
        </w:tc>
        <w:tc>
          <w:tcPr>
            <w:tcW w:type="dxa" w:w="4680"/>
            <w:tcBorders>
              <w:top w:val="single" w:color="CCCCCC" w:sz="1"/>
              <w:left w:val="single" w:color="CCCCCC" w:sz="1"/>
              <w:bottom w:val="single" w:color="CCCCCC" w:sz="1"/>
              <w:right w:val="single" w:color="CCCCCC" w:sz="1"/>
            </w:tcBorders>
          </w:tcPr>
          <w:p>
            <w:r>
              <w:t xml:space="preserve">ML training/inference for predictive operational intelligence</w:t>
            </w:r>
          </w:p>
        </w:tc>
      </w:tr>
      <w:tr>
        <w:tc>
          <w:tcPr>
            <w:tcW w:type="dxa" w:w="2340"/>
            <w:tcBorders>
              <w:top w:val="single" w:color="CCCCCC" w:sz="1"/>
              <w:left w:val="single" w:color="CCCCCC" w:sz="1"/>
              <w:bottom w:val="single" w:color="CCCCCC" w:sz="1"/>
              <w:right w:val="single" w:color="CCCCCC" w:sz="1"/>
            </w:tcBorders>
          </w:tcPr>
          <w:p>
            <w:r>
              <w:rPr>
                <w:b/>
                <w:bCs/>
              </w:rPr>
              <w:t xml:space="preserve">API Layer</w:t>
            </w:r>
          </w:p>
        </w:tc>
        <w:tc>
          <w:tcPr>
            <w:tcW w:type="dxa" w:w="2340"/>
            <w:tcBorders>
              <w:top w:val="single" w:color="CCCCCC" w:sz="1"/>
              <w:left w:val="single" w:color="CCCCCC" w:sz="1"/>
              <w:bottom w:val="single" w:color="CCCCCC" w:sz="1"/>
              <w:right w:val="single" w:color="CCCCCC" w:sz="1"/>
            </w:tcBorders>
          </w:tcPr>
          <w:p>
            <w:r>
              <w:t xml:space="preserve">Cloud Run + API Gateway</w:t>
            </w:r>
          </w:p>
        </w:tc>
        <w:tc>
          <w:tcPr>
            <w:tcW w:type="dxa" w:w="4680"/>
            <w:tcBorders>
              <w:top w:val="single" w:color="CCCCCC" w:sz="1"/>
              <w:left w:val="single" w:color="CCCCCC" w:sz="1"/>
              <w:bottom w:val="single" w:color="CCCCCC" w:sz="1"/>
              <w:right w:val="single" w:color="CCCCCC" w:sz="1"/>
            </w:tcBorders>
          </w:tcPr>
          <w:p>
            <w:r>
              <w:t xml:space="preserve">Serverless APIs; scales to zero when idle, instant scale during events</w:t>
            </w:r>
          </w:p>
        </w:tc>
      </w:tr>
      <w:tr>
        <w:tc>
          <w:tcPr>
            <w:tcW w:type="dxa" w:w="2340"/>
            <w:tcBorders>
              <w:top w:val="single" w:color="CCCCCC" w:sz="1"/>
              <w:left w:val="single" w:color="CCCCCC" w:sz="1"/>
              <w:bottom w:val="single" w:color="CCCCCC" w:sz="1"/>
              <w:right w:val="single" w:color="CCCCCC" w:sz="1"/>
            </w:tcBorders>
          </w:tcPr>
          <w:p>
            <w:r>
              <w:rPr>
                <w:b/>
                <w:bCs/>
              </w:rPr>
              <w:t xml:space="preserve">Orchestration</w:t>
            </w:r>
          </w:p>
        </w:tc>
        <w:tc>
          <w:tcPr>
            <w:tcW w:type="dxa" w:w="2340"/>
            <w:tcBorders>
              <w:top w:val="single" w:color="CCCCCC" w:sz="1"/>
              <w:left w:val="single" w:color="CCCCCC" w:sz="1"/>
              <w:bottom w:val="single" w:color="CCCCCC" w:sz="1"/>
              <w:right w:val="single" w:color="CCCCCC" w:sz="1"/>
            </w:tcBorders>
          </w:tcPr>
          <w:p>
            <w:r>
              <w:t xml:space="preserve">Cloud Composer (Airflow)</w:t>
            </w:r>
          </w:p>
        </w:tc>
        <w:tc>
          <w:tcPr>
            <w:tcW w:type="dxa" w:w="4680"/>
            <w:tcBorders>
              <w:top w:val="single" w:color="CCCCCC" w:sz="1"/>
              <w:left w:val="single" w:color="CCCCCC" w:sz="1"/>
              <w:bottom w:val="single" w:color="CCCCCC" w:sz="1"/>
              <w:right w:val="single" w:color="CCCCCC" w:sz="1"/>
            </w:tcBorders>
          </w:tcPr>
          <w:p>
            <w:r>
              <w:t xml:space="preserve">Batch pipelines, model retraining schedules, cross-system coordination</w:t>
            </w:r>
          </w:p>
        </w:tc>
      </w:tr>
      <w:tr>
        <w:tc>
          <w:tcPr>
            <w:tcW w:type="dxa" w:w="2340"/>
            <w:tcBorders>
              <w:top w:val="single" w:color="CCCCCC" w:sz="1"/>
              <w:left w:val="single" w:color="CCCCCC" w:sz="1"/>
              <w:bottom w:val="single" w:color="CCCCCC" w:sz="1"/>
              <w:right w:val="single" w:color="CCCCCC" w:sz="1"/>
            </w:tcBorders>
          </w:tcPr>
          <w:p>
            <w:r>
              <w:rPr>
                <w:b/>
                <w:bCs/>
              </w:rPr>
              <w:t xml:space="preserve">Security</w:t>
            </w:r>
          </w:p>
        </w:tc>
        <w:tc>
          <w:tcPr>
            <w:tcW w:type="dxa" w:w="2340"/>
            <w:tcBorders>
              <w:top w:val="single" w:color="CCCCCC" w:sz="1"/>
              <w:left w:val="single" w:color="CCCCCC" w:sz="1"/>
              <w:bottom w:val="single" w:color="CCCCCC" w:sz="1"/>
              <w:right w:val="single" w:color="CCCCCC" w:sz="1"/>
            </w:tcBorders>
          </w:tcPr>
          <w:p>
            <w:r>
              <w:t xml:space="preserve">VPC-SC, IAM, Secret Manager</w:t>
            </w:r>
          </w:p>
        </w:tc>
        <w:tc>
          <w:tcPr>
            <w:tcW w:type="dxa" w:w="4680"/>
            <w:tcBorders>
              <w:top w:val="single" w:color="CCCCCC" w:sz="1"/>
              <w:left w:val="single" w:color="CCCCCC" w:sz="1"/>
              <w:bottom w:val="single" w:color="CCCCCC" w:sz="1"/>
              <w:right w:val="single" w:color="CCCCCC" w:sz="1"/>
            </w:tcBorders>
          </w:tcPr>
          <w:p>
            <w:r>
              <w:t xml:space="preserve">Client data isolation, credential management, audit logging</w:t>
            </w:r>
          </w:p>
        </w:tc>
      </w:tr>
    </w:tbl>
    <w:p>
      <w:pPr>
        <w:pStyle w:val="Heading2"/>
        <w:spacing w:before="400"/>
      </w:pPr>
      <w:r>
        <w:t xml:space="preserve">GCP Consumption Projections</w:t>
      </w:r>
    </w:p>
    <w:p>
      <w:pPr>
        <w:spacing w:after="200"/>
      </w:pPr>
      <w:r>
        <w:t xml:space="preserve">Operational intelligence platforms generate significantly higher cloud consumption than typical SaaS due to real-time processing, ML workloads, and IoT data streams: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Year</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Venues/Clients</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GCP Spend</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Growth</w:t>
            </w:r>
          </w:p>
        </w:tc>
      </w:tr>
      <w:tr>
        <w:tc>
          <w:tcPr>
            <w:tcW w:type="dxa" w:w="2340"/>
            <w:tcBorders>
              <w:top w:val="single" w:color="CCCCCC" w:sz="1"/>
              <w:left w:val="single" w:color="CCCCCC" w:sz="1"/>
              <w:bottom w:val="single" w:color="CCCCCC" w:sz="1"/>
              <w:right w:val="single" w:color="CCCCCC" w:sz="1"/>
            </w:tcBorders>
          </w:tcPr>
          <w:p>
            <w:r>
              <w:t xml:space="preserve">Year 1</w:t>
            </w:r>
          </w:p>
        </w:tc>
        <w:tc>
          <w:tcPr>
            <w:tcW w:type="dxa" w:w="2340"/>
            <w:tcBorders>
              <w:top w:val="single" w:color="CCCCCC" w:sz="1"/>
              <w:left w:val="single" w:color="CCCCCC" w:sz="1"/>
              <w:bottom w:val="single" w:color="CCCCCC" w:sz="1"/>
              <w:right w:val="single" w:color="CCCCCC" w:sz="1"/>
            </w:tcBorders>
          </w:tcPr>
          <w:p>
            <w:r>
              <w:t xml:space="preserve">32 NFL + 10 additional</w:t>
            </w:r>
          </w:p>
        </w:tc>
        <w:tc>
          <w:tcPr>
            <w:tcW w:type="dxa" w:w="2340"/>
            <w:tcBorders>
              <w:top w:val="single" w:color="CCCCCC" w:sz="1"/>
              <w:left w:val="single" w:color="CCCCCC" w:sz="1"/>
              <w:bottom w:val="single" w:color="CCCCCC" w:sz="1"/>
              <w:right w:val="single" w:color="CCCCCC" w:sz="1"/>
            </w:tcBorders>
          </w:tcPr>
          <w:p>
            <w:r>
              <w:t xml:space="preserve">$200K</w:t>
            </w:r>
          </w:p>
        </w:tc>
        <w:tc>
          <w:tcPr>
            <w:tcW w:type="dxa" w:w="2340"/>
            <w:tcBorders>
              <w:top w:val="single" w:color="CCCCCC" w:sz="1"/>
              <w:left w:val="single" w:color="CCCCCC" w:sz="1"/>
              <w:bottom w:val="single" w:color="CCCCCC" w:sz="1"/>
              <w:right w:val="single" w:color="CCCCCC" w:sz="1"/>
            </w:tcBorders>
          </w:tcPr>
          <w:p>
            <w:r>
              <w:t xml:space="preserve">Baseline</w:t>
            </w:r>
          </w:p>
        </w:tc>
      </w:tr>
      <w:tr>
        <w:tc>
          <w:tcPr>
            <w:tcW w:type="dxa" w:w="2340"/>
            <w:tcBorders>
              <w:top w:val="single" w:color="CCCCCC" w:sz="1"/>
              <w:left w:val="single" w:color="CCCCCC" w:sz="1"/>
              <w:bottom w:val="single" w:color="CCCCCC" w:sz="1"/>
              <w:right w:val="single" w:color="CCCCCC" w:sz="1"/>
            </w:tcBorders>
          </w:tcPr>
          <w:p>
            <w:r>
              <w:t xml:space="preserve">Year 2</w:t>
            </w:r>
          </w:p>
        </w:tc>
        <w:tc>
          <w:tcPr>
            <w:tcW w:type="dxa" w:w="2340"/>
            <w:tcBorders>
              <w:top w:val="single" w:color="CCCCCC" w:sz="1"/>
              <w:left w:val="single" w:color="CCCCCC" w:sz="1"/>
              <w:bottom w:val="single" w:color="CCCCCC" w:sz="1"/>
              <w:right w:val="single" w:color="CCCCCC" w:sz="1"/>
            </w:tcBorders>
          </w:tcPr>
          <w:p>
            <w:r>
              <w:t xml:space="preserve">50+ venues</w:t>
            </w:r>
          </w:p>
        </w:tc>
        <w:tc>
          <w:tcPr>
            <w:tcW w:type="dxa" w:w="2340"/>
            <w:tcBorders>
              <w:top w:val="single" w:color="CCCCCC" w:sz="1"/>
              <w:left w:val="single" w:color="CCCCCC" w:sz="1"/>
              <w:bottom w:val="single" w:color="CCCCCC" w:sz="1"/>
              <w:right w:val="single" w:color="CCCCCC" w:sz="1"/>
            </w:tcBorders>
          </w:tcPr>
          <w:p>
            <w:r>
              <w:t xml:space="preserve">$1.8M</w:t>
            </w:r>
          </w:p>
        </w:tc>
        <w:tc>
          <w:tcPr>
            <w:tcW w:type="dxa" w:w="2340"/>
            <w:tcBorders>
              <w:top w:val="single" w:color="CCCCCC" w:sz="1"/>
              <w:left w:val="single" w:color="CCCCCC" w:sz="1"/>
              <w:bottom w:val="single" w:color="CCCCCC" w:sz="1"/>
              <w:right w:val="single" w:color="CCCCCC" w:sz="1"/>
            </w:tcBorders>
          </w:tcPr>
          <w:p>
            <w:r>
              <w:t xml:space="preserve">9x</w:t>
            </w:r>
          </w:p>
        </w:tc>
      </w:tr>
      <w:tr>
        <w:tc>
          <w:tcPr>
            <w:tcW w:type="dxa" w:w="2340"/>
            <w:tcBorders>
              <w:top w:val="single" w:color="CCCCCC" w:sz="1"/>
              <w:left w:val="single" w:color="CCCCCC" w:sz="1"/>
              <w:bottom w:val="single" w:color="CCCCCC" w:sz="1"/>
              <w:right w:val="single" w:color="CCCCCC" w:sz="1"/>
            </w:tcBorders>
          </w:tcPr>
          <w:p>
            <w:r>
              <w:t xml:space="preserve">Year 3</w:t>
            </w:r>
          </w:p>
        </w:tc>
        <w:tc>
          <w:tcPr>
            <w:tcW w:type="dxa" w:w="2340"/>
            <w:tcBorders>
              <w:top w:val="single" w:color="CCCCCC" w:sz="1"/>
              <w:left w:val="single" w:color="CCCCCC" w:sz="1"/>
              <w:bottom w:val="single" w:color="CCCCCC" w:sz="1"/>
              <w:right w:val="single" w:color="CCCCCC" w:sz="1"/>
            </w:tcBorders>
          </w:tcPr>
          <w:p>
            <w:r>
              <w:t xml:space="preserve">100+ venues</w:t>
            </w:r>
          </w:p>
        </w:tc>
        <w:tc>
          <w:tcPr>
            <w:tcW w:type="dxa" w:w="2340"/>
            <w:tcBorders>
              <w:top w:val="single" w:color="CCCCCC" w:sz="1"/>
              <w:left w:val="single" w:color="CCCCCC" w:sz="1"/>
              <w:bottom w:val="single" w:color="CCCCCC" w:sz="1"/>
              <w:right w:val="single" w:color="CCCCCC" w:sz="1"/>
            </w:tcBorders>
          </w:tcPr>
          <w:p>
            <w:r>
              <w:t xml:space="preserve">$7M</w:t>
            </w:r>
          </w:p>
        </w:tc>
        <w:tc>
          <w:tcPr>
            <w:tcW w:type="dxa" w:w="2340"/>
            <w:tcBorders>
              <w:top w:val="single" w:color="CCCCCC" w:sz="1"/>
              <w:left w:val="single" w:color="CCCCCC" w:sz="1"/>
              <w:bottom w:val="single" w:color="CCCCCC" w:sz="1"/>
              <w:right w:val="single" w:color="CCCCCC" w:sz="1"/>
            </w:tcBorders>
          </w:tcPr>
          <w:p>
            <w:r>
              <w:t xml:space="preserve">35x from Year 1</w:t>
            </w:r>
          </w:p>
        </w:tc>
      </w:tr>
      <w:tr>
        <w:tc>
          <w:tcPr>
            <w:tcW w:type="dxa" w:w="2340"/>
            <w:tcBorders>
              <w:top w:val="single" w:color="CCCCCC" w:sz="1"/>
              <w:left w:val="single" w:color="CCCCCC" w:sz="1"/>
              <w:bottom w:val="single" w:color="CCCCCC" w:sz="1"/>
              <w:right w:val="single" w:color="CCCCCC" w:sz="1"/>
            </w:tcBorders>
          </w:tcPr>
          <w:p>
            <w:r>
              <w:t xml:space="preserve">Year 5</w:t>
            </w:r>
          </w:p>
        </w:tc>
        <w:tc>
          <w:tcPr>
            <w:tcW w:type="dxa" w:w="2340"/>
            <w:tcBorders>
              <w:top w:val="single" w:color="CCCCCC" w:sz="1"/>
              <w:left w:val="single" w:color="CCCCCC" w:sz="1"/>
              <w:bottom w:val="single" w:color="CCCCCC" w:sz="1"/>
              <w:right w:val="single" w:color="CCCCCC" w:sz="1"/>
            </w:tcBorders>
          </w:tcPr>
          <w:p>
            <w:r>
              <w:t xml:space="preserve">200+ venues + LA28</w:t>
            </w:r>
          </w:p>
        </w:tc>
        <w:tc>
          <w:tcPr>
            <w:tcW w:type="dxa" w:w="2340"/>
            <w:tcBorders>
              <w:top w:val="single" w:color="CCCCCC" w:sz="1"/>
              <w:left w:val="single" w:color="CCCCCC" w:sz="1"/>
              <w:bottom w:val="single" w:color="CCCCCC" w:sz="1"/>
              <w:right w:val="single" w:color="CCCCCC" w:sz="1"/>
            </w:tcBorders>
          </w:tcPr>
          <w:p>
            <w:r>
              <w:t xml:space="preserve">$22M+</w:t>
            </w:r>
          </w:p>
        </w:tc>
        <w:tc>
          <w:tcPr>
            <w:tcW w:type="dxa" w:w="2340"/>
            <w:tcBorders>
              <w:top w:val="single" w:color="CCCCCC" w:sz="1"/>
              <w:left w:val="single" w:color="CCCCCC" w:sz="1"/>
              <w:bottom w:val="single" w:color="CCCCCC" w:sz="1"/>
              <w:right w:val="single" w:color="CCCCCC" w:sz="1"/>
            </w:tcBorders>
          </w:tcPr>
          <w:p>
            <w:r>
              <w:t xml:space="preserve">110x from Year 1</w:t>
            </w:r>
          </w:p>
        </w:tc>
      </w:tr>
    </w:tbl>
    <w:p>
      <w:r>
        <w:br w:type="page"/>
      </w:r>
    </w:p>
    <w:p>
      <w:pPr>
        <w:pStyle w:val="Heading1"/>
      </w:pPr>
      <w:r>
        <w:t xml:space="preserve">PART 5: GO-TO-MARKET STRATEGY</w:t>
      </w:r>
    </w:p>
    <w:p>
      <w:pPr>
        <w:pStyle w:val="Heading2"/>
      </w:pPr>
      <w:r>
        <w:t xml:space="preserve">Joint Customer Targets</w:t>
      </w:r>
    </w:p>
    <w:p>
      <w:pPr>
        <w:spacing w:after="200"/>
      </w:pPr>
      <w:r>
        <w:t xml:space="preserve">The following organizations represent immediate joint pursuit opportunities where Sentrais operational intelligence + Google Cloud infrastructure creates compelling value: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rPr>
          <w:tblHeader/>
        </w:trPr>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Target</w:t>
            </w:r>
          </w:p>
        </w:tc>
        <w:tc>
          <w:tcPr>
            <w:tcW w:type="dxa" w:w="234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Timeline</w:t>
            </w:r>
          </w:p>
        </w:tc>
        <w:tc>
          <w:tcPr>
            <w:tcW w:type="dxa" w:w="4680"/>
            <w:tcBorders>
              <w:top w:val="single" w:color="CCCCCC" w:sz="1"/>
              <w:left w:val="single" w:color="CCCCCC" w:sz="1"/>
              <w:bottom w:val="single" w:color="CCCCCC" w:sz="1"/>
              <w:right w:val="single" w:color="CCCCCC" w:sz="1"/>
            </w:tcBorders>
            <w:shd w:fill="1A365D" w:val="clear"/>
          </w:tcPr>
          <w:p>
            <w:pPr>
              <w:jc w:val="center"/>
            </w:pPr>
            <w:r>
              <w:rPr>
                <w:b/>
                <w:bCs/>
                <w:color w:val="FFFFFF"/>
                <w:sz w:val="20"/>
                <w:szCs w:val="20"/>
              </w:rPr>
              <w:t xml:space="preserve">Value Proposition</w:t>
            </w:r>
          </w:p>
        </w:tc>
      </w:tr>
      <w:tr>
        <w:tc>
          <w:tcPr>
            <w:tcW w:type="dxa" w:w="2340"/>
            <w:tcBorders>
              <w:top w:val="single" w:color="CCCCCC" w:sz="1"/>
              <w:left w:val="single" w:color="CCCCCC" w:sz="1"/>
              <w:bottom w:val="single" w:color="CCCCCC" w:sz="1"/>
              <w:right w:val="single" w:color="CCCCCC" w:sz="1"/>
            </w:tcBorders>
          </w:tcPr>
          <w:p>
            <w:r>
              <w:rPr>
                <w:b/>
                <w:bCs/>
              </w:rPr>
              <w:t xml:space="preserve">LA28 Organizing Committee</w:t>
            </w:r>
          </w:p>
        </w:tc>
        <w:tc>
          <w:tcPr>
            <w:tcW w:type="dxa" w:w="2340"/>
            <w:tcBorders>
              <w:top w:val="single" w:color="CCCCCC" w:sz="1"/>
              <w:left w:val="single" w:color="CCCCCC" w:sz="1"/>
              <w:bottom w:val="single" w:color="CCCCCC" w:sz="1"/>
              <w:right w:val="single" w:color="CCCCCC" w:sz="1"/>
            </w:tcBorders>
          </w:tcPr>
          <w:p>
            <w:r>
              <w:t xml:space="preserve">Q1 2026</w:t>
            </w:r>
          </w:p>
        </w:tc>
        <w:tc>
          <w:tcPr>
            <w:tcW w:type="dxa" w:w="4680"/>
            <w:tcBorders>
              <w:top w:val="single" w:color="CCCCCC" w:sz="1"/>
              <w:left w:val="single" w:color="CCCCCC" w:sz="1"/>
              <w:bottom w:val="single" w:color="CCCCCC" w:sz="1"/>
              <w:right w:val="single" w:color="CCCCCC" w:sz="1"/>
            </w:tcBorders>
          </w:tcPr>
          <w:p>
            <w:r>
              <w:t xml:space="preserve">Venue operations coordination layer complementing Google's infrastructure role</w:t>
            </w:r>
          </w:p>
        </w:tc>
      </w:tr>
      <w:tr>
        <w:tc>
          <w:tcPr>
            <w:tcW w:type="dxa" w:w="2340"/>
            <w:tcBorders>
              <w:top w:val="single" w:color="CCCCCC" w:sz="1"/>
              <w:left w:val="single" w:color="CCCCCC" w:sz="1"/>
              <w:bottom w:val="single" w:color="CCCCCC" w:sz="1"/>
              <w:right w:val="single" w:color="CCCCCC" w:sz="1"/>
            </w:tcBorders>
          </w:tcPr>
          <w:p>
            <w:r>
              <w:rPr>
                <w:b/>
                <w:bCs/>
              </w:rPr>
              <w:t xml:space="preserve">MLB Teams</w:t>
            </w:r>
          </w:p>
        </w:tc>
        <w:tc>
          <w:tcPr>
            <w:tcW w:type="dxa" w:w="2340"/>
            <w:tcBorders>
              <w:top w:val="single" w:color="CCCCCC" w:sz="1"/>
              <w:left w:val="single" w:color="CCCCCC" w:sz="1"/>
              <w:bottom w:val="single" w:color="CCCCCC" w:sz="1"/>
              <w:right w:val="single" w:color="CCCCCC" w:sz="1"/>
            </w:tcBorders>
          </w:tcPr>
          <w:p>
            <w:r>
              <w:t xml:space="preserve">Q2 2026</w:t>
            </w:r>
          </w:p>
        </w:tc>
        <w:tc>
          <w:tcPr>
            <w:tcW w:type="dxa" w:w="4680"/>
            <w:tcBorders>
              <w:top w:val="single" w:color="CCCCCC" w:sz="1"/>
              <w:left w:val="single" w:color="CCCCCC" w:sz="1"/>
              <w:bottom w:val="single" w:color="CCCCCC" w:sz="1"/>
              <w:right w:val="single" w:color="CCCCCC" w:sz="1"/>
            </w:tcBorders>
          </w:tcPr>
          <w:p>
            <w:r>
              <w:t xml:space="preserve">Extend Google's MLB partnership to ballpark operations; 162-game season operational intelligence</w:t>
            </w:r>
          </w:p>
        </w:tc>
      </w:tr>
      <w:tr>
        <w:tc>
          <w:tcPr>
            <w:tcW w:type="dxa" w:w="2340"/>
            <w:tcBorders>
              <w:top w:val="single" w:color="CCCCCC" w:sz="1"/>
              <w:left w:val="single" w:color="CCCCCC" w:sz="1"/>
              <w:bottom w:val="single" w:color="CCCCCC" w:sz="1"/>
              <w:right w:val="single" w:color="CCCCCC" w:sz="1"/>
            </w:tcBorders>
          </w:tcPr>
          <w:p>
            <w:r>
              <w:rPr>
                <w:b/>
                <w:bCs/>
              </w:rPr>
              <w:t xml:space="preserve">FIFA 2026 Host Cities</w:t>
            </w:r>
          </w:p>
        </w:tc>
        <w:tc>
          <w:tcPr>
            <w:tcW w:type="dxa" w:w="2340"/>
            <w:tcBorders>
              <w:top w:val="single" w:color="CCCCCC" w:sz="1"/>
              <w:left w:val="single" w:color="CCCCCC" w:sz="1"/>
              <w:bottom w:val="single" w:color="CCCCCC" w:sz="1"/>
              <w:right w:val="single" w:color="CCCCCC" w:sz="1"/>
            </w:tcBorders>
          </w:tcPr>
          <w:p>
            <w:r>
              <w:t xml:space="preserve">Q3 2025 - Q1 2026</w:t>
            </w:r>
          </w:p>
        </w:tc>
        <w:tc>
          <w:tcPr>
            <w:tcW w:type="dxa" w:w="4680"/>
            <w:tcBorders>
              <w:top w:val="single" w:color="CCCCCC" w:sz="1"/>
              <w:left w:val="single" w:color="CCCCCC" w:sz="1"/>
              <w:bottom w:val="single" w:color="CCCCCC" w:sz="1"/>
              <w:right w:val="single" w:color="CCCCCC" w:sz="1"/>
            </w:tcBorders>
          </w:tcPr>
          <w:p>
            <w:r>
              <w:t xml:space="preserve">16 North American cities need venue coordination; Sentrais + GCP provides complete solution</w:t>
            </w:r>
          </w:p>
        </w:tc>
      </w:tr>
      <w:tr>
        <w:tc>
          <w:tcPr>
            <w:tcW w:type="dxa" w:w="2340"/>
            <w:tcBorders>
              <w:top w:val="single" w:color="CCCCCC" w:sz="1"/>
              <w:left w:val="single" w:color="CCCCCC" w:sz="1"/>
              <w:bottom w:val="single" w:color="CCCCCC" w:sz="1"/>
              <w:right w:val="single" w:color="CCCCCC" w:sz="1"/>
            </w:tcBorders>
          </w:tcPr>
          <w:p>
            <w:r>
              <w:rPr>
                <w:b/>
                <w:bCs/>
              </w:rPr>
              <w:t xml:space="preserve">Live Nation Venues</w:t>
            </w:r>
          </w:p>
        </w:tc>
        <w:tc>
          <w:tcPr>
            <w:tcW w:type="dxa" w:w="2340"/>
            <w:tcBorders>
              <w:top w:val="single" w:color="CCCCCC" w:sz="1"/>
              <w:left w:val="single" w:color="CCCCCC" w:sz="1"/>
              <w:bottom w:val="single" w:color="CCCCCC" w:sz="1"/>
              <w:right w:val="single" w:color="CCCCCC" w:sz="1"/>
            </w:tcBorders>
          </w:tcPr>
          <w:p>
            <w:r>
              <w:t xml:space="preserve">Q4 2025</w:t>
            </w:r>
          </w:p>
        </w:tc>
        <w:tc>
          <w:tcPr>
            <w:tcW w:type="dxa" w:w="4680"/>
            <w:tcBorders>
              <w:top w:val="single" w:color="CCCCCC" w:sz="1"/>
              <w:left w:val="single" w:color="CCCCCC" w:sz="1"/>
              <w:bottom w:val="single" w:color="CCCCCC" w:sz="1"/>
              <w:right w:val="single" w:color="CCCCCC" w:sz="1"/>
            </w:tcBorders>
          </w:tcPr>
          <w:p>
            <w:r>
              <w:t xml:space="preserve">400+ venues globally; operational intelligence for concerts and entertainment events</w:t>
            </w:r>
          </w:p>
        </w:tc>
      </w:tr>
      <w:tr>
        <w:tc>
          <w:tcPr>
            <w:tcW w:type="dxa" w:w="2340"/>
            <w:tcBorders>
              <w:top w:val="single" w:color="CCCCCC" w:sz="1"/>
              <w:left w:val="single" w:color="CCCCCC" w:sz="1"/>
              <w:bottom w:val="single" w:color="CCCCCC" w:sz="1"/>
              <w:right w:val="single" w:color="CCCCCC" w:sz="1"/>
            </w:tcBorders>
          </w:tcPr>
          <w:p>
            <w:r>
              <w:rPr>
                <w:b/>
                <w:bCs/>
              </w:rPr>
              <w:t xml:space="preserve">NBA Expansion</w:t>
            </w:r>
          </w:p>
        </w:tc>
        <w:tc>
          <w:tcPr>
            <w:tcW w:type="dxa" w:w="2340"/>
            <w:tcBorders>
              <w:top w:val="single" w:color="CCCCCC" w:sz="1"/>
              <w:left w:val="single" w:color="CCCCCC" w:sz="1"/>
              <w:bottom w:val="single" w:color="CCCCCC" w:sz="1"/>
              <w:right w:val="single" w:color="CCCCCC" w:sz="1"/>
            </w:tcBorders>
          </w:tcPr>
          <w:p>
            <w:r>
              <w:t xml:space="preserve">2026-2027</w:t>
            </w:r>
          </w:p>
        </w:tc>
        <w:tc>
          <w:tcPr>
            <w:tcW w:type="dxa" w:w="4680"/>
            <w:tcBorders>
              <w:top w:val="single" w:color="CCCCCC" w:sz="1"/>
              <w:left w:val="single" w:color="CCCCCC" w:sz="1"/>
              <w:bottom w:val="single" w:color="CCCCCC" w:sz="1"/>
              <w:right w:val="single" w:color="CCCCCC" w:sz="1"/>
            </w:tcBorders>
          </w:tcPr>
          <w:p>
            <w:r>
              <w:t xml:space="preserve">Complement Google's Golden State Warriors relationship; expand to arena operations league-wide</w:t>
            </w:r>
          </w:p>
        </w:tc>
      </w:tr>
    </w:tbl>
    <w:p>
      <w:pPr>
        <w:pStyle w:val="Heading2"/>
        <w:spacing w:before="400"/>
      </w:pPr>
      <w:r>
        <w:t xml:space="preserve">Partnership Activation Timeline</w:t>
      </w:r>
    </w:p>
    <w:p>
      <w:pPr>
        <w:pStyle w:val="ListParagraph"/>
        <w:numPr>
          <w:ilvl w:val="0"/>
          <w:numId w:val="8"/>
        </w:numPr>
      </w:pPr>
      <w:r>
        <w:rPr>
          <w:b/>
          <w:bCs/>
        </w:rPr>
        <w:t xml:space="preserve">Q1 2026: Partnership Announcement </w:t>
      </w:r>
      <w:r>
        <w:t xml:space="preserve">— Joint press release; Google Cloud Next showcase slot; initial credit activation</w:t>
      </w:r>
    </w:p>
    <w:p>
      <w:pPr>
        <w:pStyle w:val="ListParagraph"/>
        <w:numPr>
          <w:ilvl w:val="0"/>
          <w:numId w:val="8"/>
        </w:numPr>
      </w:pPr>
      <w:r>
        <w:rPr>
          <w:b/>
          <w:bCs/>
        </w:rPr>
        <w:t xml:space="preserve">Q2 2026: FIFA World Cup Pursuit </w:t>
      </w:r>
      <w:r>
        <w:t xml:space="preserve">— Joint proposal to FIFA 2026 host cities; demonstrate operational intelligence value</w:t>
      </w:r>
    </w:p>
    <w:p>
      <w:pPr>
        <w:pStyle w:val="ListParagraph"/>
        <w:numPr>
          <w:ilvl w:val="0"/>
          <w:numId w:val="8"/>
        </w:numPr>
      </w:pPr>
      <w:r>
        <w:rPr>
          <w:b/>
          <w:bCs/>
        </w:rPr>
        <w:t xml:space="preserve">Q3-Q4 2026: LA28 Integration </w:t>
      </w:r>
      <w:r>
        <w:t xml:space="preserve">— Formal engagement with LA28 organizing committee; pilot venue operations</w:t>
      </w:r>
    </w:p>
    <w:p>
      <w:pPr>
        <w:pStyle w:val="ListParagraph"/>
        <w:numPr>
          <w:ilvl w:val="0"/>
          <w:numId w:val="8"/>
        </w:numPr>
      </w:pPr>
      <w:r>
        <w:rPr>
          <w:b/>
          <w:bCs/>
        </w:rPr>
        <w:t xml:space="preserve">2027: Scale Operations </w:t>
      </w:r>
      <w:r>
        <w:t xml:space="preserve">— 50+ venues deployed on GCP; reference customer development; case study creation</w:t>
      </w:r>
    </w:p>
    <w:p>
      <w:pPr>
        <w:pStyle w:val="ListParagraph"/>
        <w:numPr>
          <w:ilvl w:val="0"/>
          <w:numId w:val="8"/>
        </w:numPr>
        <w:spacing w:after="200"/>
      </w:pPr>
      <w:r>
        <w:rPr>
          <w:b/>
          <w:bCs/>
        </w:rPr>
        <w:t xml:space="preserve">2028: LA28 Execution </w:t>
      </w:r>
      <w:r>
        <w:t xml:space="preserve">— Full operational intelligence support for Olympic Games; global showcase for GCP sports capabilities</w:t>
      </w:r>
    </w:p>
    <w:p>
      <w:r>
        <w:br w:type="page"/>
      </w:r>
    </w:p>
    <w:p>
      <w:pPr>
        <w:pStyle w:val="Heading1"/>
      </w:pPr>
      <w:r>
        <w:t xml:space="preserve">PART 6: ABOUT SENTRAIS CORPORATION</w:t>
      </w:r>
    </w:p>
    <w:p>
      <w:pPr>
        <w:pStyle w:val="Heading2"/>
      </w:pPr>
      <w:r>
        <w:t xml:space="preserve">Company Overview</w:t>
      </w:r>
    </w:p>
    <w:p>
      <w:pPr>
        <w:spacing w:after="200"/>
      </w:pPr>
      <w:r>
        <w:t xml:space="preserve">Sentrais Corporation is an operational intelligence company that builds systems for mission-critical environments. Our tagline—'Architecting Calm Through Chaos'—reflects our core capability: transforming complex operational environments into predictive, adaptive systems.</w:t>
      </w:r>
    </w:p>
    <w:p>
      <w:pPr>
        <w:pStyle w:val="Heading2"/>
      </w:pPr>
      <w:r>
        <w:t xml:space="preserve">Founder Background</w:t>
      </w:r>
    </w:p>
    <w:p>
      <w:pPr>
        <w:spacing w:after="100"/>
      </w:pPr>
      <w:r>
        <w:rPr>
          <w:b/>
          <w:bCs/>
        </w:rPr>
        <w:t xml:space="preserve">Tye Hayes, CEO &amp; Founder</w:t>
      </w:r>
    </w:p>
    <w:p>
      <w:pPr>
        <w:pStyle w:val="ListParagraph"/>
        <w:numPr>
          <w:ilvl w:val="0"/>
          <w:numId w:val="9"/>
        </w:numPr>
      </w:pPr>
      <w:r>
        <w:t xml:space="preserve">Navy veteran with extensive crisis management experience</w:t>
      </w:r>
    </w:p>
    <w:p>
      <w:pPr>
        <w:pStyle w:val="ListParagraph"/>
        <w:numPr>
          <w:ilvl w:val="0"/>
          <w:numId w:val="9"/>
        </w:numPr>
      </w:pPr>
      <w:r>
        <w:t xml:space="preserve">Former CIO/CTO of City of Atlanta</w:t>
      </w:r>
    </w:p>
    <w:p>
      <w:pPr>
        <w:pStyle w:val="ListParagraph"/>
        <w:numPr>
          <w:ilvl w:val="0"/>
          <w:numId w:val="9"/>
        </w:numPr>
      </w:pPr>
      <w:r>
        <w:t xml:space="preserve">Critical infrastructure cyber command experience in New Orleans</w:t>
      </w:r>
    </w:p>
    <w:p>
      <w:pPr>
        <w:pStyle w:val="ListParagraph"/>
        <w:numPr>
          <w:ilvl w:val="0"/>
          <w:numId w:val="9"/>
        </w:numPr>
      </w:pPr>
      <w:r>
        <w:t xml:space="preserve">Multi-year Super Bowl operational coordination leadership</w:t>
      </w:r>
    </w:p>
    <w:p>
      <w:pPr>
        <w:pStyle w:val="ListParagraph"/>
        <w:numPr>
          <w:ilvl w:val="0"/>
          <w:numId w:val="9"/>
        </w:numPr>
        <w:spacing w:after="200"/>
      </w:pPr>
      <w:r>
        <w:t xml:space="preserve">Currently operates the NFL Innovation Hub</w:t>
      </w:r>
    </w:p>
    <w:p>
      <w:pPr>
        <w:pStyle w:val="Heading2"/>
      </w:pPr>
      <w:r>
        <w:t xml:space="preserve">Corporate Structure</w:t>
      </w:r>
    </w:p>
    <w:p>
      <w:pPr>
        <w:spacing w:after="100"/>
      </w:pPr>
      <w:r>
        <w:t xml:space="preserve">Sentrais operates through a dual-entity structure optimized for different market segments:</w:t>
      </w:r>
    </w:p>
    <w:p>
      <w:pPr>
        <w:pStyle w:val="ListParagraph"/>
        <w:numPr>
          <w:ilvl w:val="0"/>
          <w:numId w:val="10"/>
        </w:numPr>
      </w:pPr>
      <w:r>
        <w:rPr>
          <w:b/>
          <w:bCs/>
        </w:rPr>
        <w:t xml:space="preserve">Sentrais Corporation </w:t>
      </w:r>
      <w:r>
        <w:t xml:space="preserve">(for-profit parent): Advisory services + Platform business</w:t>
      </w:r>
    </w:p>
    <w:p>
      <w:pPr>
        <w:pStyle w:val="ListParagraph"/>
        <w:numPr>
          <w:ilvl w:val="0"/>
          <w:numId w:val="10"/>
        </w:numPr>
        <w:spacing w:after="200"/>
      </w:pPr>
      <w:r>
        <w:rPr>
          <w:b/>
          <w:bCs/>
        </w:rPr>
        <w:t xml:space="preserve">NOVATELabs </w:t>
      </w:r>
      <w:r>
        <w:t xml:space="preserve">(nonprofit): Workforce development, research, and community innovation</w:t>
      </w:r>
    </w:p>
    <w:p>
      <w:pPr>
        <w:pStyle w:val="Heading2"/>
      </w:pPr>
      <w:r>
        <w:t xml:space="preserve">Product Portfolio</w:t>
      </w:r>
    </w:p>
    <w:p>
      <w:pPr>
        <w:pStyle w:val="ListParagraph"/>
        <w:numPr>
          <w:ilvl w:val="0"/>
          <w:numId w:val="11"/>
        </w:numPr>
      </w:pPr>
      <w:r>
        <w:rPr>
          <w:b/>
          <w:bCs/>
        </w:rPr>
        <w:t xml:space="preserve">EVERGAME 360: </w:t>
      </w:r>
      <w:r>
        <w:t xml:space="preserve">Sports operations platform (currently deployed with NFL)</w:t>
      </w:r>
    </w:p>
    <w:p>
      <w:pPr>
        <w:pStyle w:val="ListParagraph"/>
        <w:numPr>
          <w:ilvl w:val="0"/>
          <w:numId w:val="11"/>
        </w:numPr>
      </w:pPr>
      <w:r>
        <w:rPr>
          <w:b/>
          <w:bCs/>
        </w:rPr>
        <w:t xml:space="preserve">eVEnU: </w:t>
      </w:r>
      <w:r>
        <w:t xml:space="preserve">Venue intelligence platform (launching Q1 2026)</w:t>
      </w:r>
    </w:p>
    <w:p>
      <w:pPr>
        <w:pStyle w:val="ListParagraph"/>
        <w:numPr>
          <w:ilvl w:val="0"/>
          <w:numId w:val="11"/>
        </w:numPr>
        <w:spacing w:after="200"/>
      </w:pPr>
      <w:r>
        <w:rPr>
          <w:b/>
          <w:bCs/>
        </w:rPr>
        <w:t xml:space="preserve">CiviGrid: </w:t>
      </w:r>
      <w:r>
        <w:t xml:space="preserve">Emergency response and SEAR compliance platform (launching Q2 2026)</w:t>
      </w:r>
    </w:p>
    <w:p>
      <w:pPr>
        <w:pStyle w:val="Heading2"/>
      </w:pPr>
      <w:r>
        <w:t xml:space="preserve">Current Traction</w:t>
      </w:r>
    </w:p>
    <w:p>
      <w:pPr>
        <w:pStyle w:val="ListParagraph"/>
        <w:numPr>
          <w:ilvl w:val="0"/>
          <w:numId w:val="12"/>
        </w:numPr>
      </w:pPr>
      <w:r>
        <w:rPr>
          <w:b/>
          <w:bCs/>
        </w:rPr>
        <w:t xml:space="preserve">$6.3M NFL Contract: </w:t>
      </w:r>
      <w:r>
        <w:t xml:space="preserve">$600K implementation + $1.9M annually for three years</w:t>
      </w:r>
    </w:p>
    <w:p>
      <w:pPr>
        <w:pStyle w:val="ListParagraph"/>
        <w:numPr>
          <w:ilvl w:val="0"/>
          <w:numId w:val="12"/>
        </w:numPr>
      </w:pPr>
      <w:r>
        <w:rPr>
          <w:b/>
          <w:bCs/>
        </w:rPr>
        <w:t xml:space="preserve">$1.9M Current ARR: </w:t>
      </w:r>
      <w:r>
        <w:t xml:space="preserve">Validated revenue from premier sports organization</w:t>
      </w:r>
    </w:p>
    <w:p>
      <w:pPr>
        <w:pStyle w:val="ListParagraph"/>
        <w:numPr>
          <w:ilvl w:val="0"/>
          <w:numId w:val="12"/>
        </w:numPr>
      </w:pPr>
      <w:r>
        <w:rPr>
          <w:b/>
          <w:bCs/>
        </w:rPr>
        <w:t xml:space="preserve">32 NFL Stadiums: </w:t>
      </w:r>
      <w:r>
        <w:t xml:space="preserve">Game-day operations across entire league</w:t>
      </w:r>
    </w:p>
    <w:p>
      <w:pPr>
        <w:pStyle w:val="ListParagraph"/>
        <w:numPr>
          <w:ilvl w:val="0"/>
          <w:numId w:val="12"/>
        </w:numPr>
      </w:pPr>
      <w:r>
        <w:rPr>
          <w:b/>
          <w:bCs/>
        </w:rPr>
        <w:t xml:space="preserve">99.7% Platform Uptime: </w:t>
      </w:r>
      <w:r>
        <w:t xml:space="preserve">Mission-critical reliability demonstrated</w:t>
      </w:r>
    </w:p>
    <w:p>
      <w:pPr>
        <w:pStyle w:val="ListParagraph"/>
        <w:numPr>
          <w:ilvl w:val="0"/>
          <w:numId w:val="12"/>
        </w:numPr>
        <w:spacing w:after="200"/>
      </w:pPr>
      <w:r>
        <w:rPr>
          <w:b/>
          <w:bCs/>
        </w:rPr>
        <w:t xml:space="preserve">34% Faster Crisis Response: </w:t>
      </w:r>
      <w:r>
        <w:t xml:space="preserve">Measured operational improvement</w:t>
      </w:r>
    </w:p>
    <w:p>
      <w:r>
        <w:br w:type="page"/>
      </w:r>
    </w:p>
    <w:p>
      <w:pPr>
        <w:pStyle w:val="Heading1"/>
      </w:pPr>
      <w:r>
        <w:t xml:space="preserve">CONCLUSION: THE PARTNERSHIP OPPORTUNITY</w:t>
      </w:r>
    </w:p>
    <w:p>
      <w:pPr>
        <w:spacing w:after="200"/>
      </w:pPr>
      <w:r>
        <w:t xml:space="preserve">Google Cloud has secured the most valuable position in major event technology through the LA28 Official Cloud Provider designation. Sentrais provides the operational intelligence layer that transforms this infrastructure investment into differentiated outcomes.</w:t>
      </w:r>
    </w:p>
    <w:p>
      <w:pPr>
        <w:pStyle w:val="Heading2"/>
      </w:pPr>
      <w:r>
        <w:t xml:space="preserve">Why This Partnership, Why Now</w:t>
      </w:r>
    </w:p>
    <w:p>
      <w:pPr>
        <w:pStyle w:val="ListParagraph"/>
        <w:numPr>
          <w:ilvl w:val="0"/>
          <w:numId w:val="12"/>
        </w:numPr>
      </w:pPr>
      <w:r>
        <w:rPr>
          <w:b/>
          <w:bCs/>
        </w:rPr>
        <w:t xml:space="preserve">LA28 Planning Window: </w:t>
      </w:r>
      <w:r>
        <w:t xml:space="preserve">Olympic operational planning intensifies in 2026; partnership must be established now</w:t>
      </w:r>
    </w:p>
    <w:p>
      <w:pPr>
        <w:pStyle w:val="ListParagraph"/>
        <w:numPr>
          <w:ilvl w:val="0"/>
          <w:numId w:val="12"/>
        </w:numPr>
      </w:pPr>
      <w:r>
        <w:rPr>
          <w:b/>
          <w:bCs/>
        </w:rPr>
        <w:t xml:space="preserve">FIFA 2026 Proximity: </w:t>
      </w:r>
      <w:r>
        <w:t xml:space="preserve">World Cup in June 2026 creates immediate joint pursuit opportunity</w:t>
      </w:r>
    </w:p>
    <w:p>
      <w:pPr>
        <w:pStyle w:val="ListParagraph"/>
        <w:numPr>
          <w:ilvl w:val="0"/>
          <w:numId w:val="12"/>
        </w:numPr>
      </w:pPr>
      <w:r>
        <w:rPr>
          <w:b/>
          <w:bCs/>
        </w:rPr>
        <w:t xml:space="preserve">Proven Technology: </w:t>
      </w:r>
      <w:r>
        <w:t xml:space="preserve">Sentrais platform already operating at NFL scale—no proof-of-concept required</w:t>
      </w:r>
    </w:p>
    <w:p>
      <w:pPr>
        <w:pStyle w:val="ListParagraph"/>
        <w:numPr>
          <w:ilvl w:val="0"/>
          <w:numId w:val="12"/>
        </w:numPr>
      </w:pPr>
      <w:r>
        <w:rPr>
          <w:b/>
          <w:bCs/>
        </w:rPr>
        <w:t xml:space="preserve">Competitive Window: </w:t>
      </w:r>
      <w:r>
        <w:t xml:space="preserve">AWS's sports dominance can be countered through operational differentiation</w:t>
      </w:r>
    </w:p>
    <w:p>
      <w:pPr>
        <w:pStyle w:val="ListParagraph"/>
        <w:numPr>
          <w:ilvl w:val="0"/>
          <w:numId w:val="12"/>
        </w:numPr>
        <w:spacing w:after="200"/>
      </w:pPr>
      <w:r>
        <w:rPr>
          <w:b/>
          <w:bCs/>
        </w:rPr>
        <w:t xml:space="preserve">Category Creation: </w:t>
      </w:r>
      <w:r>
        <w:t xml:space="preserve">Operational Intelligence Infrastructure is an unclaimed category—Google can own it</w:t>
      </w:r>
    </w:p>
    <w:p>
      <w:pPr>
        <w:pStyle w:val="Heading2"/>
      </w:pPr>
      <w:r>
        <w:t xml:space="preserve">The Ask</w:t>
      </w:r>
    </w:p>
    <w:p>
      <w:pPr>
        <w:spacing w:after="200"/>
      </w:pPr>
      <w:r>
        <w:t xml:space="preserve">Sentrais requests a meeting with Google Cloud's Sports &amp; Entertainment vertical leadership and Strategic Partnerships team to discuss formal partnership terms. We are prepared to commit to Google Cloud as our exclusive cloud infrastructure partner for the sports and major events vertical.</w:t>
      </w:r>
    </w:p>
    <w:p>
      <w:pPr>
        <w:spacing w:before="400"/>
      </w:pPr>
      <w:r>
        <w:rPr>
          <w:b/>
          <w:bCs/>
        </w:rPr>
        <w:t xml:space="preserve">Contact:</w:t>
      </w:r>
    </w:p>
    <w:p>
      <w:r>
        <w:t xml:space="preserve">Tye Hayes, CEO &amp; Founder</w:t>
      </w:r>
    </w:p>
    <w:p>
      <w:r>
        <w:t xml:space="preserve">Sentrais Corporation</w:t>
      </w:r>
    </w:p>
    <w:p>
      <w:r>
        <w:t xml:space="preserve">tye@sentrais.com</w:t>
      </w:r>
    </w:p>
    <w:p>
      <w:pPr>
        <w:spacing w:after="400"/>
      </w:pPr>
      <w:r>
        <w:rPr>
          <w:i/>
          <w:iCs/>
          <w:color w:val="666666"/>
        </w:rPr>
        <w:t xml:space="preserve">"Architecting Calm Through Chaos"</w:t>
      </w:r>
    </w:p>
    <w:p>
      <w:pPr>
        <w:spacing w:before="600"/>
        <w:jc w:val="center"/>
      </w:pPr>
      <w:r>
        <w:rPr>
          <w:color w:val="999999"/>
          <w:sz w:val="20"/>
          <w:szCs w:val="20"/>
        </w:rPr>
        <w:t xml:space="preserve">— END OF PROPOSAL —</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t xml:space="preserve">CONFIDENTIAL | </w:t>
    </w:r>
    <w:r>
      <w:rPr>
        <w:color w:val="666666"/>
        <w:sz w:val="18"/>
        <w:szCs w:val="18"/>
      </w:rPr>
      <w:t xml:space="preserve">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8"/>
        <w:szCs w:val="18"/>
      </w:rPr>
      <w:t xml:space="preserve">SENTRAIS CORPORATION | STRATEGIC PARTNERSHIP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10"/>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11"/>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9"/>
    <w:lvlOverride w:ilvl="0">
      <w:startOverride w:val="1"/>
    </w:lvlOverride>
  </w:num>
  <w:num w:numId="12">
    <w:abstractNumId w:val="1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1A365D"/>
      <w:sz w:val="56"/>
      <w:szCs w:val="56"/>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5A8A"/>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7AB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2025-12-28T20:07:49.926Z</dcterms:created>
  <dcterms:modified xsi:type="dcterms:W3CDTF">2025-12-28T20:07:49.927Z</dcterms:modified>
</cp:coreProperties>
</file>

<file path=docProps/custom.xml><?xml version="1.0" encoding="utf-8"?>
<Properties xmlns="http://schemas.openxmlformats.org/officeDocument/2006/custom-properties" xmlns:vt="http://schemas.openxmlformats.org/officeDocument/2006/docPropsVTypes"/>
</file>