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90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66700"/>
                    </a:xfrm>
                    <a:prstGeom prst="rect">
                      <a:avLst/>
                    </a:prstGeom>
                  </pic:spPr>
                </pic:pic>
              </a:graphicData>
            </a:graphic>
          </wp:inline>
        </w:drawing>
      </w:r>
    </w:p>
    <w:p>
      <w:pPr>
        <w:pBdr>
          <w:bottom w:val="single" w:color="8C7A5A" w:sz="14" w:space="1"/>
        </w:pBdr>
        <w:spacing w:after="170" w:before="40"/>
      </w:pPr>
      <w:r>
        <w:rPr>
          <w:sz w:val="2"/>
          <w:szCs w:val="2"/>
        </w:rPr>
        <w:t xml:space="preserve"/>
      </w:r>
    </w:p>
    <w:p>
      <w:pPr>
        <w:spacing w:after="30" w:before="60"/>
      </w:pPr>
      <w:r>
        <w:rPr>
          <w:rFonts w:ascii="Arial" w:cs="Arial" w:eastAsia="Arial" w:hAnsi="Arial"/>
          <w:b/>
          <w:bCs/>
          <w:color w:val="1F2A23"/>
          <w:sz w:val="32"/>
          <w:szCs w:val="32"/>
        </w:rPr>
        <w:t xml:space="preserve">University Programming — Handshake Employer Setup Pack</w:t>
      </w:r>
    </w:p>
    <w:p>
      <w:pPr>
        <w:spacing w:after="180"/>
      </w:pPr>
      <w:r>
        <w:rPr>
          <w:rFonts w:ascii="Arial" w:cs="Arial" w:eastAsia="Arial" w:hAnsi="Arial"/>
          <w:color w:val="4A5A4E"/>
          <w:sz w:val="20"/>
          <w:szCs w:val="20"/>
        </w:rPr>
        <w:t xml:space="preserve">Authoritative record for the account administrator. Register once; reuse across every campus.</w:t>
      </w:r>
    </w:p>
    <w:p>
      <w:pPr>
        <w:pBdr>
          <w:bottom w:val="single" w:color="DADDD8" w:sz="4" w:space="4"/>
        </w:pBdr>
        <w:spacing w:after="110" w:before="240"/>
      </w:pPr>
      <w:r>
        <w:rPr>
          <w:rFonts w:ascii="Arial" w:cs="Arial" w:eastAsia="Arial" w:hAnsi="Arial"/>
          <w:b/>
          <w:bCs/>
          <w:color w:val="1F2A23"/>
          <w:sz w:val="24"/>
          <w:szCs w:val="24"/>
        </w:rPr>
        <w:t xml:space="preserve">1. Employer Identity</w:t>
      </w:r>
    </w:p>
    <w:p>
      <w:pPr>
        <w:spacing w:after="120" w:line="276"/>
      </w:pPr>
      <w:r>
        <w:rPr>
          <w:rFonts w:ascii="Arial" w:cs="Arial" w:eastAsia="Arial" w:hAnsi="Arial"/>
          <w:color w:val="1F2A23"/>
          <w:sz w:val="21"/>
          <w:szCs w:val="21"/>
        </w:rPr>
        <w:t xml:space="preserve">Copy these values directly into the Handshake employer onboarding wizard. The legal name and EIN must match what is on file with the IRS and the entity’s registration, because Handshake verifies the EIN against those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6540"/>
      </w:tblGrid>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Legal employer name</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Sentrais, Inc.</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EIN</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bCs/>
                <w:color w:val="1F2A23"/>
                <w:sz w:val="19"/>
                <w:szCs w:val="19"/>
              </w:rPr>
              <w:t xml:space="preserve">39-4645168</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State of incorporation</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Delaware</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Brand / display name</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Sentrais</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Principal office</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5700 Roswell Rd, Building C, Sandy Springs, GA 30342</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Website</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https://www.sentrais.com</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Verification email</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Company-domain address (e.g., valorie@sentrais.com)</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Recruiter / admin 1</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valorie@sentrais.com  (Valorie Salahuddin)</w:t>
            </w:r>
          </w:p>
        </w:tc>
      </w:tr>
      <w:tr>
        <w:tc>
          <w:tcPr>
            <w:tcW w:type="dxa" w:w="282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Recruiter / admin 2</w:t>
            </w:r>
          </w:p>
        </w:tc>
        <w:tc>
          <w:tcPr>
            <w:tcW w:type="dxa" w:w="654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tionna@sentrais.com  (Tionna Taylor)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C7A5A" w:sz="24" w:space="6"/>
              <w:bottom w:val="none"/>
              <w:right w:val="none"/>
            </w:tcBorders>
            <w:shd w:fill="F4F5F3" w:val="clear"/>
            <w:tcMar>
              <w:top w:type="dxa" w:w="120"/>
              <w:left w:type="dxa" w:w="200"/>
              <w:bottom w:type="dxa" w:w="120"/>
              <w:right w:type="dxa" w:w="160"/>
            </w:tcMar>
          </w:tcPr>
          <w:p>
            <w:pPr>
              <w:spacing w:after="60"/>
            </w:pPr>
            <w:r>
              <w:rPr>
                <w:rFonts w:ascii="Arial" w:cs="Arial" w:eastAsia="Arial" w:hAnsi="Arial"/>
                <w:b/>
                <w:bCs/>
                <w:color w:val="1F2A23"/>
                <w:sz w:val="20"/>
                <w:szCs w:val="20"/>
              </w:rPr>
              <w:t xml:space="preserve">Confirm before submitting</w:t>
            </w:r>
          </w:p>
          <w:p>
            <w:pPr>
              <w:spacing w:after="0" w:line="268"/>
            </w:pPr>
            <w:r>
              <w:rPr>
                <w:rFonts w:ascii="Arial" w:cs="Arial" w:eastAsia="Arial" w:hAnsi="Arial"/>
                <w:color w:val="1F2A23"/>
                <w:sz w:val="19"/>
                <w:szCs w:val="19"/>
              </w:rPr>
              <w:t xml:space="preserve">Verify that the EIN and the principal-office address above match exactly what is registered with the IRS and the Georgia Secretary of State. The brand collateral lists a New York address; that appears to be a presentation mockup and should not be used for Handshake. An EIN-to-address mismatch is the most common cause of a failed or delayed employer verification.</w:t>
            </w:r>
          </w:p>
        </w:tc>
      </w:tr>
    </w:tbl>
    <w:p>
      <w:pPr>
        <w:pBdr>
          <w:bottom w:val="single" w:color="DADDD8" w:sz="4" w:space="4"/>
        </w:pBdr>
        <w:spacing w:after="110" w:before="240"/>
      </w:pPr>
      <w:r>
        <w:rPr>
          <w:rFonts w:ascii="Arial" w:cs="Arial" w:eastAsia="Arial" w:hAnsi="Arial"/>
          <w:b/>
          <w:bCs/>
          <w:color w:val="1F2A23"/>
          <w:sz w:val="24"/>
          <w:szCs w:val="24"/>
        </w:rPr>
        <w:t xml:space="preserve">2. Profile Content</w:t>
      </w:r>
    </w:p>
    <w:p>
      <w:pPr>
        <w:pStyle w:val="ListParagraph"/>
        <w:numPr>
          <w:ilvl w:val="0"/>
          <w:numId w:val="2"/>
        </w:numPr>
        <w:spacing w:after="80" w:line="268"/>
      </w:pPr>
      <w:r>
        <w:rPr>
          <w:rFonts w:ascii="Arial" w:cs="Arial" w:eastAsia="Arial" w:hAnsi="Arial"/>
          <w:b/>
          <w:bCs/>
          <w:color w:val="1F2A23"/>
          <w:sz w:val="21"/>
          <w:szCs w:val="21"/>
        </w:rPr>
        <w:t xml:space="preserve">Logo. </w:t>
      </w:r>
      <w:r>
        <w:rPr>
          <w:rFonts w:ascii="Arial" w:cs="Arial" w:eastAsia="Arial" w:hAnsi="Arial"/>
          <w:color w:val="1F2A23"/>
          <w:sz w:val="21"/>
          <w:szCs w:val="21"/>
        </w:rPr>
        <w:t xml:space="preserve">Use the official Sentrais logo files — horizontal logo as the primary version. Do not recreate or recolor the mark.</w:t>
      </w:r>
    </w:p>
    <w:p>
      <w:pPr>
        <w:pStyle w:val="ListParagraph"/>
        <w:numPr>
          <w:ilvl w:val="0"/>
          <w:numId w:val="2"/>
        </w:numPr>
        <w:spacing w:after="80" w:line="268"/>
      </w:pPr>
      <w:r>
        <w:rPr>
          <w:rFonts w:ascii="Arial" w:cs="Arial" w:eastAsia="Arial" w:hAnsi="Arial"/>
          <w:b/>
          <w:bCs/>
          <w:color w:val="1F2A23"/>
          <w:sz w:val="21"/>
          <w:szCs w:val="21"/>
        </w:rPr>
        <w:t xml:space="preserve">Description. </w:t>
      </w:r>
      <w:r>
        <w:rPr>
          <w:rFonts w:ascii="Arial" w:cs="Arial" w:eastAsia="Arial" w:hAnsi="Arial"/>
          <w:color w:val="1F2A23"/>
          <w:sz w:val="21"/>
          <w:szCs w:val="21"/>
        </w:rPr>
        <w:t xml:space="preserve">Use the “About Sentrais” paragraph from the job description verbatim for consistency.</w:t>
      </w:r>
    </w:p>
    <w:p>
      <w:pPr>
        <w:pStyle w:val="ListParagraph"/>
        <w:numPr>
          <w:ilvl w:val="0"/>
          <w:numId w:val="2"/>
        </w:numPr>
        <w:spacing w:after="80" w:line="268"/>
      </w:pPr>
      <w:r>
        <w:rPr>
          <w:rFonts w:ascii="Arial" w:cs="Arial" w:eastAsia="Arial" w:hAnsi="Arial"/>
          <w:b/>
          <w:bCs/>
          <w:color w:val="1F2A23"/>
          <w:sz w:val="21"/>
          <w:szCs w:val="21"/>
        </w:rPr>
        <w:t xml:space="preserve">Classification. </w:t>
      </w:r>
      <w:r>
        <w:rPr>
          <w:rFonts w:ascii="Arial" w:cs="Arial" w:eastAsia="Arial" w:hAnsi="Arial"/>
          <w:color w:val="1F2A23"/>
          <w:sz w:val="21"/>
          <w:szCs w:val="21"/>
        </w:rPr>
        <w:t xml:space="preserve">Industry: software / operational intelligence. Set company size as applicable.</w:t>
      </w:r>
    </w:p>
    <w:p>
      <w:pPr>
        <w:spacing w:after="120" w:line="276"/>
      </w:pPr>
      <w:r>
        <w:rPr>
          <w:rFonts w:ascii="Arial" w:cs="Arial" w:eastAsia="Arial" w:hAnsi="Arial"/>
          <w:color w:val="1F2A23"/>
          <w:sz w:val="21"/>
          <w:szCs w:val="21"/>
        </w:rPr>
        <w:t xml:space="preserve">Brand colors (for any profile or banner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DADDD8" w:sz="1"/>
              <w:left w:val="single" w:color="DADDD8" w:sz="1"/>
              <w:bottom w:val="single" w:color="DADDD8" w:sz="1"/>
              <w:right w:val="single" w:color="DADDD8" w:sz="1"/>
            </w:tcBorders>
            <w:shd w:fill="1F2A23" w:val="clear"/>
            <w:tcMar>
              <w:top w:type="dxa" w:w="90"/>
              <w:left w:type="dxa" w:w="90"/>
              <w:bottom w:type="dxa" w:w="90"/>
              <w:right w:type="dxa" w:w="90"/>
            </w:tcMar>
          </w:tcPr>
          <w:p>
            <w:r>
              <w:rPr>
                <w:sz w:val="14"/>
                <w:szCs w:val="14"/>
              </w:rPr>
              <w:t xml:space="preserve"> </w:t>
            </w:r>
          </w:p>
        </w:tc>
        <w:tc>
          <w:tcPr>
            <w:tcW w:type="dxa" w:w="423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Obsidian Green</w:t>
            </w:r>
          </w:p>
        </w:tc>
        <w:tc>
          <w:tcPr>
            <w:tcW w:type="dxa" w:w="423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#1F2A23</w:t>
            </w:r>
          </w:p>
        </w:tc>
      </w:tr>
      <w:tr>
        <w:tc>
          <w:tcPr>
            <w:tcW w:type="dxa" w:w="900"/>
            <w:tcBorders>
              <w:top w:val="single" w:color="DADDD8" w:sz="1"/>
              <w:left w:val="single" w:color="DADDD8" w:sz="1"/>
              <w:bottom w:val="single" w:color="DADDD8" w:sz="1"/>
              <w:right w:val="single" w:color="DADDD8" w:sz="1"/>
            </w:tcBorders>
            <w:shd w:fill="4A5A4E" w:val="clear"/>
            <w:tcMar>
              <w:top w:type="dxa" w:w="90"/>
              <w:left w:type="dxa" w:w="90"/>
              <w:bottom w:type="dxa" w:w="90"/>
              <w:right w:type="dxa" w:w="90"/>
            </w:tcMar>
          </w:tcPr>
          <w:p>
            <w:r>
              <w:rPr>
                <w:sz w:val="14"/>
                <w:szCs w:val="14"/>
              </w:rPr>
              <w:t xml:space="preserve"> </w:t>
            </w:r>
          </w:p>
        </w:tc>
        <w:tc>
          <w:tcPr>
            <w:tcW w:type="dxa" w:w="423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Verdant Slate</w:t>
            </w:r>
          </w:p>
        </w:tc>
        <w:tc>
          <w:tcPr>
            <w:tcW w:type="dxa" w:w="423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#4A5A4E</w:t>
            </w:r>
          </w:p>
        </w:tc>
      </w:tr>
      <w:tr>
        <w:tc>
          <w:tcPr>
            <w:tcW w:type="dxa" w:w="900"/>
            <w:tcBorders>
              <w:top w:val="single" w:color="DADDD8" w:sz="1"/>
              <w:left w:val="single" w:color="DADDD8" w:sz="1"/>
              <w:bottom w:val="single" w:color="DADDD8" w:sz="1"/>
              <w:right w:val="single" w:color="DADDD8" w:sz="1"/>
            </w:tcBorders>
            <w:shd w:fill="DADDD8" w:val="clear"/>
            <w:tcMar>
              <w:top w:type="dxa" w:w="90"/>
              <w:left w:type="dxa" w:w="90"/>
              <w:bottom w:type="dxa" w:w="90"/>
              <w:right w:type="dxa" w:w="90"/>
            </w:tcMar>
          </w:tcPr>
          <w:p>
            <w:r>
              <w:rPr>
                <w:sz w:val="14"/>
                <w:szCs w:val="14"/>
              </w:rPr>
              <w:t xml:space="preserve"> </w:t>
            </w:r>
          </w:p>
        </w:tc>
        <w:tc>
          <w:tcPr>
            <w:tcW w:type="dxa" w:w="423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Mineral Gray</w:t>
            </w:r>
          </w:p>
        </w:tc>
        <w:tc>
          <w:tcPr>
            <w:tcW w:type="dxa" w:w="423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#DADDD8</w:t>
            </w:r>
          </w:p>
        </w:tc>
      </w:tr>
      <w:tr>
        <w:tc>
          <w:tcPr>
            <w:tcW w:type="dxa" w:w="900"/>
            <w:tcBorders>
              <w:top w:val="single" w:color="DADDD8" w:sz="1"/>
              <w:left w:val="single" w:color="DADDD8" w:sz="1"/>
              <w:bottom w:val="single" w:color="DADDD8" w:sz="1"/>
              <w:right w:val="single" w:color="DADDD8" w:sz="1"/>
            </w:tcBorders>
            <w:shd w:fill="8C7A5A" w:val="clear"/>
            <w:tcMar>
              <w:top w:type="dxa" w:w="90"/>
              <w:left w:type="dxa" w:w="90"/>
              <w:bottom w:type="dxa" w:w="90"/>
              <w:right w:type="dxa" w:w="90"/>
            </w:tcMar>
          </w:tcPr>
          <w:p>
            <w:r>
              <w:rPr>
                <w:sz w:val="14"/>
                <w:szCs w:val="14"/>
              </w:rPr>
              <w:t xml:space="preserve"> </w:t>
            </w:r>
          </w:p>
        </w:tc>
        <w:tc>
          <w:tcPr>
            <w:tcW w:type="dxa" w:w="4230"/>
            <w:tcBorders>
              <w:top w:val="single" w:color="DADDD8" w:sz="1"/>
              <w:left w:val="single" w:color="DADDD8" w:sz="1"/>
              <w:bottom w:val="single" w:color="DADDD8" w:sz="1"/>
              <w:right w:val="single" w:color="DADDD8" w:sz="1"/>
            </w:tcBorders>
            <w:shd w:fill="F4F5F3" w:val="clear"/>
            <w:tcMar>
              <w:top w:type="dxa" w:w="70"/>
              <w:left w:type="dxa" w:w="130"/>
              <w:bottom w:type="dxa" w:w="70"/>
              <w:right w:type="dxa" w:w="120"/>
            </w:tcMar>
            <w:vAlign w:val="center"/>
          </w:tcPr>
          <w:p>
            <w:r>
              <w:rPr>
                <w:rFonts w:ascii="Arial" w:cs="Arial" w:eastAsia="Arial" w:hAnsi="Arial"/>
                <w:b/>
                <w:bCs/>
                <w:color w:val="1F2A23"/>
                <w:sz w:val="19"/>
                <w:szCs w:val="19"/>
              </w:rPr>
              <w:t xml:space="preserve">Oxide Bronze (accent)</w:t>
            </w:r>
          </w:p>
        </w:tc>
        <w:tc>
          <w:tcPr>
            <w:tcW w:type="dxa" w:w="4230"/>
            <w:tcBorders>
              <w:top w:val="single" w:color="DADDD8" w:sz="1"/>
              <w:left w:val="single" w:color="DADDD8" w:sz="1"/>
              <w:bottom w:val="single" w:color="DADDD8" w:sz="1"/>
              <w:right w:val="single" w:color="DADDD8" w:sz="1"/>
            </w:tcBorders>
            <w:tcMar>
              <w:top w:type="dxa" w:w="70"/>
              <w:left w:type="dxa" w:w="130"/>
              <w:bottom w:type="dxa" w:w="70"/>
              <w:right w:type="dxa" w:w="120"/>
            </w:tcMar>
            <w:vAlign w:val="center"/>
          </w:tcPr>
          <w:p>
            <w:r>
              <w:rPr>
                <w:rFonts w:ascii="Arial" w:cs="Arial" w:eastAsia="Arial" w:hAnsi="Arial"/>
                <w:b w:val="false"/>
                <w:bCs w:val="false"/>
                <w:color w:val="1F2A23"/>
                <w:sz w:val="19"/>
                <w:szCs w:val="19"/>
              </w:rPr>
              <w:t xml:space="preserve">#8C7A5A</w:t>
            </w:r>
          </w:p>
        </w:tc>
      </w:tr>
    </w:tbl>
    <w:p>
      <w:pPr>
        <w:spacing w:after="120" w:line="276"/>
      </w:pPr>
      <w:r>
        <w:rPr>
          <w:rFonts w:ascii="Arial" w:cs="Arial" w:eastAsia="Arial" w:hAnsi="Arial"/>
          <w:b/>
          <w:bCs/>
          <w:color w:val="1F2A23"/>
          <w:sz w:val="21"/>
          <w:szCs w:val="21"/>
        </w:rPr>
        <w:t xml:space="preserve">Type: </w:t>
      </w:r>
      <w:r>
        <w:rPr>
          <w:rFonts w:ascii="Arial" w:cs="Arial" w:eastAsia="Arial" w:hAnsi="Arial"/>
          <w:color w:val="1F2A23"/>
          <w:sz w:val="21"/>
          <w:szCs w:val="21"/>
        </w:rPr>
        <w:t xml:space="preserve">Fahkwang (headlines) and Inter (body) where available; Helvetica Neue / Tahoma as the presentation fallback.</w:t>
      </w:r>
    </w:p>
    <w:p>
      <w:pPr>
        <w:pBdr>
          <w:bottom w:val="single" w:color="DADDD8" w:sz="4" w:space="4"/>
        </w:pBdr>
        <w:spacing w:after="110" w:before="240"/>
      </w:pPr>
      <w:r>
        <w:rPr>
          <w:rFonts w:ascii="Arial" w:cs="Arial" w:eastAsia="Arial" w:hAnsi="Arial"/>
          <w:b/>
          <w:bCs/>
          <w:color w:val="1F2A23"/>
          <w:sz w:val="24"/>
          <w:szCs w:val="24"/>
        </w:rPr>
        <w:t xml:space="preserve">3. Verification &amp; Trust</w:t>
      </w:r>
    </w:p>
    <w:p>
      <w:pPr>
        <w:pStyle w:val="ListParagraph"/>
        <w:numPr>
          <w:ilvl w:val="0"/>
          <w:numId w:val="2"/>
        </w:numPr>
        <w:spacing w:after="80" w:line="268"/>
      </w:pPr>
      <w:r>
        <w:rPr>
          <w:rFonts w:ascii="Arial" w:cs="Arial" w:eastAsia="Arial" w:hAnsi="Arial"/>
          <w:b/>
          <w:bCs/>
          <w:color w:val="1F2A23"/>
          <w:sz w:val="21"/>
          <w:szCs w:val="21"/>
        </w:rPr>
        <w:t xml:space="preserve">Domain match. </w:t>
      </w:r>
      <w:r>
        <w:rPr>
          <w:rFonts w:ascii="Arial" w:cs="Arial" w:eastAsia="Arial" w:hAnsi="Arial"/>
          <w:color w:val="1F2A23"/>
          <w:sz w:val="21"/>
          <w:szCs w:val="21"/>
        </w:rPr>
        <w:t xml:space="preserve">A complete profile plus a verification email on the company’s own domain clears Handshake’s trust review fastest; personal-email domains slow approval.</w:t>
      </w:r>
    </w:p>
    <w:p>
      <w:pPr>
        <w:pStyle w:val="ListParagraph"/>
        <w:numPr>
          <w:ilvl w:val="0"/>
          <w:numId w:val="2"/>
        </w:numPr>
        <w:spacing w:after="80" w:line="268"/>
      </w:pPr>
      <w:r>
        <w:rPr>
          <w:rFonts w:ascii="Arial" w:cs="Arial" w:eastAsia="Arial" w:hAnsi="Arial"/>
          <w:b/>
          <w:bCs/>
          <w:color w:val="1F2A23"/>
          <w:sz w:val="21"/>
          <w:szCs w:val="21"/>
        </w:rPr>
        <w:t xml:space="preserve">One consistent identity. </w:t>
      </w:r>
      <w:r>
        <w:rPr>
          <w:rFonts w:ascii="Arial" w:cs="Arial" w:eastAsia="Arial" w:hAnsi="Arial"/>
          <w:color w:val="1F2A23"/>
          <w:sz w:val="21"/>
          <w:szCs w:val="21"/>
        </w:rPr>
        <w:t xml:space="preserve">Keep the entity name identical everywhere — a consistent, verified profile builds standing that makes each new school’s approval easier.</w:t>
      </w:r>
    </w:p>
    <w:p>
      <w:pPr>
        <w:pStyle w:val="ListParagraph"/>
        <w:numPr>
          <w:ilvl w:val="0"/>
          <w:numId w:val="2"/>
        </w:numPr>
        <w:spacing w:after="80" w:line="268"/>
      </w:pPr>
      <w:r>
        <w:rPr>
          <w:rFonts w:ascii="Arial" w:cs="Arial" w:eastAsia="Arial" w:hAnsi="Arial"/>
          <w:b/>
          <w:bCs/>
          <w:color w:val="1F2A23"/>
          <w:sz w:val="21"/>
          <w:szCs w:val="21"/>
        </w:rPr>
        <w:t xml:space="preserve">Timing. </w:t>
      </w:r>
      <w:r>
        <w:rPr>
          <w:rFonts w:ascii="Arial" w:cs="Arial" w:eastAsia="Arial" w:hAnsi="Arial"/>
          <w:color w:val="1F2A23"/>
          <w:sz w:val="21"/>
          <w:szCs w:val="21"/>
        </w:rPr>
        <w:t xml:space="preserve">Verification timing varies; expect a review period after the email link is confirmed rather than instant approval. Submit well ahead of any recruiting deadline.</w:t>
      </w:r>
    </w:p>
    <w:p>
      <w:pPr>
        <w:pBdr>
          <w:bottom w:val="single" w:color="DADDD8" w:sz="4" w:space="4"/>
        </w:pBdr>
        <w:spacing w:after="110" w:before="240"/>
      </w:pPr>
      <w:r>
        <w:rPr>
          <w:rFonts w:ascii="Arial" w:cs="Arial" w:eastAsia="Arial" w:hAnsi="Arial"/>
          <w:b/>
          <w:bCs/>
          <w:color w:val="1F2A23"/>
          <w:sz w:val="24"/>
          <w:szCs w:val="24"/>
        </w:rPr>
        <w:t xml:space="preserve">4. Job Posting Checklist (per role)</w:t>
      </w:r>
    </w:p>
    <w:p>
      <w:pPr>
        <w:pStyle w:val="ListParagraph"/>
        <w:numPr>
          <w:ilvl w:val="0"/>
          <w:numId w:val="2"/>
        </w:numPr>
        <w:spacing w:after="80" w:line="268"/>
      </w:pPr>
      <w:r>
        <w:rPr>
          <w:rFonts w:ascii="Arial" w:cs="Arial" w:eastAsia="Arial" w:hAnsi="Arial"/>
          <w:color w:val="1F2A23"/>
          <w:sz w:val="21"/>
          <w:szCs w:val="21"/>
        </w:rPr>
        <w:t xml:space="preserve">Title, employment type, on-site / hybrid / remote, and location.</w:t>
      </w:r>
    </w:p>
    <w:p>
      <w:pPr>
        <w:pStyle w:val="ListParagraph"/>
        <w:numPr>
          <w:ilvl w:val="0"/>
          <w:numId w:val="2"/>
        </w:numPr>
        <w:spacing w:after="80" w:line="268"/>
      </w:pPr>
      <w:r>
        <w:rPr>
          <w:rFonts w:ascii="Arial" w:cs="Arial" w:eastAsia="Arial" w:hAnsi="Arial"/>
          <w:color w:val="1F2A23"/>
          <w:sz w:val="21"/>
          <w:szCs w:val="21"/>
        </w:rPr>
        <w:t xml:space="preserve">Job description and qualifications (paste from the role’s JD).</w:t>
      </w:r>
    </w:p>
    <w:p>
      <w:pPr>
        <w:pStyle w:val="ListParagraph"/>
        <w:numPr>
          <w:ilvl w:val="0"/>
          <w:numId w:val="2"/>
        </w:numPr>
        <w:spacing w:after="80" w:line="268"/>
      </w:pPr>
      <w:r>
        <w:rPr>
          <w:rFonts w:ascii="Arial" w:cs="Arial" w:eastAsia="Arial" w:hAnsi="Arial"/>
          <w:color w:val="1F2A23"/>
          <w:sz w:val="21"/>
          <w:szCs w:val="21"/>
        </w:rPr>
        <w:t xml:space="preserve">Pay range — required; standardize on always including one so a single template works at every school.</w:t>
      </w:r>
    </w:p>
    <w:p>
      <w:pPr>
        <w:pStyle w:val="ListParagraph"/>
        <w:numPr>
          <w:ilvl w:val="0"/>
          <w:numId w:val="2"/>
        </w:numPr>
        <w:spacing w:after="80" w:line="268"/>
      </w:pPr>
      <w:r>
        <w:rPr>
          <w:rFonts w:ascii="Arial" w:cs="Arial" w:eastAsia="Arial" w:hAnsi="Arial"/>
          <w:color w:val="1F2A23"/>
          <w:sz w:val="21"/>
          <w:szCs w:val="21"/>
        </w:rPr>
        <w:t xml:space="preserve">Application method and U.S. work-authorization requirement.</w:t>
      </w:r>
    </w:p>
    <w:p>
      <w:pPr>
        <w:pStyle w:val="ListParagraph"/>
        <w:numPr>
          <w:ilvl w:val="0"/>
          <w:numId w:val="2"/>
        </w:numPr>
        <w:spacing w:after="80" w:line="268"/>
      </w:pPr>
      <w:r>
        <w:rPr>
          <w:rFonts w:ascii="Arial" w:cs="Arial" w:eastAsia="Arial" w:hAnsi="Arial"/>
          <w:color w:val="1F2A23"/>
          <w:sz w:val="21"/>
          <w:szCs w:val="21"/>
        </w:rPr>
        <w:t xml:space="preserve">Target majors and graduation window (e.g., CS / Engineering / IS / Data Science; Dec 2026 grads).</w:t>
      </w:r>
    </w:p>
    <w:p>
      <w:pPr>
        <w:pBdr>
          <w:bottom w:val="single" w:color="DADDD8" w:sz="4" w:space="4"/>
        </w:pBdr>
        <w:spacing w:after="110" w:before="240"/>
      </w:pPr>
      <w:r>
        <w:rPr>
          <w:rFonts w:ascii="Arial" w:cs="Arial" w:eastAsia="Arial" w:hAnsi="Arial"/>
          <w:b/>
          <w:bCs/>
          <w:color w:val="1F2A23"/>
          <w:sz w:val="24"/>
          <w:szCs w:val="24"/>
        </w:rPr>
        <w:t xml:space="preserve">5. Multi-University Rollout</w:t>
      </w:r>
    </w:p>
    <w:p>
      <w:pPr>
        <w:pStyle w:val="ListParagraph"/>
        <w:numPr>
          <w:ilvl w:val="0"/>
          <w:numId w:val="2"/>
        </w:numPr>
        <w:spacing w:after="80" w:line="268"/>
      </w:pPr>
      <w:r>
        <w:rPr>
          <w:rFonts w:ascii="Arial" w:cs="Arial" w:eastAsia="Arial" w:hAnsi="Arial"/>
          <w:b/>
          <w:bCs/>
          <w:color w:val="1F2A23"/>
          <w:sz w:val="21"/>
          <w:szCs w:val="21"/>
        </w:rPr>
        <w:t xml:space="preserve">Register once, connect many. </w:t>
      </w:r>
      <w:r>
        <w:rPr>
          <w:rFonts w:ascii="Arial" w:cs="Arial" w:eastAsia="Arial" w:hAnsi="Arial"/>
          <w:color w:val="1F2A23"/>
          <w:sz w:val="21"/>
          <w:szCs w:val="21"/>
        </w:rPr>
        <w:t xml:space="preserve">Register Sentrais as the employer once, then request approval/connection at each target school’s career center individually — most schools approve employers per institution before you can post or attend fairs.</w:t>
      </w:r>
    </w:p>
    <w:p>
      <w:pPr>
        <w:pStyle w:val="ListParagraph"/>
        <w:numPr>
          <w:ilvl w:val="0"/>
          <w:numId w:val="2"/>
        </w:numPr>
        <w:spacing w:after="80" w:line="268"/>
      </w:pPr>
      <w:r>
        <w:rPr>
          <w:rFonts w:ascii="Arial" w:cs="Arial" w:eastAsia="Arial" w:hAnsi="Arial"/>
          <w:b/>
          <w:bCs/>
          <w:color w:val="1F2A23"/>
          <w:sz w:val="21"/>
          <w:szCs w:val="21"/>
        </w:rPr>
        <w:t xml:space="preserve">Pay transparency. </w:t>
      </w:r>
      <w:r>
        <w:rPr>
          <w:rFonts w:ascii="Arial" w:cs="Arial" w:eastAsia="Arial" w:hAnsi="Arial"/>
          <w:color w:val="1F2A23"/>
          <w:sz w:val="21"/>
          <w:szCs w:val="21"/>
        </w:rPr>
        <w:t xml:space="preserve">Georgia does not currently mandate pay ranges, but several states do and Handshake increasingly prompts for them — always include a range so one posting works everywhere.</w:t>
      </w:r>
    </w:p>
    <w:p>
      <w:pPr>
        <w:pStyle w:val="ListParagraph"/>
        <w:numPr>
          <w:ilvl w:val="0"/>
          <w:numId w:val="2"/>
        </w:numPr>
        <w:spacing w:after="80" w:line="268"/>
      </w:pPr>
      <w:r>
        <w:rPr>
          <w:rFonts w:ascii="Arial" w:cs="Arial" w:eastAsia="Arial" w:hAnsi="Arial"/>
          <w:b/>
          <w:bCs/>
          <w:color w:val="1F2A23"/>
          <w:sz w:val="21"/>
          <w:szCs w:val="21"/>
        </w:rPr>
        <w:t xml:space="preserve">Two-track discipline. </w:t>
      </w:r>
      <w:r>
        <w:rPr>
          <w:rFonts w:ascii="Arial" w:cs="Arial" w:eastAsia="Arial" w:hAnsi="Arial"/>
          <w:color w:val="1F2A23"/>
          <w:sz w:val="21"/>
          <w:szCs w:val="21"/>
        </w:rPr>
        <w:t xml:space="preserve">Recruit only as Sentrais (the commercial employer). Keep the Georgia 501(c)(3) entirely off Handshake — a charity posting paid R&amp;D roles is off-mission and a verification red flag.</w:t>
      </w:r>
    </w:p>
    <w:p>
      <w:pPr>
        <w:pBdr>
          <w:bottom w:val="single" w:color="DADDD8" w:sz="6" w:space="1"/>
        </w:pBdr>
        <w:spacing w:after="80" w:before="80"/>
      </w:pPr>
      <w:r>
        <w:rPr>
          <w:sz w:val="2"/>
          <w:szCs w:val="2"/>
        </w:rPr>
        <w:t xml:space="preserve"/>
      </w:r>
    </w:p>
    <w:p>
      <w:r>
        <w:rPr>
          <w:rFonts w:ascii="Arial" w:cs="Arial" w:eastAsia="Arial" w:hAnsi="Arial"/>
          <w:i/>
          <w:iCs/>
          <w:color w:val="4A5A4E"/>
          <w:sz w:val="16"/>
          <w:szCs w:val="16"/>
        </w:rPr>
        <w:t xml:space="preserve">Sentrais  ·  Sandy Springs, Georgia  ·  Internal hand-off — confidential</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16cdde349b2994f039130ef3d35689322439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2026-06-01T21:34:01.009Z</dcterms:created>
  <dcterms:modified xsi:type="dcterms:W3CDTF">2026-06-01T21:34:01.009Z</dcterms:modified>
</cp:coreProperties>
</file>

<file path=docProps/custom.xml><?xml version="1.0" encoding="utf-8"?>
<Properties xmlns="http://schemas.openxmlformats.org/officeDocument/2006/custom-properties" xmlns:vt="http://schemas.openxmlformats.org/officeDocument/2006/docPropsVTypes"/>
</file>