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EpiCenter Esports After-School Program (Grades 3–5, Cobb County)</w:t>
      </w:r>
    </w:p>
    <w:p>
      <w:pPr>
        <w:jc w:val="center"/>
      </w:pPr>
      <w:r>
        <w:t>Built by NOVATE Labs | Powered by Sentrais</w:t>
      </w:r>
    </w:p>
    <w:p/>
    <w:p>
      <w:pPr>
        <w:pStyle w:val="Heading2"/>
      </w:pPr>
      <w:r>
        <w:t>1. Purpose &amp; Philosophy</w:t>
      </w:r>
    </w:p>
    <w:p>
      <w:r>
        <w:t>The EpiCenter Esports After-School Program introduces Cobb County students (grades 3–5) to esports as a tool for digital literacy, creativity, and resilience. Students learn to play with purpose—building foundational technology skills, teamwork, and social-emotional intelligence while exploring STEAM career pathways. The program blends structured gameplay, digital creation, and reflection, promoting equitable access and lifelong learning.</w:t>
      </w:r>
    </w:p>
    <w:p>
      <w:pPr>
        <w:pStyle w:val="Heading2"/>
      </w:pPr>
      <w:r>
        <w:t>2. Program Design Strategy &amp; Justification</w:t>
      </w:r>
    </w:p>
    <w:p>
      <w:r>
        <w:t>The program design follows the NOVATE Innovation Nexus (NIN) framework, ensuring a balance between exposure, practice, application, and reflection. By combining digital literacy with esports, the program develops practical, social, and cognitive skills that align with national education standards and local community goals.</w:t>
      </w:r>
    </w:p>
    <w:p>
      <w:r>
        <w:t>This design strategy positions esports as more than recreation—it becomes a pathway for resilience, problem-solving, and workforce readiness. Each learning phase integrates STEAM principles and SEL (Social Emotional Learning), supporting Cobb County’s academic standards while empowering youth to engage positively in digital spaces.</w:t>
      </w:r>
    </w:p>
    <w:p>
      <w:pPr>
        <w:pStyle w:val="Heading3"/>
      </w:pPr>
      <w:r>
        <w:t>NOVATE Innovation Nexus (NIN) Framework</w:t>
      </w:r>
    </w:p>
    <w:tbl>
      <w:tblPr>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Focus</w:t>
            </w:r>
          </w:p>
        </w:tc>
        <w:tc>
          <w:tcPr>
            <w:tcW w:type="dxa" w:w="2160"/>
          </w:tcPr>
          <w:p>
            <w:r>
              <w:t>Student Experience</w:t>
            </w:r>
          </w:p>
        </w:tc>
        <w:tc>
          <w:tcPr>
            <w:tcW w:type="dxa" w:w="2160"/>
          </w:tcPr>
          <w:p>
            <w:r>
              <w:t>Outcome</w:t>
            </w:r>
          </w:p>
        </w:tc>
      </w:tr>
      <w:tr>
        <w:tc>
          <w:tcPr>
            <w:tcW w:type="dxa" w:w="2160"/>
          </w:tcPr>
          <w:p>
            <w:r>
              <w:t>Forensics → Discover</w:t>
            </w:r>
          </w:p>
        </w:tc>
        <w:tc>
          <w:tcPr>
            <w:tcW w:type="dxa" w:w="2160"/>
          </w:tcPr>
          <w:p>
            <w:r>
              <w:t>Baseline &amp; Exposure</w:t>
            </w:r>
          </w:p>
        </w:tc>
        <w:tc>
          <w:tcPr>
            <w:tcW w:type="dxa" w:w="2160"/>
          </w:tcPr>
          <w:p>
            <w:r>
              <w:t>Explore digital citizenship, cyber safety, and teamwork</w:t>
            </w:r>
          </w:p>
        </w:tc>
        <w:tc>
          <w:tcPr>
            <w:tcW w:type="dxa" w:w="2160"/>
          </w:tcPr>
          <w:p>
            <w:r>
              <w:t>Establish digital readiness</w:t>
            </w:r>
          </w:p>
        </w:tc>
      </w:tr>
      <w:tr>
        <w:tc>
          <w:tcPr>
            <w:tcW w:type="dxa" w:w="2160"/>
          </w:tcPr>
          <w:p>
            <w:r>
              <w:t>Diagnostics → Define</w:t>
            </w:r>
          </w:p>
        </w:tc>
        <w:tc>
          <w:tcPr>
            <w:tcW w:type="dxa" w:w="2160"/>
          </w:tcPr>
          <w:p>
            <w:r>
              <w:t>Identify Strengths</w:t>
            </w:r>
          </w:p>
        </w:tc>
        <w:tc>
          <w:tcPr>
            <w:tcW w:type="dxa" w:w="2160"/>
          </w:tcPr>
          <w:p>
            <w:r>
              <w:t>Rotate through logic, creative, and team games</w:t>
            </w:r>
          </w:p>
        </w:tc>
        <w:tc>
          <w:tcPr>
            <w:tcW w:type="dxa" w:w="2160"/>
          </w:tcPr>
          <w:p>
            <w:r>
              <w:t>Build confidence &amp; collaboration</w:t>
            </w:r>
          </w:p>
        </w:tc>
      </w:tr>
      <w:tr>
        <w:tc>
          <w:tcPr>
            <w:tcW w:type="dxa" w:w="2160"/>
          </w:tcPr>
          <w:p>
            <w:r>
              <w:t>Design → Develop</w:t>
            </w:r>
          </w:p>
        </w:tc>
        <w:tc>
          <w:tcPr>
            <w:tcW w:type="dxa" w:w="2160"/>
          </w:tcPr>
          <w:p>
            <w:r>
              <w:t>Apply Learning</w:t>
            </w:r>
          </w:p>
        </w:tc>
        <w:tc>
          <w:tcPr>
            <w:tcW w:type="dxa" w:w="2160"/>
          </w:tcPr>
          <w:p>
            <w:r>
              <w:t>Create digital projects and builds</w:t>
            </w:r>
          </w:p>
        </w:tc>
        <w:tc>
          <w:tcPr>
            <w:tcW w:type="dxa" w:w="2160"/>
          </w:tcPr>
          <w:p>
            <w:r>
              <w:t>Practice problem-solving</w:t>
            </w:r>
          </w:p>
        </w:tc>
      </w:tr>
      <w:tr>
        <w:tc>
          <w:tcPr>
            <w:tcW w:type="dxa" w:w="2160"/>
          </w:tcPr>
          <w:p>
            <w:r>
              <w:t>Deploy → Demonstrate</w:t>
            </w:r>
          </w:p>
        </w:tc>
        <w:tc>
          <w:tcPr>
            <w:tcW w:type="dxa" w:w="2160"/>
          </w:tcPr>
          <w:p>
            <w:r>
              <w:t>Play &amp; Perform</w:t>
            </w:r>
          </w:p>
        </w:tc>
        <w:tc>
          <w:tcPr>
            <w:tcW w:type="dxa" w:w="2160"/>
          </w:tcPr>
          <w:p>
            <w:r>
              <w:t>Participate in team tournaments and showcases</w:t>
            </w:r>
          </w:p>
        </w:tc>
        <w:tc>
          <w:tcPr>
            <w:tcW w:type="dxa" w:w="2160"/>
          </w:tcPr>
          <w:p>
            <w:r>
              <w:t>Demonstrate mastery &amp; resilience</w:t>
            </w:r>
          </w:p>
        </w:tc>
      </w:tr>
      <w:tr>
        <w:tc>
          <w:tcPr>
            <w:tcW w:type="dxa" w:w="2160"/>
          </w:tcPr>
          <w:p>
            <w:r>
              <w:t>Debrief → Reflect</w:t>
            </w:r>
          </w:p>
        </w:tc>
        <w:tc>
          <w:tcPr>
            <w:tcW w:type="dxa" w:w="2160"/>
          </w:tcPr>
          <w:p>
            <w:r>
              <w:t>Capture Learning</w:t>
            </w:r>
          </w:p>
        </w:tc>
        <w:tc>
          <w:tcPr>
            <w:tcW w:type="dxa" w:w="2160"/>
          </w:tcPr>
          <w:p>
            <w:r>
              <w:t>Group reflection and SEL check-ins</w:t>
            </w:r>
          </w:p>
        </w:tc>
        <w:tc>
          <w:tcPr>
            <w:tcW w:type="dxa" w:w="2160"/>
          </w:tcPr>
          <w:p>
            <w:r>
              <w:t>Reinforce growth mindset</w:t>
            </w:r>
          </w:p>
        </w:tc>
      </w:tr>
    </w:tbl>
    <w:p/>
    <w:p>
      <w:pPr>
        <w:pStyle w:val="Heading2"/>
      </w:pPr>
      <w:r>
        <w:t>3. Program Structure</w:t>
      </w:r>
    </w:p>
    <w:p>
      <w:r>
        <w:t>The program runs across three key phases: a December soft launch to establish structure and routines, a full spring launch for sustained engagement, and a culminating showcase that unites families and community members.</w:t>
      </w:r>
    </w:p>
    <w:tbl>
      <w:tblPr>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Timeline</w:t>
            </w:r>
          </w:p>
        </w:tc>
        <w:tc>
          <w:tcPr>
            <w:tcW w:type="dxa" w:w="2160"/>
          </w:tcPr>
          <w:p>
            <w:r>
              <w:t>Focus Theme</w:t>
            </w:r>
          </w:p>
        </w:tc>
        <w:tc>
          <w:tcPr>
            <w:tcW w:type="dxa" w:w="2160"/>
          </w:tcPr>
          <w:p>
            <w:r>
              <w:t>Example Activities</w:t>
            </w:r>
          </w:p>
        </w:tc>
      </w:tr>
      <w:tr>
        <w:tc>
          <w:tcPr>
            <w:tcW w:type="dxa" w:w="2160"/>
          </w:tcPr>
          <w:p>
            <w:r>
              <w:t>Soft Launch</w:t>
            </w:r>
          </w:p>
        </w:tc>
        <w:tc>
          <w:tcPr>
            <w:tcW w:type="dxa" w:w="2160"/>
          </w:tcPr>
          <w:p>
            <w:r>
              <w:t>Dec (3 weeks)</w:t>
            </w:r>
          </w:p>
        </w:tc>
        <w:tc>
          <w:tcPr>
            <w:tcW w:type="dxa" w:w="2160"/>
          </w:tcPr>
          <w:p>
            <w:r>
              <w:t>Digital Basics Sampler</w:t>
            </w:r>
          </w:p>
        </w:tc>
        <w:tc>
          <w:tcPr>
            <w:tcW w:type="dxa" w:w="2160"/>
          </w:tcPr>
          <w:p>
            <w:r>
              <w:t>Keyboarding, cyber safety, Minecraft Creative Lab, teamwork huddles</w:t>
            </w:r>
          </w:p>
        </w:tc>
      </w:tr>
      <w:tr>
        <w:tc>
          <w:tcPr>
            <w:tcW w:type="dxa" w:w="2160"/>
          </w:tcPr>
          <w:p>
            <w:r>
              <w:t>Full Launch</w:t>
            </w:r>
          </w:p>
        </w:tc>
        <w:tc>
          <w:tcPr>
            <w:tcW w:type="dxa" w:w="2160"/>
          </w:tcPr>
          <w:p>
            <w:r>
              <w:t>Feb–Apr</w:t>
            </w:r>
          </w:p>
        </w:tc>
        <w:tc>
          <w:tcPr>
            <w:tcW w:type="dxa" w:w="2160"/>
          </w:tcPr>
          <w:p>
            <w:r>
              <w:t>Esports &amp; Digital Creation</w:t>
            </w:r>
          </w:p>
        </w:tc>
        <w:tc>
          <w:tcPr>
            <w:tcW w:type="dxa" w:w="2160"/>
          </w:tcPr>
          <w:p>
            <w:r>
              <w:t>Logic and strategy games, intro to streaming and content creation, mini-competitions</w:t>
            </w:r>
          </w:p>
        </w:tc>
      </w:tr>
      <w:tr>
        <w:tc>
          <w:tcPr>
            <w:tcW w:type="dxa" w:w="2160"/>
          </w:tcPr>
          <w:p>
            <w:r>
              <w:t>Culminating Event</w:t>
            </w:r>
          </w:p>
        </w:tc>
        <w:tc>
          <w:tcPr>
            <w:tcW w:type="dxa" w:w="2160"/>
          </w:tcPr>
          <w:p>
            <w:r>
              <w:t>Apr</w:t>
            </w:r>
          </w:p>
        </w:tc>
        <w:tc>
          <w:tcPr>
            <w:tcW w:type="dxa" w:w="2160"/>
          </w:tcPr>
          <w:p>
            <w:r>
              <w:t>Community Showcase / Family Game Night</w:t>
            </w:r>
          </w:p>
        </w:tc>
        <w:tc>
          <w:tcPr>
            <w:tcW w:type="dxa" w:w="2160"/>
          </w:tcPr>
          <w:p>
            <w:r>
              <w:t>Student-led tournament and digital art gallery</w:t>
            </w:r>
          </w:p>
        </w:tc>
      </w:tr>
      <w:tr>
        <w:tc>
          <w:tcPr>
            <w:tcW w:type="dxa" w:w="2160"/>
          </w:tcPr>
          <w:p>
            <w:r>
              <w:t>Summer Extension (optional)</w:t>
            </w:r>
          </w:p>
        </w:tc>
        <w:tc>
          <w:tcPr>
            <w:tcW w:type="dxa" w:w="2160"/>
          </w:tcPr>
          <w:p>
            <w:r>
              <w:t>Jun–Jul</w:t>
            </w:r>
          </w:p>
        </w:tc>
        <w:tc>
          <w:tcPr>
            <w:tcW w:type="dxa" w:w="2160"/>
          </w:tcPr>
          <w:p>
            <w:r>
              <w:t>Innovation Camp</w:t>
            </w:r>
          </w:p>
        </w:tc>
        <w:tc>
          <w:tcPr>
            <w:tcW w:type="dxa" w:w="2160"/>
          </w:tcPr>
          <w:p>
            <w:r>
              <w:t>Advanced STEAM modules and junior coach training</w:t>
            </w:r>
          </w:p>
        </w:tc>
      </w:tr>
    </w:tbl>
    <w:p>
      <w:pPr>
        <w:pStyle w:val="Heading2"/>
      </w:pPr>
      <w:r>
        <w:t>4. Weekly Rotation Model</w:t>
      </w:r>
    </w:p>
    <w:p>
      <w:r>
        <w:t>Each day follows a structured routine with consistent phases suited for elementary learners.</w:t>
      </w:r>
    </w:p>
    <w:tbl>
      <w:tblPr>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Theme</w:t>
            </w:r>
          </w:p>
        </w:tc>
        <w:tc>
          <w:tcPr>
            <w:tcW w:type="dxa" w:w="2160"/>
          </w:tcPr>
          <w:p>
            <w:r>
              <w:t>Core Game/Tool</w:t>
            </w:r>
          </w:p>
        </w:tc>
        <w:tc>
          <w:tcPr>
            <w:tcW w:type="dxa" w:w="2160"/>
          </w:tcPr>
          <w:p>
            <w:r>
              <w:t>Learning Focus</w:t>
            </w:r>
          </w:p>
        </w:tc>
      </w:tr>
      <w:tr>
        <w:tc>
          <w:tcPr>
            <w:tcW w:type="dxa" w:w="2160"/>
          </w:tcPr>
          <w:p>
            <w:r>
              <w:t>1</w:t>
            </w:r>
          </w:p>
        </w:tc>
        <w:tc>
          <w:tcPr>
            <w:tcW w:type="dxa" w:w="2160"/>
          </w:tcPr>
          <w:p>
            <w:r>
              <w:t>Digital Citizenship &amp; Typing</w:t>
            </w:r>
          </w:p>
        </w:tc>
        <w:tc>
          <w:tcPr>
            <w:tcW w:type="dxa" w:w="2160"/>
          </w:tcPr>
          <w:p>
            <w:r>
              <w:t>TypingClub / Roblox Studio Lite</w:t>
            </w:r>
          </w:p>
        </w:tc>
        <w:tc>
          <w:tcPr>
            <w:tcW w:type="dxa" w:w="2160"/>
          </w:tcPr>
          <w:p>
            <w:r>
              <w:t>Online safety and good mechanics</w:t>
            </w:r>
          </w:p>
        </w:tc>
      </w:tr>
      <w:tr>
        <w:tc>
          <w:tcPr>
            <w:tcW w:type="dxa" w:w="2160"/>
          </w:tcPr>
          <w:p>
            <w:r>
              <w:t>2</w:t>
            </w:r>
          </w:p>
        </w:tc>
        <w:tc>
          <w:tcPr>
            <w:tcW w:type="dxa" w:w="2160"/>
          </w:tcPr>
          <w:p>
            <w:r>
              <w:t>Logic &amp; Strategy</w:t>
            </w:r>
          </w:p>
        </w:tc>
        <w:tc>
          <w:tcPr>
            <w:tcW w:type="dxa" w:w="2160"/>
          </w:tcPr>
          <w:p>
            <w:r>
              <w:t>ChessKid / Minecraft Edu</w:t>
            </w:r>
          </w:p>
        </w:tc>
        <w:tc>
          <w:tcPr>
            <w:tcW w:type="dxa" w:w="2160"/>
          </w:tcPr>
          <w:p>
            <w:r>
              <w:t>Critical thinking and math logic</w:t>
            </w:r>
          </w:p>
        </w:tc>
      </w:tr>
      <w:tr>
        <w:tc>
          <w:tcPr>
            <w:tcW w:type="dxa" w:w="2160"/>
          </w:tcPr>
          <w:p>
            <w:r>
              <w:t>3</w:t>
            </w:r>
          </w:p>
        </w:tc>
        <w:tc>
          <w:tcPr>
            <w:tcW w:type="dxa" w:w="2160"/>
          </w:tcPr>
          <w:p>
            <w:r>
              <w:t>Creativity &amp; Design</w:t>
            </w:r>
          </w:p>
        </w:tc>
        <w:tc>
          <w:tcPr>
            <w:tcW w:type="dxa" w:w="2160"/>
          </w:tcPr>
          <w:p>
            <w:r>
              <w:t>Minecraft Creative / Canva Kids</w:t>
            </w:r>
          </w:p>
        </w:tc>
        <w:tc>
          <w:tcPr>
            <w:tcW w:type="dxa" w:w="2160"/>
          </w:tcPr>
          <w:p>
            <w:r>
              <w:t>Design thinking and storytelling</w:t>
            </w:r>
          </w:p>
        </w:tc>
      </w:tr>
      <w:tr>
        <w:tc>
          <w:tcPr>
            <w:tcW w:type="dxa" w:w="2160"/>
          </w:tcPr>
          <w:p>
            <w:r>
              <w:t>4</w:t>
            </w:r>
          </w:p>
        </w:tc>
        <w:tc>
          <w:tcPr>
            <w:tcW w:type="dxa" w:w="2160"/>
          </w:tcPr>
          <w:p>
            <w:r>
              <w:t>Team Play &amp; Sportsmanship</w:t>
            </w:r>
          </w:p>
        </w:tc>
        <w:tc>
          <w:tcPr>
            <w:tcW w:type="dxa" w:w="2160"/>
          </w:tcPr>
          <w:p>
            <w:r>
              <w:t>Rocket League / Switch Sports</w:t>
            </w:r>
          </w:p>
        </w:tc>
        <w:tc>
          <w:tcPr>
            <w:tcW w:type="dxa" w:w="2160"/>
          </w:tcPr>
          <w:p>
            <w:r>
              <w:t>Collaboration and communication</w:t>
            </w:r>
          </w:p>
        </w:tc>
      </w:tr>
      <w:tr>
        <w:tc>
          <w:tcPr>
            <w:tcW w:type="dxa" w:w="2160"/>
          </w:tcPr>
          <w:p>
            <w:r>
              <w:t>5</w:t>
            </w:r>
          </w:p>
        </w:tc>
        <w:tc>
          <w:tcPr>
            <w:tcW w:type="dxa" w:w="2160"/>
          </w:tcPr>
          <w:p>
            <w:r>
              <w:t>Broadcast &amp; Streaming</w:t>
            </w:r>
          </w:p>
        </w:tc>
        <w:tc>
          <w:tcPr>
            <w:tcW w:type="dxa" w:w="2160"/>
          </w:tcPr>
          <w:p>
            <w:r>
              <w:t>OBS for Kids / Flip Video</w:t>
            </w:r>
          </w:p>
        </w:tc>
        <w:tc>
          <w:tcPr>
            <w:tcW w:type="dxa" w:w="2160"/>
          </w:tcPr>
          <w:p>
            <w:r>
              <w:t>Media literacy and presentation skills</w:t>
            </w:r>
          </w:p>
        </w:tc>
      </w:tr>
      <w:tr>
        <w:tc>
          <w:tcPr>
            <w:tcW w:type="dxa" w:w="2160"/>
          </w:tcPr>
          <w:p>
            <w:r>
              <w:t>6</w:t>
            </w:r>
          </w:p>
        </w:tc>
        <w:tc>
          <w:tcPr>
            <w:tcW w:type="dxa" w:w="2160"/>
          </w:tcPr>
          <w:p>
            <w:r>
              <w:t>Community &amp; Culture</w:t>
            </w:r>
          </w:p>
        </w:tc>
        <w:tc>
          <w:tcPr>
            <w:tcW w:type="dxa" w:w="2160"/>
          </w:tcPr>
          <w:p>
            <w:r>
              <w:t>Music Mix / Local Game Jam</w:t>
            </w:r>
          </w:p>
        </w:tc>
        <w:tc>
          <w:tcPr>
            <w:tcW w:type="dxa" w:w="2160"/>
          </w:tcPr>
          <w:p>
            <w:r>
              <w:t>Cultural storytelling and creativity</w:t>
            </w:r>
          </w:p>
        </w:tc>
      </w:tr>
      <w:tr>
        <w:tc>
          <w:tcPr>
            <w:tcW w:type="dxa" w:w="2160"/>
          </w:tcPr>
          <w:p>
            <w:r>
              <w:t>7</w:t>
            </w:r>
          </w:p>
        </w:tc>
        <w:tc>
          <w:tcPr>
            <w:tcW w:type="dxa" w:w="2160"/>
          </w:tcPr>
          <w:p>
            <w:r>
              <w:t>Showcase Week</w:t>
            </w:r>
          </w:p>
        </w:tc>
        <w:tc>
          <w:tcPr>
            <w:tcW w:type="dxa" w:w="2160"/>
          </w:tcPr>
          <w:p>
            <w:r>
              <w:t>Tournament + Exhibit</w:t>
            </w:r>
          </w:p>
        </w:tc>
        <w:tc>
          <w:tcPr>
            <w:tcW w:type="dxa" w:w="2160"/>
          </w:tcPr>
          <w:p>
            <w:r>
              <w:t>Demonstrate learning and teamwork</w:t>
            </w:r>
          </w:p>
        </w:tc>
      </w:tr>
    </w:tbl>
    <w:p>
      <w:pPr>
        <w:pStyle w:val="Heading2"/>
      </w:pPr>
      <w:r>
        <w:t>5. Roles &amp; Partners</w:t>
      </w:r>
    </w:p>
    <w:p>
      <w:r>
        <w:t>**NOVATE Labs** – Program architect; responsible for overall program design, launch strategy, and training materials.</w:t>
      </w:r>
    </w:p>
    <w:p>
      <w:r>
        <w:t>**EpiCenter** – Leads curriculum development, day-to-day instruction, and coordination with school staff.</w:t>
      </w:r>
    </w:p>
    <w:p>
      <w:r>
        <w:t>**Roles Summary:** NOVATE will conduct one staff training session and provide comprehensive training materials for ongoing use.</w:t>
      </w:r>
    </w:p>
    <w:p>
      <w:r>
        <w:t>**Community Partners (Examples):** Cobb County Libraries, Girls Who Game, Boys &amp; Girls Clubs, Local Churches, YMCA, and Esports Youth Leagues.</w:t>
      </w:r>
    </w:p>
    <w:p>
      <w:r>
        <w:t>**Sponsors (Examples):** Amazon Community Services, Microsoft Education, Dell Technologies, Atlanta Esports Alliance.</w:t>
      </w:r>
    </w:p>
    <w:p>
      <w:pPr>
        <w:pStyle w:val="Heading2"/>
      </w:pPr>
      <w:r>
        <w:t>6. Intended Value to Stakeholders</w:t>
      </w:r>
    </w:p>
    <w:tbl>
      <w:tblPr>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Value / Intended Outcome</w:t>
            </w:r>
          </w:p>
        </w:tc>
      </w:tr>
      <w:tr>
        <w:tc>
          <w:tcPr>
            <w:tcW w:type="dxa" w:w="4320"/>
          </w:tcPr>
          <w:p>
            <w:r>
              <w:t>Students</w:t>
            </w:r>
          </w:p>
        </w:tc>
        <w:tc>
          <w:tcPr>
            <w:tcW w:type="dxa" w:w="4320"/>
          </w:tcPr>
          <w:p>
            <w:r>
              <w:t>Gain digital literacy, resilience, and collaboration skills; exposure to STEAM and esports careers.</w:t>
            </w:r>
          </w:p>
        </w:tc>
      </w:tr>
      <w:tr>
        <w:tc>
          <w:tcPr>
            <w:tcW w:type="dxa" w:w="4320"/>
          </w:tcPr>
          <w:p>
            <w:r>
              <w:t>Teachers &amp; Staff</w:t>
            </w:r>
          </w:p>
        </w:tc>
        <w:tc>
          <w:tcPr>
            <w:tcW w:type="dxa" w:w="4320"/>
          </w:tcPr>
          <w:p>
            <w:r>
              <w:t>Access turnkey curriculum and training; integrate SEL and digital citizenship with ease.</w:t>
            </w:r>
          </w:p>
        </w:tc>
      </w:tr>
      <w:tr>
        <w:tc>
          <w:tcPr>
            <w:tcW w:type="dxa" w:w="4320"/>
          </w:tcPr>
          <w:p>
            <w:r>
              <w:t>Parents &amp; Families</w:t>
            </w:r>
          </w:p>
        </w:tc>
        <w:tc>
          <w:tcPr>
            <w:tcW w:type="dxa" w:w="4320"/>
          </w:tcPr>
          <w:p>
            <w:r>
              <w:t>Engage in positive technology experiences with children; participate in showcase events.</w:t>
            </w:r>
          </w:p>
        </w:tc>
      </w:tr>
      <w:tr>
        <w:tc>
          <w:tcPr>
            <w:tcW w:type="dxa" w:w="4320"/>
          </w:tcPr>
          <w:p>
            <w:r>
              <w:t>EpiCenter</w:t>
            </w:r>
          </w:p>
        </w:tc>
        <w:tc>
          <w:tcPr>
            <w:tcW w:type="dxa" w:w="4320"/>
          </w:tcPr>
          <w:p>
            <w:r>
              <w:t>Strengthened reputation as a leading innovation hub for youth programs; measurable community impact.</w:t>
            </w:r>
          </w:p>
        </w:tc>
      </w:tr>
      <w:tr>
        <w:tc>
          <w:tcPr>
            <w:tcW w:type="dxa" w:w="4320"/>
          </w:tcPr>
          <w:p>
            <w:r>
              <w:t>NOVATE Labs</w:t>
            </w:r>
          </w:p>
        </w:tc>
        <w:tc>
          <w:tcPr>
            <w:tcW w:type="dxa" w:w="4320"/>
          </w:tcPr>
          <w:p>
            <w:r>
              <w:t>Demonstrates scalable innovation and resilience design for youth ecosystems; expands research base.</w:t>
            </w:r>
          </w:p>
        </w:tc>
      </w:tr>
      <w:tr>
        <w:tc>
          <w:tcPr>
            <w:tcW w:type="dxa" w:w="4320"/>
          </w:tcPr>
          <w:p>
            <w:r>
              <w:t>Community Partners</w:t>
            </w:r>
          </w:p>
        </w:tc>
        <w:tc>
          <w:tcPr>
            <w:tcW w:type="dxa" w:w="4320"/>
          </w:tcPr>
          <w:p>
            <w:r>
              <w:t>Opportunities for local engagement, volunteering, and workforce pipeline creation.</w:t>
            </w:r>
          </w:p>
        </w:tc>
      </w:tr>
      <w:tr>
        <w:tc>
          <w:tcPr>
            <w:tcW w:type="dxa" w:w="4320"/>
          </w:tcPr>
          <w:p>
            <w:r>
              <w:t>Sponsors</w:t>
            </w:r>
          </w:p>
        </w:tc>
        <w:tc>
          <w:tcPr>
            <w:tcW w:type="dxa" w:w="4320"/>
          </w:tcPr>
          <w:p>
            <w:r>
              <w:t>Visible social impact, brand exposure, and alignment with digital inclusion initiatives.</w:t>
            </w:r>
          </w:p>
        </w:tc>
      </w:tr>
    </w:tbl>
    <w:p>
      <w:pPr>
        <w:pStyle w:val="Heading2"/>
      </w:pPr>
      <w:r>
        <w:t>7. Program Outcomes &amp; Metrics</w:t>
      </w:r>
    </w:p>
    <w:p>
      <w:r>
        <w:t>- 100% of participants complete digital citizenship modules.</w:t>
        <w:br/>
        <w:t>- 75% show growth in collaboration and digital literacy rubrics.</w:t>
        <w:br/>
        <w:t>- 90% report increased confidence in teamwork and problem solving.</w:t>
        <w:br/>
        <w:t>- Minimum of 2 students per cohort pursue extended STEAM learning opportunities.</w:t>
        <w:br/>
        <w:t>- Documented community showcase with parent engagement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