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INNOVATION HUB DESIGN SESSION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5B4FC"/>
                <w:sz w:val="22"/>
                <w:szCs w:val="22"/>
              </w:rPr>
              <w:t xml:space="preserve">Dual Ecosystem Architecture  |  NFL Managed Overlay System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Meeting Notes  |  Sentrais / NOVATELabs  |  Confidential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Meeting Details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Participants &amp; Context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Strategic Design Session — Recorded Verbal Transcript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Facilitator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Tye Hayes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CONFIDENTIAL — Internal Use Only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Subject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Dual Ecosystem Innovation Hub Architecture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Entities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NOVATELabs / Sentrais / EVERGAME / NFL Vertical</w:t>
            </w:r>
          </w:p>
        </w:tc>
      </w:tr>
    </w:tbl>
    <w:p>
      <w:pPr>
        <w:spacing w:after="80"/>
      </w:pPr>
    </w:p>
    <w:p>
      <w:pPr>
        <w:pBdr>
          <w:bottom w:val="single" w:color="0A7E8C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session marked a pivotal strategic clarity moment for the Innovation Hub architecture. The founder worked through — in real time — the critical design distinction between (1) the internal NOVATELabs/Sentrais Innovation OS and (2) the NFL-facing managed overlay. The dual ecosystem model is now clearly defined: the NFL does not own or access the core OS; they receive a governed, white-labeled experience through a managed client portal, contracted on scope and period.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F59E0B" w:val="clear"/>
          </w:tcPr>
          <w:p/>
        </w:tc>
        <w:tc>
          <w:tcPr>
            <w:tcW w:type="dxa" w:w="916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KEY BREAKTHROUGH</w:t>
            </w:r>
          </w:p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NFL gets an overlay of our hub — not our hub. It is a managed system powered by Sentrais and the NOVATELabs Innovation OS. We manage the vertical. They experience a governed version of our infrastructure.</w:t>
            </w:r>
          </w:p>
        </w:tc>
      </w:tr>
    </w:tbl>
    <w:p>
      <w:pPr>
        <w:spacing w:after="80"/>
      </w:pPr>
    </w:p>
    <w:p>
      <w:pPr>
        <w:pBdr>
          <w:bottom w:val="single" w:color="0A7E8C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SESSION HIGHLIGHTS &amp; KEY DECISIONS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7E8C"/>
          <w:sz w:val="24"/>
          <w:szCs w:val="24"/>
        </w:rPr>
        <w:t xml:space="preserve">1. Strategic Clarity Regained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Session opened with acknowledgment that recent MVP launch pressures had temporarily obscured the core strategic vision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The Dual Ecosystem Hub design was reaffirmed as the primary differentiator and the source of enterprise leverage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Real-time ideation session resulted in full architectural clarity by session end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7E8C"/>
          <w:sz w:val="24"/>
          <w:szCs w:val="24"/>
        </w:rPr>
        <w:t xml:space="preserve">2. The Dual Ecosystem Architecture — Core Principle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Two distinct systems exist in parallel: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NOVATELabs / Sentrais Internal Innovation OS — fully owned, proprietary, protected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NFL Managed Overlay — a governed, contracted experience layered on top of the 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NFL DOES NOT have access to the underlying OS, playbooks, or intelligence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NFL IS provided: a client portal, a project experience, KPI dashboards, and strategic reporting — all curated and permissioned by Sentrais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The NFL is treated as a VERTICAL — managed like a business unit, not a partner with system access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7E8C"/>
          <w:sz w:val="24"/>
          <w:szCs w:val="24"/>
        </w:rPr>
        <w:t xml:space="preserve">3. Zone 1 — Current Infrastructure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Zone 1 has been successfully stood up via GCP (Google Cloud Platform)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Next priority: design and document the full Innovation Hub architecture, with NFL entry point as the lead use case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7E8C"/>
          <w:sz w:val="24"/>
          <w:szCs w:val="24"/>
        </w:rPr>
        <w:t xml:space="preserve">4. NFL Entry Point &amp; Project Routing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NFL submits projects by denoting project TYPE at intake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Project type triggers a specific ROUTE through the innovation process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Routing is governed by: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NFL's stated strategic goals and active initiatives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The type of project submitted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Projects are mapped to ZONES: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Performance Zone — projects tied to competitive and operational performance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Productivity Zone — projects tied to efficiency, internal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Each zone assignment triggers: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 specific KPI framework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 collaboration model (co-design, challenge, advisory, etc.)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 project pathway and playbook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7E8C"/>
          <w:sz w:val="24"/>
          <w:szCs w:val="24"/>
        </w:rPr>
        <w:t xml:space="preserve">5. The Innovation OS — Owned by Sentrais/NOVATELabs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The underlying Innovation OS is 100% Sentrais/NOVATELabs intellectual property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Playbooks, routing logic, simulation frameworks, and intelligence layers are all proprietary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The NFL's experience is powered by this OS, but they interact only with a governed overlay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The OS is analogous to an iOS — it runs the experience without being exposed to the end user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7E8C"/>
          <w:sz w:val="24"/>
          <w:szCs w:val="24"/>
        </w:rPr>
        <w:t xml:space="preserve">6. D3 Simulation Requirement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ALL projects entering the hub MUST go through D3 Simulations before any decisions are made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D3 Simulations serve as the validation gate — no project bypasses this step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This ensures data-driven decision support for both Sentrais and NFL stakeholders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7E8C"/>
          <w:sz w:val="24"/>
          <w:szCs w:val="24"/>
        </w:rPr>
        <w:t xml:space="preserve">7. Data Segmentation &amp;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NFL data is COMPLETELY SEGMENTED from all other Sentrais/NOVATELabs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Data sharing is governed by explicit agreement — only agreed-upon data is visible across boundaries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NFL-facing portal shows ONLY what Sentrais has permissioned for that client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All other Sentrais businesses remain completely separate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Information segmentation follows same structural model as all prior initiatives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7E8C"/>
          <w:sz w:val="24"/>
          <w:szCs w:val="24"/>
        </w:rPr>
        <w:t xml:space="preserve">8. Client Portal Experience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NFL clients will log in to a branded client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Portal displays: project status, KPIs, initiative tracking, strategic insights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Portal is governed by the NFL's Technology Advisory Committee (governance layer)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Experience is curated — NFL sees what Sentrais determines is appropriate to surface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This is a MANAGED SYSTEM: Sentrais retains full control of the infrastructure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7E8C"/>
          <w:sz w:val="24"/>
          <w:szCs w:val="24"/>
        </w:rPr>
        <w:t xml:space="preserve">9. Governance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NFL's governance structure is designed and implemented BY Sentrais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NFL Technology Advisory Committee functions as the governance convening body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Governance gates are built into the hub design and adjust based on contract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Playbooks, escalation logic, and authority frameworks apply per scope and period</w:t>
      </w:r>
    </w:p>
    <w:p>
      <w:pPr>
        <w:spacing w:after="80"/>
      </w:pPr>
    </w:p>
    <w:p>
      <w:pPr>
        <w:pBdr>
          <w:bottom w:val="single" w:color="0A7E8C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/ Priority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Design full Innovation Hub architecture — NFL entry point as primary use case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Tye | IMMEDIATE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Document the Dual Ecosystem model formally — two-system distinction clearly articulated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Tye | HIGH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Create NFL Vertical structure documentation — treating NFL as a managed vertical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Team | HIGH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Design client portal experience and permission framework for NFL overlay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Team | HIGH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Map project routing logic: type → zone → KPI → pathway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Team | HIGH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Document D3 Simulation gate requirements and integration into hub flow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Team | MEDIUM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Design data segmentation architecture — NFL isolation confirmed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Team | MEDIUM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Develop NFL Technology Advisory Committee governance framework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Tye | MEDIUM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Produce design artifacts for stakeholder presentation (NFL senior leadership)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Team | MEDIUM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Update Sentrais platform architecture documentation to reflect dual ecosystem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Team | MEDIUM</w:t>
            </w:r>
          </w:p>
        </w:tc>
      </w:tr>
    </w:tbl>
    <w:p>
      <w:pPr>
        <w:spacing w:after="80"/>
      </w:pPr>
    </w:p>
    <w:p>
      <w:pPr>
        <w:pBdr>
          <w:bottom w:val="single" w:color="0A7E8C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OPEN QUESTIONS &amp;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/ Risk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How are contract scope and period gates precisely defined?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Needs formalization — gates and playbooks adjust per scope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What specific data fields are shareable across the NFL boundary?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Requires explicit data sharing agreement definition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How does the NFL TAC governance integrate with Sentrais operational controls?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Governance design in progress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What is the phase plan for building out NFL overlay portal?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Zone 1 is live; full hub design is next milestone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How do Zones 2-4 (original four-zone design) map to current architecture?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Original four-zone model still applies; project type drives routing</w:t>
            </w:r>
          </w:p>
        </w:tc>
      </w:tr>
    </w:tbl>
    <w:p>
      <w:pPr>
        <w:spacing w:after="80"/>
      </w:pPr>
    </w:p>
    <w:p>
      <w:pPr>
        <w:pBdr>
          <w:bottom w:val="single" w:color="0A7E8C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REFERENCE: FRAMEWORK OVERVIEW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following summarizes the core conceptual architecture confirmed in this session: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 Component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Innovation OS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Proprietary Sentrais/NOVATELabs system — never exposed to clients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NFL Overlay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Managed experience layer — governed, permissioned, contracted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NFL as Vertical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Treated as a managed vertical within Sentrais — data segmented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Zones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Performance Zone and Productivity Zone — drive KPI and pathway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Submitted by NFL at intake — determines routing through the OS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D3 Simulations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Mandatory validation gate — all projects before decisions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Client Portal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NFL-facing interface — shows only what Sentrais permits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TAC Governance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NFL Technology Advisory Committee — designed by Sentrais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Playbooks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Sentrais IP — applied per contract scope and period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Data Segmentation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Complete isolation of NFL data from other Sentrais operations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4B5563"/>
          <w:sz w:val="18"/>
          <w:szCs w:val="18"/>
        </w:rPr>
        <w:t xml:space="preserve">PROPRIETARY &amp; CONFIDENTIAL  |  NOVATELabs / Sentrais  |  DO NOT DISTRIBUTE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A7E8C" w:sz="4" w:space="1"/>
      </w:pBdr>
      <w:spacing w:before="120"/>
      <w:jc w:val="center"/>
    </w:pPr>
    <w:r>
      <w:rPr>
        <w:rFonts w:ascii="Arial" w:cs="Arial" w:eastAsia="Arial" w:hAnsi="Arial"/>
        <w:color w:val="4B5563"/>
        <w:sz w:val="18"/>
        <w:szCs w:val="18"/>
      </w:rPr>
      <w:t xml:space="preserve">Innovation Hub Design Session  |  Proprietary &amp; Confidential  |  Page </w:t>
    </w:r>
    <w:r>
      <w:rPr>
        <w:rFonts w:ascii="Arial" w:cs="Arial" w:eastAsia="Arial" w:hAnsi="Arial"/>
        <w:color w:val="4B556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720"/>
    </w:tblGrid>
    <w:tr>
      <w:tc>
        <w:tcPr>
          <w:tcW w:type="dxa" w:w="7000"/>
          <w:tcBorders>
            <w:top w:val="none"/>
            <w:left w:val="none"/>
            <w:bottom w:val="none"/>
            <w:right w:val="none"/>
          </w:tcBorders>
          <w:shd w:fill="0D1B2A" w:val="clear"/>
          <w:tcMar>
            <w:top w:type="dxa" w:w="100"/>
            <w:left w:type="dxa" w:w="160"/>
            <w:bottom w:type="dxa" w:w="100"/>
            <w:right w:type="dxa" w:w="8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SENTRAIS  |  NOVATELABS  |  EVERGAME</w:t>
          </w:r>
        </w:p>
      </w:tc>
      <w:tc>
        <w:tcPr>
          <w:tcW w:type="dxa" w:w="2720"/>
          <w:tcBorders>
            <w:top w:val="none"/>
            <w:left w:val="none"/>
            <w:bottom w:val="none"/>
            <w:right w:val="none"/>
          </w:tcBorders>
          <w:shd w:fill="0A7E8C" w:val="clear"/>
          <w:tcMar>
            <w:top w:type="dxa" w:w="100"/>
            <w:left w:type="dxa" w:w="80"/>
            <w:bottom w:type="dxa" w:w="10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1B2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A7E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2026-04-06T17:04:22.874Z</dcterms:created>
  <dcterms:modified xsi:type="dcterms:W3CDTF">2026-04-06T17:04:22.874Z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