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0D1B2A" w:val="clear"/>
            <w:tcMar>
              <w:top w:type="dxa" w:w="280"/>
              <w:left w:type="dxa" w:w="280"/>
              <w:bottom w:type="dxa" w:w="280"/>
              <w:right w:type="dxa" w:w="280"/>
            </w:tcMar>
          </w:tcPr>
          <w:p>
            <w:pPr>
              <w:jc w:val="center"/>
            </w:pPr>
            <w:r>
              <w:rPr>
                <w:rFonts w:ascii="Arial" w:cs="Arial" w:eastAsia="Arial" w:hAnsi="Arial"/>
                <w:b/>
                <w:bCs/>
                <w:color w:val="7DD3FC"/>
                <w:sz w:val="22"/>
                <w:szCs w:val="22"/>
              </w:rPr>
              <w:t xml:space="preserve">MEETING ADDENDUM</w:t>
            </w:r>
          </w:p>
          <w:p>
            <w:pPr>
              <w:spacing w:before="80"/>
              <w:jc w:val="center"/>
            </w:pPr>
            <w:r>
              <w:rPr>
                <w:rFonts w:ascii="Arial" w:cs="Arial" w:eastAsia="Arial" w:hAnsi="Arial"/>
                <w:b/>
                <w:bCs/>
                <w:color w:val="FFFFFF"/>
                <w:sz w:val="36"/>
                <w:szCs w:val="36"/>
              </w:rPr>
              <w:t xml:space="preserve">Stadium Certification Monetization &amp;</w:t>
            </w:r>
          </w:p>
          <w:p>
            <w:pPr>
              <w:spacing w:after="80"/>
              <w:jc w:val="center"/>
            </w:pPr>
            <w:r>
              <w:rPr>
                <w:rFonts w:ascii="Arial" w:cs="Arial" w:eastAsia="Arial" w:hAnsi="Arial"/>
                <w:b/>
                <w:bCs/>
                <w:color w:val="FFFFFF"/>
                <w:sz w:val="36"/>
                <w:szCs w:val="36"/>
              </w:rPr>
              <w:t xml:space="preserve">Custom Event Management Solution</w:t>
            </w:r>
          </w:p>
          <w:p>
            <w:pPr>
              <w:spacing w:before="80"/>
              <w:jc w:val="center"/>
            </w:pPr>
            <w:r>
              <w:rPr>
                <w:rFonts w:ascii="Arial" w:cs="Arial" w:eastAsia="Arial" w:hAnsi="Arial"/>
                <w:color w:val="A5B4FC"/>
                <w:sz w:val="22"/>
                <w:szCs w:val="22"/>
              </w:rPr>
              <w:t xml:space="preserve">Data Sharing Framework: Emergency Intelligence &amp; Event Operations</w:t>
            </w:r>
          </w:p>
          <w:p>
            <w:pPr>
              <w:spacing w:before="60"/>
              <w:jc w:val="center"/>
            </w:pPr>
            <w:r>
              <w:rPr>
                <w:rFonts w:ascii="Arial" w:cs="Arial" w:eastAsia="Arial" w:hAnsi="Arial"/>
                <w:color w:val="6B7280"/>
                <w:sz w:val="18"/>
                <w:szCs w:val="18"/>
              </w:rPr>
              <w:t xml:space="preserve">Sentrais / NOVATELabs  |  Confidential  |  April 2026</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0A7E8C" w:val="clear"/>
          </w:tcPr>
          <w:p/>
        </w:tc>
        <w:tc>
          <w:tcPr>
            <w:tcW w:type="dxa" w:w="9160"/>
            <w:tcBorders>
              <w:top w:val="none"/>
              <w:left w:val="none"/>
              <w:bottom w:val="none"/>
              <w:right w:val="none"/>
            </w:tcBorders>
            <w:shd w:fill="E0F4F6" w:val="clear"/>
            <w:tcMar>
              <w:top w:type="dxa" w:w="120"/>
              <w:left w:type="dxa" w:w="180"/>
              <w:bottom w:type="dxa" w:w="120"/>
              <w:right w:type="dxa" w:w="120"/>
            </w:tcMar>
          </w:tcPr>
          <w:p>
            <w:r>
              <w:rPr>
                <w:rFonts w:ascii="Arial" w:cs="Arial" w:eastAsia="Arial" w:hAnsi="Arial"/>
                <w:b/>
                <w:bCs/>
                <w:color w:val="0A7E8C"/>
                <w:sz w:val="20"/>
                <w:szCs w:val="20"/>
              </w:rPr>
              <w:t xml:space="preserve">ADDENDUM CONTEXT</w:t>
            </w:r>
          </w:p>
          <w:p>
            <w:r>
              <w:rPr>
                <w:rFonts w:ascii="Arial" w:cs="Arial" w:eastAsia="Arial" w:hAnsi="Arial"/>
                <w:color w:val="1F2937"/>
                <w:sz w:val="20"/>
                <w:szCs w:val="20"/>
              </w:rPr>
              <w:t xml:space="preserve">The league has requested two specific solutions tied to their organizational structure: (1) a strategy to monetize their existing stadium certification program, and (2) a custom event management solution. Sentrais has agreed to share data in two domains where it creates mutual value: emergency intelligence and event operational data. This document captures the strategic framework, data sharing boundaries, and solution architecture for both.</w:t>
            </w:r>
          </w:p>
        </w:tc>
      </w:tr>
    </w:tbl>
    <w:p>
      <w:pPr>
        <w:spacing w:after="100"/>
      </w:pPr>
    </w:p>
    <w:p>
      <w:pPr>
        <w:pBdr>
          <w:bottom w:val="single" w:color="0A7E8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0A7E8C" w:val="clear"/>
            <w:tcMar>
              <w:top w:type="dxa" w:w="160"/>
              <w:left w:type="dxa" w:w="160"/>
              <w:bottom w:type="dxa" w:w="160"/>
              <w:right w:type="dxa" w:w="160"/>
            </w:tcMar>
          </w:tcPr>
          <w:p>
            <w:pPr>
              <w:jc w:val="center"/>
            </w:pPr>
            <w:r>
              <w:rPr>
                <w:rFonts w:ascii="Arial" w:cs="Arial" w:eastAsia="Arial" w:hAnsi="Arial"/>
                <w:b/>
                <w:bCs/>
                <w:color w:val="FFFFFF"/>
                <w:sz w:val="36"/>
                <w:szCs w:val="36"/>
              </w:rPr>
              <w:t xml:space="preserve">01</w:t>
            </w:r>
          </w:p>
        </w:tc>
        <w:tc>
          <w:tcPr>
            <w:tcW w:type="dxa" w:w="8560"/>
            <w:tcBorders>
              <w:top w:val="none"/>
              <w:left w:val="none"/>
              <w:bottom w:val="none"/>
              <w:right w:val="none"/>
            </w:tcBorders>
            <w:shd w:fill="0D1B2A" w:val="clear"/>
            <w:tcMar>
              <w:top w:type="dxa" w:w="100"/>
              <w:left w:type="dxa" w:w="200"/>
              <w:bottom w:type="dxa" w:w="100"/>
              <w:right w:type="dxa" w:w="160"/>
            </w:tcMar>
          </w:tcPr>
          <w:p>
            <w:r>
              <w:rPr>
                <w:rFonts w:ascii="Arial" w:cs="Arial" w:eastAsia="Arial" w:hAnsi="Arial"/>
                <w:b/>
                <w:bCs/>
                <w:color w:val="FFFFFF"/>
                <w:sz w:val="28"/>
                <w:szCs w:val="28"/>
              </w:rPr>
              <w:t xml:space="preserve">Stadium Certification Monetization Strategy</w:t>
            </w:r>
          </w:p>
          <w:p>
            <w:r>
              <w:rPr>
                <w:rFonts w:ascii="Arial" w:cs="Arial" w:eastAsia="Arial" w:hAnsi="Arial"/>
                <w:color w:val="7DD3FC"/>
                <w:sz w:val="20"/>
                <w:szCs w:val="20"/>
              </w:rPr>
              <w:t xml:space="preserve">Converting existing certification assets into recurring revenue streams</w:t>
            </w:r>
          </w:p>
        </w:tc>
      </w:tr>
    </w:tbl>
    <w:p>
      <w:pPr>
        <w:spacing w:after="100"/>
      </w:pPr>
    </w:p>
    <w:p>
      <w:pPr>
        <w:pStyle w:val="Heading2"/>
        <w:spacing w:after="80" w:before="280"/>
      </w:pPr>
      <w:r>
        <w:rPr>
          <w:rFonts w:ascii="Arial" w:cs="Arial" w:eastAsia="Arial" w:hAnsi="Arial"/>
          <w:b/>
          <w:bCs/>
          <w:color w:val="0A7E8C"/>
          <w:sz w:val="24"/>
          <w:szCs w:val="24"/>
        </w:rPr>
        <w:t xml:space="preserve">1.1 Strategic Opportunity Overview</w:t>
      </w:r>
    </w:p>
    <w:p>
      <w:pPr>
        <w:spacing w:after="120"/>
      </w:pPr>
      <w:r>
        <w:rPr>
          <w:rFonts w:ascii="Arial" w:cs="Arial" w:eastAsia="Arial" w:hAnsi="Arial"/>
          <w:color w:val="1F2937"/>
          <w:sz w:val="22"/>
          <w:szCs w:val="22"/>
        </w:rPr>
        <w:t xml:space="preserve">The league currently administers a stadium certification program that validates venues against defined operational, safety, and infrastructure standards. This program has historically been treated as a compliance and quality-control mechanism — an internal governance function. The strategic opportunity is to reframe and restructure this program as a market-facing credentialing asset with commercial value to multiple stakeholder categories.</w:t>
      </w:r>
    </w:p>
    <w:p>
      <w:pPr>
        <w:spacing w:after="120"/>
      </w:pPr>
      <w:r>
        <w:rPr>
          <w:rFonts w:ascii="Arial" w:cs="Arial" w:eastAsia="Arial" w:hAnsi="Arial"/>
          <w:color w:val="1F2937"/>
          <w:sz w:val="22"/>
          <w:szCs w:val="22"/>
        </w:rPr>
        <w:t xml:space="preserve">Sentrais will design the monetization architecture, manage the certification platform infrastructure, and provide the analytics and intelligence layer that makes the certification defensible and valuable. The league owns the certification brand and standard; Sentrais operates the system and captures a portion of the revenue stream through the managed vertical agreement.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F59E0B" w:val="clear"/>
          </w:tcPr>
          <w:p/>
        </w:tc>
        <w:tc>
          <w:tcPr>
            <w:tcW w:type="dxa" w:w="9160"/>
            <w:tcBorders>
              <w:top w:val="none"/>
              <w:left w:val="none"/>
              <w:bottom w:val="none"/>
              <w:right w:val="none"/>
            </w:tcBorders>
            <w:shd w:fill="FEF3C7" w:val="clear"/>
            <w:tcMar>
              <w:top w:type="dxa" w:w="120"/>
              <w:left w:type="dxa" w:w="180"/>
              <w:bottom w:type="dxa" w:w="120"/>
              <w:right w:type="dxa" w:w="120"/>
            </w:tcMar>
          </w:tcPr>
          <w:p>
            <w:r>
              <w:rPr>
                <w:rFonts w:ascii="Arial" w:cs="Arial" w:eastAsia="Arial" w:hAnsi="Arial"/>
                <w:b/>
                <w:bCs/>
                <w:color w:val="F59E0B"/>
                <w:sz w:val="20"/>
                <w:szCs w:val="20"/>
              </w:rPr>
              <w:t xml:space="preserve">CORE REFRAME</w:t>
            </w:r>
          </w:p>
          <w:p>
            <w:r>
              <w:rPr>
                <w:rFonts w:ascii="Arial" w:cs="Arial" w:eastAsia="Arial" w:hAnsi="Arial"/>
                <w:color w:val="1F2937"/>
                <w:sz w:val="20"/>
                <w:szCs w:val="20"/>
              </w:rPr>
              <w:t xml:space="preserve">Stadium certification transforms from internal compliance function to a market-facing credentialing product — generating revenue, attracting sponsors, enabling insurance differentiation, and creating a licensable standard that extends beyond league venues.</w:t>
            </w:r>
          </w:p>
        </w:tc>
      </w:tr>
    </w:tbl>
    <w:p>
      <w:pPr>
        <w:spacing w:after="100"/>
      </w:pPr>
    </w:p>
    <w:p>
      <w:pPr>
        <w:pStyle w:val="Heading2"/>
        <w:spacing w:after="80" w:before="280"/>
      </w:pPr>
      <w:r>
        <w:rPr>
          <w:rFonts w:ascii="Arial" w:cs="Arial" w:eastAsia="Arial" w:hAnsi="Arial"/>
          <w:b/>
          <w:bCs/>
          <w:color w:val="0A7E8C"/>
          <w:sz w:val="24"/>
          <w:szCs w:val="24"/>
        </w:rPr>
        <w:t xml:space="preserve">1.2 Revenue Stream Architecture</w:t>
      </w:r>
    </w:p>
    <w:p>
      <w:pPr>
        <w:spacing w:after="120"/>
      </w:pPr>
      <w:r>
        <w:rPr>
          <w:rFonts w:ascii="Arial" w:cs="Arial" w:eastAsia="Arial" w:hAnsi="Arial"/>
          <w:color w:val="1F2937"/>
          <w:sz w:val="22"/>
          <w:szCs w:val="22"/>
        </w:rPr>
        <w:t xml:space="preserve">The monetization framework identifies five distinct revenue streams, each targeting a different stakeholder segment: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3000"/>
            <w:tcBorders>
              <w:top w:val="single" w:color="D1D5DB" w:sz="1"/>
              <w:left w:val="single" w:color="D1D5DB" w:sz="1"/>
              <w:bottom w:val="single" w:color="D1D5DB" w:sz="1"/>
              <w:right w:val="single" w:color="D1D5DB" w:sz="1"/>
            </w:tcBorders>
            <w:shd w:fill="0D1B2A" w:val="clear"/>
            <w:tcMar>
              <w:top w:type="dxa" w:w="100"/>
              <w:left w:type="dxa" w:w="100"/>
              <w:bottom w:type="dxa" w:w="100"/>
              <w:right w:type="dxa" w:w="100"/>
            </w:tcMar>
          </w:tcPr>
          <w:p>
            <w:r>
              <w:rPr>
                <w:rFonts w:ascii="Arial" w:cs="Arial" w:eastAsia="Arial" w:hAnsi="Arial"/>
                <w:b/>
                <w:bCs/>
                <w:color w:val="FFFFFF"/>
                <w:sz w:val="18"/>
                <w:szCs w:val="18"/>
              </w:rPr>
              <w:t xml:space="preserve">Revenue Stream</w:t>
            </w:r>
          </w:p>
        </w:tc>
        <w:tc>
          <w:tcPr>
            <w:tcW w:type="dxa" w:w="3600"/>
            <w:tcBorders>
              <w:top w:val="single" w:color="D1D5DB" w:sz="1"/>
              <w:left w:val="single" w:color="D1D5DB" w:sz="1"/>
              <w:bottom w:val="single" w:color="D1D5DB" w:sz="1"/>
              <w:right w:val="single" w:color="D1D5DB" w:sz="1"/>
            </w:tcBorders>
            <w:shd w:fill="0D1B2A" w:val="clear"/>
            <w:tcMar>
              <w:top w:type="dxa" w:w="100"/>
              <w:left w:type="dxa" w:w="100"/>
              <w:bottom w:type="dxa" w:w="100"/>
              <w:right w:type="dxa" w:w="100"/>
            </w:tcMar>
          </w:tcPr>
          <w:p>
            <w:r>
              <w:rPr>
                <w:rFonts w:ascii="Arial" w:cs="Arial" w:eastAsia="Arial" w:hAnsi="Arial"/>
                <w:b/>
                <w:bCs/>
                <w:color w:val="FFFFFF"/>
                <w:sz w:val="18"/>
                <w:szCs w:val="18"/>
              </w:rPr>
              <w:t xml:space="preserve">Mechanism</w:t>
            </w:r>
          </w:p>
        </w:tc>
        <w:tc>
          <w:tcPr>
            <w:tcW w:type="dxa" w:w="2760"/>
            <w:tcBorders>
              <w:top w:val="single" w:color="D1D5DB" w:sz="1"/>
              <w:left w:val="single" w:color="D1D5DB" w:sz="1"/>
              <w:bottom w:val="single" w:color="D1D5DB" w:sz="1"/>
              <w:right w:val="single" w:color="D1D5DB" w:sz="1"/>
            </w:tcBorders>
            <w:shd w:fill="0D1B2A" w:val="clear"/>
            <w:tcMar>
              <w:top w:type="dxa" w:w="100"/>
              <w:left w:type="dxa" w:w="100"/>
              <w:bottom w:type="dxa" w:w="100"/>
              <w:right w:type="dxa" w:w="100"/>
            </w:tcMar>
          </w:tcPr>
          <w:p>
            <w:r>
              <w:rPr>
                <w:rFonts w:ascii="Arial" w:cs="Arial" w:eastAsia="Arial" w:hAnsi="Arial"/>
                <w:b/>
                <w:bCs/>
                <w:color w:val="FFFFFF"/>
                <w:sz w:val="18"/>
                <w:szCs w:val="18"/>
              </w:rPr>
              <w:t xml:space="preserve">Target Stakeholder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Tiered Certification Licensing</w:t>
            </w:r>
          </w:p>
        </w:tc>
        <w:tc>
          <w:tcPr>
            <w:tcW w:type="dxa" w:w="3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Venues pay annual licensing fees to display league certification marks at Bronze, Silver, Gold, and Platinum tiers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Venue operators, host cities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Sponsor Category Integration</w:t>
            </w:r>
          </w:p>
        </w:tc>
        <w:tc>
          <w:tcPr>
            <w:tcW w:type="dxa" w:w="3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Certification categories (safety, technology, accessibility, sustainability) sold as naming/presenting sponsor slots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Corporate sponsors seeking venue association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Insurance Premium Differential</w:t>
            </w:r>
          </w:p>
        </w:tc>
        <w:tc>
          <w:tcPr>
            <w:tcW w:type="dxa" w:w="3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Certified venues demonstrate reduced risk profile; Sentrais provides actuarial data to insurance partners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Venue operators, insurance carriers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Third-Party Venue Certification</w:t>
            </w:r>
          </w:p>
        </w:tc>
        <w:tc>
          <w:tcPr>
            <w:tcW w:type="dxa" w:w="3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Program extended to non-league venues (college stadiums, arenas, international venues) under league-licensed standard</w:t>
            </w:r>
          </w:p>
        </w:tc>
        <w:tc>
          <w:tcPr>
            <w:tcW w:type="dxa" w:w="27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Non-NFL venues seeking credentialing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Certification Data Licensing</w:t>
            </w:r>
          </w:p>
        </w:tc>
        <w:tc>
          <w:tcPr>
            <w:tcW w:type="dxa" w:w="3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Aggregated, anonymized venue performance data licensed to architecture firms, consultants, city planners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Design/planning firms, municipalities</w:t>
            </w:r>
          </w:p>
        </w:tc>
      </w:tr>
    </w:tbl>
    <w:p>
      <w:pPr>
        <w:spacing w:after="100"/>
      </w:pPr>
    </w:p>
    <w:p>
      <w:pPr>
        <w:pStyle w:val="Heading2"/>
        <w:spacing w:after="80" w:before="280"/>
      </w:pPr>
      <w:r>
        <w:rPr>
          <w:rFonts w:ascii="Arial" w:cs="Arial" w:eastAsia="Arial" w:hAnsi="Arial"/>
          <w:b/>
          <w:bCs/>
          <w:color w:val="0A7E8C"/>
          <w:sz w:val="24"/>
          <w:szCs w:val="24"/>
        </w:rPr>
        <w:t xml:space="preserve">1.3 Certification Tier Structure</w:t>
      </w:r>
    </w:p>
    <w:p>
      <w:pPr>
        <w:spacing w:after="120"/>
      </w:pPr>
      <w:r>
        <w:rPr>
          <w:rFonts w:ascii="Arial" w:cs="Arial" w:eastAsia="Arial" w:hAnsi="Arial"/>
          <w:color w:val="1F2937"/>
          <w:sz w:val="22"/>
          <w:szCs w:val="22"/>
        </w:rPr>
        <w:t xml:space="preserve">The tier structure is designed to create a clear upgrade pathway that drives recurring revenue and continuous venue investment. Each tier maps to measurable operational standards validated through the Sentrais event management platform and emergency intelligence system.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80"/>
        <w:gridCol w:w="3480"/>
      </w:tblGrid>
      <w:tr>
        <w:tc>
          <w:tcPr>
            <w:tcW w:type="dxa" w:w="1400"/>
            <w:tcBorders>
              <w:top w:val="single" w:color="D1D5DB" w:sz="1"/>
              <w:left w:val="single" w:color="D1D5DB" w:sz="1"/>
              <w:bottom w:val="single" w:color="D1D5DB" w:sz="1"/>
              <w:right w:val="single" w:color="D1D5DB" w:sz="1"/>
            </w:tcBorders>
            <w:shd w:fill="0D1B2A" w:val="clear"/>
            <w:tcMar>
              <w:top w:type="dxa" w:w="100"/>
              <w:left w:type="dxa" w:w="100"/>
              <w:bottom w:type="dxa" w:w="100"/>
              <w:right w:type="dxa" w:w="100"/>
            </w:tcMar>
          </w:tcPr>
          <w:p>
            <w:r>
              <w:rPr>
                <w:rFonts w:ascii="Arial" w:cs="Arial" w:eastAsia="Arial" w:hAnsi="Arial"/>
                <w:b/>
                <w:bCs/>
                <w:color w:val="FFFFFF"/>
                <w:sz w:val="18"/>
                <w:szCs w:val="18"/>
              </w:rPr>
              <w:t xml:space="preserve">Tier</w:t>
            </w:r>
          </w:p>
        </w:tc>
        <w:tc>
          <w:tcPr>
            <w:tcW w:type="dxa" w:w="2000"/>
            <w:tcBorders>
              <w:top w:val="single" w:color="D1D5DB" w:sz="1"/>
              <w:left w:val="single" w:color="D1D5DB" w:sz="1"/>
              <w:bottom w:val="single" w:color="D1D5DB" w:sz="1"/>
              <w:right w:val="single" w:color="D1D5DB" w:sz="1"/>
            </w:tcBorders>
            <w:shd w:fill="0D1B2A" w:val="clear"/>
            <w:tcMar>
              <w:top w:type="dxa" w:w="100"/>
              <w:left w:type="dxa" w:w="100"/>
              <w:bottom w:type="dxa" w:w="100"/>
              <w:right w:type="dxa" w:w="100"/>
            </w:tcMar>
          </w:tcPr>
          <w:p>
            <w:r>
              <w:rPr>
                <w:rFonts w:ascii="Arial" w:cs="Arial" w:eastAsia="Arial" w:hAnsi="Arial"/>
                <w:b/>
                <w:bCs/>
                <w:color w:val="FFFFFF"/>
                <w:sz w:val="18"/>
                <w:szCs w:val="18"/>
              </w:rPr>
              <w:t xml:space="preserve">Annual Fee Range</w:t>
            </w:r>
          </w:p>
        </w:tc>
        <w:tc>
          <w:tcPr>
            <w:tcW w:type="dxa" w:w="2480"/>
            <w:tcBorders>
              <w:top w:val="single" w:color="D1D5DB" w:sz="1"/>
              <w:left w:val="single" w:color="D1D5DB" w:sz="1"/>
              <w:bottom w:val="single" w:color="D1D5DB" w:sz="1"/>
              <w:right w:val="single" w:color="D1D5DB" w:sz="1"/>
            </w:tcBorders>
            <w:shd w:fill="0D1B2A" w:val="clear"/>
            <w:tcMar>
              <w:top w:type="dxa" w:w="100"/>
              <w:left w:type="dxa" w:w="100"/>
              <w:bottom w:type="dxa" w:w="100"/>
              <w:right w:type="dxa" w:w="100"/>
            </w:tcMar>
          </w:tcPr>
          <w:p>
            <w:r>
              <w:rPr>
                <w:rFonts w:ascii="Arial" w:cs="Arial" w:eastAsia="Arial" w:hAnsi="Arial"/>
                <w:b/>
                <w:bCs/>
                <w:color w:val="FFFFFF"/>
                <w:sz w:val="18"/>
                <w:szCs w:val="18"/>
              </w:rPr>
              <w:t xml:space="preserve">Core Requirements</w:t>
            </w:r>
          </w:p>
        </w:tc>
        <w:tc>
          <w:tcPr>
            <w:tcW w:type="dxa" w:w="3480"/>
            <w:tcBorders>
              <w:top w:val="single" w:color="D1D5DB" w:sz="1"/>
              <w:left w:val="single" w:color="D1D5DB" w:sz="1"/>
              <w:bottom w:val="single" w:color="D1D5DB" w:sz="1"/>
              <w:right w:val="single" w:color="D1D5DB" w:sz="1"/>
            </w:tcBorders>
            <w:shd w:fill="0D1B2A" w:val="clear"/>
            <w:tcMar>
              <w:top w:type="dxa" w:w="100"/>
              <w:left w:type="dxa" w:w="100"/>
              <w:bottom w:type="dxa" w:w="100"/>
              <w:right w:type="dxa" w:w="100"/>
            </w:tcMar>
          </w:tcPr>
          <w:p>
            <w:r>
              <w:rPr>
                <w:rFonts w:ascii="Arial" w:cs="Arial" w:eastAsia="Arial" w:hAnsi="Arial"/>
                <w:b/>
                <w:bCs/>
                <w:color w:val="FFFFFF"/>
                <w:sz w:val="18"/>
                <w:szCs w:val="18"/>
              </w:rPr>
              <w:t xml:space="preserve">Benefits Included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0A7E8C"/>
                <w:sz w:val="18"/>
                <w:szCs w:val="18"/>
              </w:rPr>
              <w:t xml:space="preserve">Bronze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$25K–$50K</w:t>
            </w:r>
          </w:p>
        </w:tc>
        <w:tc>
          <w:tcPr>
            <w:tcW w:type="dxa" w:w="2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Base safety &amp; ops standards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Certification mark, basic analytics portal, annual assessment</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bCs/>
                <w:color w:val="0A7E8C"/>
                <w:sz w:val="18"/>
                <w:szCs w:val="18"/>
              </w:rPr>
              <w:t xml:space="preserve">Silver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$75K–$125K</w:t>
            </w:r>
          </w:p>
        </w:tc>
        <w:tc>
          <w:tcPr>
            <w:tcW w:type="dxa" w:w="248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Bronze + technology integration</w:t>
            </w:r>
          </w:p>
        </w:tc>
        <w:tc>
          <w:tcPr>
            <w:tcW w:type="dxa" w:w="348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Silver mark, quarterly data reports, emergency intelligence feed (limited)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0A7E8C"/>
                <w:sz w:val="18"/>
                <w:szCs w:val="18"/>
              </w:rPr>
              <w:t xml:space="preserve">Gold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$175K–$250K</w:t>
            </w:r>
          </w:p>
        </w:tc>
        <w:tc>
          <w:tcPr>
            <w:tcW w:type="dxa" w:w="2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Silver + emergency readiness certification</w:t>
            </w:r>
          </w:p>
        </w:tc>
        <w:tc>
          <w:tcPr>
            <w:tcW w:type="dxa" w:w="3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Gold mark, real-time dashboard, full emergency intelligence data sharing, priority support</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bCs/>
                <w:color w:val="0A7E8C"/>
                <w:sz w:val="18"/>
                <w:szCs w:val="18"/>
              </w:rPr>
              <w:t xml:space="preserve">Platinum</w:t>
            </w:r>
          </w:p>
        </w:tc>
        <w:tc>
          <w:tcPr>
            <w:tcW w:type="dxa" w:w="2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$350K+</w:t>
            </w:r>
          </w:p>
        </w:tc>
        <w:tc>
          <w:tcPr>
            <w:tcW w:type="dxa" w:w="248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Gold + innovation &amp; sustainability benchmarks</w:t>
            </w:r>
          </w:p>
        </w:tc>
        <w:tc>
          <w:tcPr>
            <w:tcW w:type="dxa" w:w="348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Platinum mark, co-branded marketing rights, custom event management access, league advisory board seat</w:t>
            </w:r>
          </w:p>
        </w:tc>
      </w:tr>
    </w:tbl>
    <w:p>
      <w:pPr>
        <w:spacing w:after="100"/>
      </w:pPr>
    </w:p>
    <w:p>
      <w:pPr>
        <w:pStyle w:val="Heading2"/>
        <w:spacing w:after="80" w:before="280"/>
      </w:pPr>
      <w:r>
        <w:rPr>
          <w:rFonts w:ascii="Arial" w:cs="Arial" w:eastAsia="Arial" w:hAnsi="Arial"/>
          <w:b/>
          <w:bCs/>
          <w:color w:val="0A7E8C"/>
          <w:sz w:val="24"/>
          <w:szCs w:val="24"/>
        </w:rPr>
        <w:t xml:space="preserve">1.4 Sentrais Role in Certification Infrastructure</w:t>
      </w:r>
    </w:p>
    <w:p>
      <w:pPr>
        <w:pStyle w:val="ListParagraph"/>
        <w:numPr>
          <w:ilvl w:val="0"/>
          <w:numId w:val="2"/>
        </w:numPr>
        <w:spacing w:after="80"/>
      </w:pPr>
      <w:r>
        <w:rPr>
          <w:rFonts w:ascii="Arial" w:cs="Arial" w:eastAsia="Arial" w:hAnsi="Arial"/>
          <w:b w:val="false"/>
          <w:bCs w:val="false"/>
          <w:color w:val="1F2937"/>
          <w:sz w:val="22"/>
          <w:szCs w:val="22"/>
        </w:rPr>
        <w:t xml:space="preserve">Designs and maintains the certification assessment platform within the managed overlay system</w:t>
      </w:r>
    </w:p>
    <w:p>
      <w:pPr>
        <w:pStyle w:val="ListParagraph"/>
        <w:numPr>
          <w:ilvl w:val="0"/>
          <w:numId w:val="2"/>
        </w:numPr>
        <w:spacing w:after="80"/>
      </w:pPr>
      <w:r>
        <w:rPr>
          <w:rFonts w:ascii="Arial" w:cs="Arial" w:eastAsia="Arial" w:hAnsi="Arial"/>
          <w:b w:val="false"/>
          <w:bCs w:val="false"/>
          <w:color w:val="1F2937"/>
          <w:sz w:val="22"/>
          <w:szCs w:val="22"/>
        </w:rPr>
        <w:t xml:space="preserve">Provides real-time venue performance data and benchmarking (drawn from event management platform)</w:t>
      </w:r>
    </w:p>
    <w:p>
      <w:pPr>
        <w:pStyle w:val="ListParagraph"/>
        <w:numPr>
          <w:ilvl w:val="0"/>
          <w:numId w:val="2"/>
        </w:numPr>
        <w:spacing w:after="80"/>
      </w:pPr>
      <w:r>
        <w:rPr>
          <w:rFonts w:ascii="Arial" w:cs="Arial" w:eastAsia="Arial" w:hAnsi="Arial"/>
          <w:b w:val="false"/>
          <w:bCs w:val="false"/>
          <w:color w:val="1F2937"/>
          <w:sz w:val="22"/>
          <w:szCs w:val="22"/>
        </w:rPr>
        <w:t xml:space="preserve">Delivers emergency intelligence data feed to Silver, Gold, and Platinum certified venues</w:t>
      </w:r>
    </w:p>
    <w:p>
      <w:pPr>
        <w:pStyle w:val="ListParagraph"/>
        <w:numPr>
          <w:ilvl w:val="0"/>
          <w:numId w:val="2"/>
        </w:numPr>
        <w:spacing w:after="80"/>
      </w:pPr>
      <w:r>
        <w:rPr>
          <w:rFonts w:ascii="Arial" w:cs="Arial" w:eastAsia="Arial" w:hAnsi="Arial"/>
          <w:b w:val="false"/>
          <w:bCs w:val="false"/>
          <w:color w:val="1F2937"/>
          <w:sz w:val="22"/>
          <w:szCs w:val="22"/>
        </w:rPr>
        <w:t xml:space="preserve">Generates annual certification reports and audit-ready documentation</w:t>
      </w:r>
    </w:p>
    <w:p>
      <w:pPr>
        <w:pStyle w:val="ListParagraph"/>
        <w:numPr>
          <w:ilvl w:val="0"/>
          <w:numId w:val="2"/>
        </w:numPr>
        <w:spacing w:after="80"/>
      </w:pPr>
      <w:r>
        <w:rPr>
          <w:rFonts w:ascii="Arial" w:cs="Arial" w:eastAsia="Arial" w:hAnsi="Arial"/>
          <w:b w:val="false"/>
          <w:bCs w:val="false"/>
          <w:color w:val="1F2937"/>
          <w:sz w:val="22"/>
          <w:szCs w:val="22"/>
        </w:rPr>
        <w:t xml:space="preserve">Manages third-party venue extension program on behalf of the league</w:t>
      </w:r>
    </w:p>
    <w:p>
      <w:pPr>
        <w:pStyle w:val="ListParagraph"/>
        <w:numPr>
          <w:ilvl w:val="0"/>
          <w:numId w:val="2"/>
        </w:numPr>
        <w:spacing w:after="80"/>
      </w:pPr>
      <w:r>
        <w:rPr>
          <w:rFonts w:ascii="Arial" w:cs="Arial" w:eastAsia="Arial" w:hAnsi="Arial"/>
          <w:b w:val="false"/>
          <w:bCs w:val="false"/>
          <w:color w:val="1F2937"/>
          <w:sz w:val="22"/>
          <w:szCs w:val="22"/>
        </w:rPr>
        <w:t xml:space="preserve">Captures platform and data licensing fees per the managed vertical agreement</w:t>
      </w:r>
    </w:p>
    <w:p>
      <w:pPr>
        <w:spacing w:after="100"/>
      </w:pPr>
    </w:p>
    <w:p>
      <w:pPr>
        <w:pBdr>
          <w:bottom w:val="single" w:color="0A7E8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0A7E8C" w:val="clear"/>
            <w:tcMar>
              <w:top w:type="dxa" w:w="160"/>
              <w:left w:type="dxa" w:w="160"/>
              <w:bottom w:type="dxa" w:w="160"/>
              <w:right w:type="dxa" w:w="160"/>
            </w:tcMar>
          </w:tcPr>
          <w:p>
            <w:pPr>
              <w:jc w:val="center"/>
            </w:pPr>
            <w:r>
              <w:rPr>
                <w:rFonts w:ascii="Arial" w:cs="Arial" w:eastAsia="Arial" w:hAnsi="Arial"/>
                <w:b/>
                <w:bCs/>
                <w:color w:val="FFFFFF"/>
                <w:sz w:val="36"/>
                <w:szCs w:val="36"/>
              </w:rPr>
              <w:t xml:space="preserve">02</w:t>
            </w:r>
          </w:p>
        </w:tc>
        <w:tc>
          <w:tcPr>
            <w:tcW w:type="dxa" w:w="8560"/>
            <w:tcBorders>
              <w:top w:val="none"/>
              <w:left w:val="none"/>
              <w:bottom w:val="none"/>
              <w:right w:val="none"/>
            </w:tcBorders>
            <w:shd w:fill="0D1B2A" w:val="clear"/>
            <w:tcMar>
              <w:top w:type="dxa" w:w="100"/>
              <w:left w:type="dxa" w:w="200"/>
              <w:bottom w:type="dxa" w:w="100"/>
              <w:right w:type="dxa" w:w="160"/>
            </w:tcMar>
          </w:tcPr>
          <w:p>
            <w:r>
              <w:rPr>
                <w:rFonts w:ascii="Arial" w:cs="Arial" w:eastAsia="Arial" w:hAnsi="Arial"/>
                <w:b/>
                <w:bCs/>
                <w:color w:val="FFFFFF"/>
                <w:sz w:val="28"/>
                <w:szCs w:val="28"/>
              </w:rPr>
              <w:t xml:space="preserve">Custom Event Management Solution</w:t>
            </w:r>
          </w:p>
          <w:p>
            <w:r>
              <w:rPr>
                <w:rFonts w:ascii="Arial" w:cs="Arial" w:eastAsia="Arial" w:hAnsi="Arial"/>
                <w:color w:val="7DD3FC"/>
                <w:sz w:val="20"/>
                <w:szCs w:val="20"/>
              </w:rPr>
              <w:t xml:space="preserve">League-structured event operations platform built on Sentrais Innovation OS</w:t>
            </w:r>
          </w:p>
        </w:tc>
      </w:tr>
    </w:tbl>
    <w:p>
      <w:pPr>
        <w:spacing w:after="100"/>
      </w:pPr>
    </w:p>
    <w:p>
      <w:pPr>
        <w:pStyle w:val="Heading2"/>
        <w:spacing w:after="80" w:before="280"/>
      </w:pPr>
      <w:r>
        <w:rPr>
          <w:rFonts w:ascii="Arial" w:cs="Arial" w:eastAsia="Arial" w:hAnsi="Arial"/>
          <w:b/>
          <w:bCs/>
          <w:color w:val="0A7E8C"/>
          <w:sz w:val="24"/>
          <w:szCs w:val="24"/>
        </w:rPr>
        <w:t xml:space="preserve">2.1 Solution Concept</w:t>
      </w:r>
    </w:p>
    <w:p>
      <w:pPr>
        <w:spacing w:after="120"/>
      </w:pPr>
      <w:r>
        <w:rPr>
          <w:rFonts w:ascii="Arial" w:cs="Arial" w:eastAsia="Arial" w:hAnsi="Arial"/>
          <w:color w:val="1F2937"/>
          <w:sz w:val="22"/>
          <w:szCs w:val="22"/>
        </w:rPr>
        <w:t xml:space="preserve">The league requires an event management solution that reflects its specific organizational structure — not a generic event platform adapted for sports, but a system architected around league governance, venue relationships, multi-principal authority, and the operational complexity of large-scale events. This is precisely the design domain where Sentrais' Innovation OS and EVERGAME framework provide structural advantage.</w:t>
      </w:r>
    </w:p>
    <w:p>
      <w:pPr>
        <w:spacing w:after="120"/>
      </w:pPr>
      <w:r>
        <w:rPr>
          <w:rFonts w:ascii="Arial" w:cs="Arial" w:eastAsia="Arial" w:hAnsi="Arial"/>
          <w:color w:val="1F2937"/>
          <w:sz w:val="22"/>
          <w:szCs w:val="22"/>
        </w:rPr>
        <w:t xml:space="preserve">The Event Management Solution is delivered as a component of the NFL managed overlay — a dedicated module within the client portal, powered by Sentrais infrastructure, accessible only to authorized league and venue users within their permissioned scope.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4C1D95" w:val="clear"/>
          </w:tcPr>
          <w:p/>
        </w:tc>
        <w:tc>
          <w:tcPr>
            <w:tcW w:type="dxa" w:w="9160"/>
            <w:tcBorders>
              <w:top w:val="none"/>
              <w:left w:val="none"/>
              <w:bottom w:val="none"/>
              <w:right w:val="none"/>
            </w:tcBorders>
            <w:shd w:fill="EDE9FE" w:val="clear"/>
            <w:tcMar>
              <w:top w:type="dxa" w:w="120"/>
              <w:left w:type="dxa" w:w="180"/>
              <w:bottom w:type="dxa" w:w="120"/>
              <w:right w:type="dxa" w:w="120"/>
            </w:tcMar>
          </w:tcPr>
          <w:p>
            <w:r>
              <w:rPr>
                <w:rFonts w:ascii="Arial" w:cs="Arial" w:eastAsia="Arial" w:hAnsi="Arial"/>
                <w:b/>
                <w:bCs/>
                <w:color w:val="4C1D95"/>
                <w:sz w:val="20"/>
                <w:szCs w:val="20"/>
              </w:rPr>
              <w:t xml:space="preserve">DESIGN PRINCIPLE</w:t>
            </w:r>
          </w:p>
          <w:p>
            <w:r>
              <w:rPr>
                <w:rFonts w:ascii="Arial" w:cs="Arial" w:eastAsia="Arial" w:hAnsi="Arial"/>
                <w:color w:val="1F2937"/>
                <w:sz w:val="20"/>
                <w:szCs w:val="20"/>
              </w:rPr>
              <w:t xml:space="preserve">The event management solution is NOT a generic platform deployment. It is purpose-built to the league's authority structure, escalation architecture, and multi-principal governance model — drawing directly from the EVERGAME diagnostic framework already designed for this operational environment.</w:t>
            </w:r>
          </w:p>
        </w:tc>
      </w:tr>
    </w:tbl>
    <w:p>
      <w:pPr>
        <w:spacing w:after="100"/>
      </w:pPr>
    </w:p>
    <w:p>
      <w:pPr>
        <w:pStyle w:val="Heading2"/>
        <w:spacing w:after="80" w:before="280"/>
      </w:pPr>
      <w:r>
        <w:rPr>
          <w:rFonts w:ascii="Arial" w:cs="Arial" w:eastAsia="Arial" w:hAnsi="Arial"/>
          <w:b/>
          <w:bCs/>
          <w:color w:val="0A7E8C"/>
          <w:sz w:val="24"/>
          <w:szCs w:val="24"/>
        </w:rPr>
        <w:t xml:space="preserve">2.2 Platform Architecture — Eight Core Modules</w:t>
      </w:r>
    </w:p>
    <w:p>
      <w:pPr>
        <w:spacing w:after="120"/>
      </w:pPr>
      <w:r>
        <w:rPr>
          <w:rFonts w:ascii="Arial" w:cs="Arial" w:eastAsia="Arial" w:hAnsi="Arial"/>
          <w:color w:val="1F2937"/>
          <w:sz w:val="22"/>
          <w:szCs w:val="22"/>
        </w:rPr>
        <w:t xml:space="preserve">The solution is organized across eight functional modules, directly mapped to the EVERGAME diagnostic framework dimensions: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0D1B2A" w:val="clear"/>
            <w:tcMar>
              <w:top w:type="dxa" w:w="100"/>
              <w:left w:type="dxa" w:w="100"/>
              <w:bottom w:type="dxa" w:w="100"/>
              <w:right w:type="dxa" w:w="100"/>
            </w:tcMar>
          </w:tcPr>
          <w:p>
            <w:r>
              <w:rPr>
                <w:rFonts w:ascii="Arial" w:cs="Arial" w:eastAsia="Arial" w:hAnsi="Arial"/>
                <w:b/>
                <w:bCs/>
                <w:color w:val="FFFFFF"/>
                <w:sz w:val="18"/>
                <w:szCs w:val="18"/>
              </w:rPr>
              <w:t xml:space="preserve">Module</w:t>
            </w:r>
          </w:p>
        </w:tc>
        <w:tc>
          <w:tcPr>
            <w:tcW w:type="dxa" w:w="2400"/>
            <w:tcBorders>
              <w:top w:val="single" w:color="D1D5DB" w:sz="1"/>
              <w:left w:val="single" w:color="D1D5DB" w:sz="1"/>
              <w:bottom w:val="single" w:color="D1D5DB" w:sz="1"/>
              <w:right w:val="single" w:color="D1D5DB" w:sz="1"/>
            </w:tcBorders>
            <w:shd w:fill="0D1B2A" w:val="clear"/>
            <w:tcMar>
              <w:top w:type="dxa" w:w="100"/>
              <w:left w:type="dxa" w:w="100"/>
              <w:bottom w:type="dxa" w:w="100"/>
              <w:right w:type="dxa" w:w="100"/>
            </w:tcMar>
          </w:tcPr>
          <w:p>
            <w:r>
              <w:rPr>
                <w:rFonts w:ascii="Arial" w:cs="Arial" w:eastAsia="Arial" w:hAnsi="Arial"/>
                <w:b/>
                <w:bCs/>
                <w:color w:val="FFFFFF"/>
                <w:sz w:val="18"/>
                <w:szCs w:val="18"/>
              </w:rPr>
              <w:t xml:space="preserve">EVERGAME Dimension</w:t>
            </w:r>
          </w:p>
        </w:tc>
        <w:tc>
          <w:tcPr>
            <w:tcW w:type="dxa" w:w="4560"/>
            <w:tcBorders>
              <w:top w:val="single" w:color="D1D5DB" w:sz="1"/>
              <w:left w:val="single" w:color="D1D5DB" w:sz="1"/>
              <w:bottom w:val="single" w:color="D1D5DB" w:sz="1"/>
              <w:right w:val="single" w:color="D1D5DB" w:sz="1"/>
            </w:tcBorders>
            <w:shd w:fill="0D1B2A" w:val="clear"/>
            <w:tcMar>
              <w:top w:type="dxa" w:w="100"/>
              <w:left w:type="dxa" w:w="100"/>
              <w:bottom w:type="dxa" w:w="100"/>
              <w:right w:type="dxa" w:w="100"/>
            </w:tcMar>
          </w:tcPr>
          <w:p>
            <w:r>
              <w:rPr>
                <w:rFonts w:ascii="Arial" w:cs="Arial" w:eastAsia="Arial" w:hAnsi="Arial"/>
                <w:b/>
                <w:bCs/>
                <w:color w:val="FFFFFF"/>
                <w:sz w:val="18"/>
                <w:szCs w:val="18"/>
              </w:rPr>
              <w:t xml:space="preserve">Function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Escalation Control Center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Escalation Architecture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Pre-defined trigger thresholds, automatic escalation routing, and authority transfer protocols across all venue functions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Operational Visibility Hub</w:t>
            </w:r>
          </w:p>
        </w:tc>
        <w:tc>
          <w:tcPr>
            <w:tcW w:type="dxa" w:w="2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Visibility</w:t>
            </w:r>
          </w:p>
        </w:tc>
        <w:tc>
          <w:tcPr>
            <w:tcW w:type="dxa" w:w="45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Real-time situational picture across all venue zones, functions, and external agency interfaces — shared within permissioned roles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Agency Integration Board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Agency Integration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Coordination interface for law enforcement, EMS, fire, and federal agency stakeholders with role-specific views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Role Clarity Engine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Role Clarity</w:t>
            </w:r>
          </w:p>
        </w:tc>
        <w:tc>
          <w:tcPr>
            <w:tcW w:type="dxa" w:w="45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Pre-event role assignment, shift handoff documentation, and accountability tracking for all operational positions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Gap Analysis Dashboard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Gap Analysis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Continuous assessment of operational coverage gaps across all eight fragmentation points identified in research</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Authority Transfer Matrix</w:t>
            </w:r>
          </w:p>
        </w:tc>
        <w:tc>
          <w:tcPr>
            <w:tcW w:type="dxa" w:w="2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Authority Transfer</w:t>
            </w:r>
          </w:p>
        </w:tc>
        <w:tc>
          <w:tcPr>
            <w:tcW w:type="dxa" w:w="45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Digital documentation and real-time management of authority transfers as situations develop and escalate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Multi-Principal Alignment Portal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Multi-Principal Alignment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Shared coordination interface for venues, teams, league, and external agencies with defined information boundaries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Stress Test Simulator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Stress Testing</w:t>
            </w:r>
          </w:p>
        </w:tc>
        <w:tc>
          <w:tcPr>
            <w:tcW w:type="dxa" w:w="45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D3-powered scenario simulation for pre-event preparation and post-event analysis</w:t>
            </w:r>
          </w:p>
        </w:tc>
      </w:tr>
    </w:tbl>
    <w:p>
      <w:pPr>
        <w:spacing w:after="100"/>
      </w:pPr>
    </w:p>
    <w:p>
      <w:pPr>
        <w:pStyle w:val="Heading2"/>
        <w:spacing w:after="80" w:before="280"/>
      </w:pPr>
      <w:r>
        <w:rPr>
          <w:rFonts w:ascii="Arial" w:cs="Arial" w:eastAsia="Arial" w:hAnsi="Arial"/>
          <w:b/>
          <w:bCs/>
          <w:color w:val="0A7E8C"/>
          <w:sz w:val="24"/>
          <w:szCs w:val="24"/>
        </w:rPr>
        <w:t xml:space="preserve">2.3 League-Specific Structural Features</w:t>
      </w:r>
    </w:p>
    <w:p>
      <w:pPr>
        <w:spacing w:after="120"/>
      </w:pPr>
      <w:r>
        <w:rPr>
          <w:rFonts w:ascii="Arial" w:cs="Arial" w:eastAsia="Arial" w:hAnsi="Arial"/>
          <w:color w:val="1F2937"/>
          <w:sz w:val="22"/>
          <w:szCs w:val="22"/>
        </w:rPr>
        <w:t xml:space="preserve">The solution is configured to reflect the league's specific organizational hierarchy and event classification system:</w:t>
      </w:r>
    </w:p>
    <w:p>
      <w:pPr>
        <w:pStyle w:val="ListParagraph"/>
        <w:numPr>
          <w:ilvl w:val="0"/>
          <w:numId w:val="2"/>
        </w:numPr>
        <w:spacing w:after="80"/>
      </w:pPr>
      <w:r>
        <w:rPr>
          <w:rFonts w:ascii="Arial" w:cs="Arial" w:eastAsia="Arial" w:hAnsi="Arial"/>
          <w:b w:val="false"/>
          <w:bCs w:val="false"/>
          <w:color w:val="1F2937"/>
          <w:sz w:val="22"/>
          <w:szCs w:val="22"/>
        </w:rPr>
        <w:t xml:space="preserve">League authority layer: commissioner-level oversight functions and league-wide incident visibility</w:t>
      </w:r>
    </w:p>
    <w:p>
      <w:pPr>
        <w:pStyle w:val="ListParagraph"/>
        <w:numPr>
          <w:ilvl w:val="0"/>
          <w:numId w:val="2"/>
        </w:numPr>
        <w:spacing w:after="80"/>
      </w:pPr>
      <w:r>
        <w:rPr>
          <w:rFonts w:ascii="Arial" w:cs="Arial" w:eastAsia="Arial" w:hAnsi="Arial"/>
          <w:b w:val="false"/>
          <w:bCs w:val="false"/>
          <w:color w:val="1F2937"/>
          <w:sz w:val="22"/>
          <w:szCs w:val="22"/>
        </w:rPr>
        <w:t xml:space="preserve">Venue operator layer: venue-specific operational management and staff coordination</w:t>
      </w:r>
    </w:p>
    <w:p>
      <w:pPr>
        <w:pStyle w:val="ListParagraph"/>
        <w:numPr>
          <w:ilvl w:val="0"/>
          <w:numId w:val="2"/>
        </w:numPr>
        <w:spacing w:after="80"/>
      </w:pPr>
      <w:r>
        <w:rPr>
          <w:rFonts w:ascii="Arial" w:cs="Arial" w:eastAsia="Arial" w:hAnsi="Arial"/>
          <w:b w:val="false"/>
          <w:bCs w:val="false"/>
          <w:color w:val="1F2937"/>
          <w:sz w:val="22"/>
          <w:szCs w:val="22"/>
        </w:rPr>
        <w:t xml:space="preserve">External agency layer: law enforcement, EMS, and federal partner coordination interfaces</w:t>
      </w:r>
    </w:p>
    <w:p>
      <w:pPr>
        <w:pStyle w:val="ListParagraph"/>
        <w:numPr>
          <w:ilvl w:val="0"/>
          <w:numId w:val="2"/>
        </w:numPr>
        <w:spacing w:after="80"/>
      </w:pPr>
      <w:r>
        <w:rPr>
          <w:rFonts w:ascii="Arial" w:cs="Arial" w:eastAsia="Arial" w:hAnsi="Arial"/>
          <w:b w:val="false"/>
          <w:bCs w:val="false"/>
          <w:color w:val="1F2937"/>
          <w:sz w:val="22"/>
          <w:szCs w:val="22"/>
        </w:rPr>
        <w:t xml:space="preserve">Event classification: regular season, playoff, championship, and special event modes with corresponding playbook sets</w:t>
      </w:r>
    </w:p>
    <w:p>
      <w:pPr>
        <w:pStyle w:val="ListParagraph"/>
        <w:numPr>
          <w:ilvl w:val="0"/>
          <w:numId w:val="2"/>
        </w:numPr>
        <w:spacing w:after="80"/>
      </w:pPr>
      <w:r>
        <w:rPr>
          <w:rFonts w:ascii="Arial" w:cs="Arial" w:eastAsia="Arial" w:hAnsi="Arial"/>
          <w:b w:val="false"/>
          <w:bCs w:val="false"/>
          <w:color w:val="1F2937"/>
          <w:sz w:val="22"/>
          <w:szCs w:val="22"/>
        </w:rPr>
        <w:t xml:space="preserve">Permissioned information architecture: each principal sees only their authorized operational view</w:t>
      </w:r>
    </w:p>
    <w:p>
      <w:pPr>
        <w:pStyle w:val="ListParagraph"/>
        <w:numPr>
          <w:ilvl w:val="0"/>
          <w:numId w:val="2"/>
        </w:numPr>
        <w:spacing w:after="80"/>
      </w:pPr>
      <w:r>
        <w:rPr>
          <w:rFonts w:ascii="Arial" w:cs="Arial" w:eastAsia="Arial" w:hAnsi="Arial"/>
          <w:b w:val="false"/>
          <w:bCs w:val="false"/>
          <w:color w:val="1F2937"/>
          <w:sz w:val="22"/>
          <w:szCs w:val="22"/>
        </w:rPr>
        <w:t xml:space="preserve">Cross-venue benchmarking: performance comparison across certified venues for league-level analysis</w:t>
      </w:r>
    </w:p>
    <w:p>
      <w:pPr>
        <w:spacing w:after="100"/>
      </w:pPr>
    </w:p>
    <w:p>
      <w:pPr>
        <w:pStyle w:val="Heading2"/>
        <w:spacing w:after="80" w:before="280"/>
      </w:pPr>
      <w:r>
        <w:rPr>
          <w:rFonts w:ascii="Arial" w:cs="Arial" w:eastAsia="Arial" w:hAnsi="Arial"/>
          <w:b/>
          <w:bCs/>
          <w:color w:val="0A7E8C"/>
          <w:sz w:val="24"/>
          <w:szCs w:val="24"/>
        </w:rPr>
        <w:t xml:space="preserve">2.4 Integration with Certification Program</w:t>
      </w:r>
    </w:p>
    <w:p>
      <w:pPr>
        <w:spacing w:after="120"/>
      </w:pPr>
      <w:r>
        <w:rPr>
          <w:rFonts w:ascii="Arial" w:cs="Arial" w:eastAsia="Arial" w:hAnsi="Arial"/>
          <w:color w:val="1F2937"/>
          <w:sz w:val="22"/>
          <w:szCs w:val="22"/>
        </w:rPr>
        <w:t xml:space="preserve">The event management solution and certification program are architecturally linked — creating a reinforcing value system:</w:t>
      </w:r>
    </w:p>
    <w:p>
      <w:pPr>
        <w:pStyle w:val="ListParagraph"/>
        <w:numPr>
          <w:ilvl w:val="0"/>
          <w:numId w:val="2"/>
        </w:numPr>
        <w:spacing w:after="80"/>
      </w:pPr>
      <w:r>
        <w:rPr>
          <w:rFonts w:ascii="Arial" w:cs="Arial" w:eastAsia="Arial" w:hAnsi="Arial"/>
          <w:b w:val="false"/>
          <w:bCs w:val="false"/>
          <w:color w:val="1F2937"/>
          <w:sz w:val="22"/>
          <w:szCs w:val="22"/>
        </w:rPr>
        <w:t xml:space="preserve">Event performance data automatically feeds the certification assessment engine</w:t>
      </w:r>
    </w:p>
    <w:p>
      <w:pPr>
        <w:pStyle w:val="ListParagraph"/>
        <w:numPr>
          <w:ilvl w:val="0"/>
          <w:numId w:val="2"/>
        </w:numPr>
        <w:spacing w:after="80"/>
      </w:pPr>
      <w:r>
        <w:rPr>
          <w:rFonts w:ascii="Arial" w:cs="Arial" w:eastAsia="Arial" w:hAnsi="Arial"/>
          <w:b w:val="false"/>
          <w:bCs w:val="false"/>
          <w:color w:val="1F2937"/>
          <w:sz w:val="22"/>
          <w:szCs w:val="22"/>
        </w:rPr>
        <w:t xml:space="preserve">Higher certification tiers unlock additional event management platform capabilities</w:t>
      </w:r>
    </w:p>
    <w:p>
      <w:pPr>
        <w:pStyle w:val="ListParagraph"/>
        <w:numPr>
          <w:ilvl w:val="0"/>
          <w:numId w:val="2"/>
        </w:numPr>
        <w:spacing w:after="80"/>
      </w:pPr>
      <w:r>
        <w:rPr>
          <w:rFonts w:ascii="Arial" w:cs="Arial" w:eastAsia="Arial" w:hAnsi="Arial"/>
          <w:b w:val="false"/>
          <w:bCs w:val="false"/>
          <w:color w:val="1F2937"/>
          <w:sz w:val="22"/>
          <w:szCs w:val="22"/>
        </w:rPr>
        <w:t xml:space="preserve">Emergency readiness metrics from the event platform populate the certification audit record</w:t>
      </w:r>
    </w:p>
    <w:p>
      <w:pPr>
        <w:pStyle w:val="ListParagraph"/>
        <w:numPr>
          <w:ilvl w:val="0"/>
          <w:numId w:val="2"/>
        </w:numPr>
        <w:spacing w:after="80"/>
      </w:pPr>
      <w:r>
        <w:rPr>
          <w:rFonts w:ascii="Arial" w:cs="Arial" w:eastAsia="Arial" w:hAnsi="Arial"/>
          <w:b w:val="false"/>
          <w:bCs w:val="false"/>
          <w:color w:val="1F2937"/>
          <w:sz w:val="22"/>
          <w:szCs w:val="22"/>
        </w:rPr>
        <w:t xml:space="preserve">Platinum-certified venues receive priority access to new platform modules and features</w:t>
      </w:r>
    </w:p>
    <w:p>
      <w:pPr>
        <w:pStyle w:val="ListParagraph"/>
        <w:numPr>
          <w:ilvl w:val="0"/>
          <w:numId w:val="2"/>
        </w:numPr>
        <w:spacing w:after="80"/>
      </w:pPr>
      <w:r>
        <w:rPr>
          <w:rFonts w:ascii="Arial" w:cs="Arial" w:eastAsia="Arial" w:hAnsi="Arial"/>
          <w:b w:val="false"/>
          <w:bCs w:val="false"/>
          <w:color w:val="1F2937"/>
          <w:sz w:val="22"/>
          <w:szCs w:val="22"/>
        </w:rPr>
        <w:t xml:space="preserve">The platform generates certification-ready documentation automatically during events</w:t>
      </w:r>
    </w:p>
    <w:p>
      <w:pPr>
        <w:spacing w:after="100"/>
      </w:pPr>
    </w:p>
    <w:p>
      <w:pPr>
        <w:pBdr>
          <w:bottom w:val="single" w:color="0A7E8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0A7E8C" w:val="clear"/>
            <w:tcMar>
              <w:top w:type="dxa" w:w="160"/>
              <w:left w:type="dxa" w:w="160"/>
              <w:bottom w:type="dxa" w:w="160"/>
              <w:right w:type="dxa" w:w="160"/>
            </w:tcMar>
          </w:tcPr>
          <w:p>
            <w:pPr>
              <w:jc w:val="center"/>
            </w:pPr>
            <w:r>
              <w:rPr>
                <w:rFonts w:ascii="Arial" w:cs="Arial" w:eastAsia="Arial" w:hAnsi="Arial"/>
                <w:b/>
                <w:bCs/>
                <w:color w:val="FFFFFF"/>
                <w:sz w:val="36"/>
                <w:szCs w:val="36"/>
              </w:rPr>
              <w:t xml:space="preserve">03</w:t>
            </w:r>
          </w:p>
        </w:tc>
        <w:tc>
          <w:tcPr>
            <w:tcW w:type="dxa" w:w="8560"/>
            <w:tcBorders>
              <w:top w:val="none"/>
              <w:left w:val="none"/>
              <w:bottom w:val="none"/>
              <w:right w:val="none"/>
            </w:tcBorders>
            <w:shd w:fill="0D1B2A" w:val="clear"/>
            <w:tcMar>
              <w:top w:type="dxa" w:w="100"/>
              <w:left w:type="dxa" w:w="200"/>
              <w:bottom w:type="dxa" w:w="100"/>
              <w:right w:type="dxa" w:w="160"/>
            </w:tcMar>
          </w:tcPr>
          <w:p>
            <w:r>
              <w:rPr>
                <w:rFonts w:ascii="Arial" w:cs="Arial" w:eastAsia="Arial" w:hAnsi="Arial"/>
                <w:b/>
                <w:bCs/>
                <w:color w:val="FFFFFF"/>
                <w:sz w:val="28"/>
                <w:szCs w:val="28"/>
              </w:rPr>
              <w:t xml:space="preserve">Data Sharing Framework</w:t>
            </w:r>
          </w:p>
          <w:p>
            <w:r>
              <w:rPr>
                <w:rFonts w:ascii="Arial" w:cs="Arial" w:eastAsia="Arial" w:hAnsi="Arial"/>
                <w:color w:val="7DD3FC"/>
                <w:sz w:val="20"/>
                <w:szCs w:val="20"/>
              </w:rPr>
              <w:t xml:space="preserve">Emergency Intelligence &amp; Event Operations Data — Agreed Boundaries</w:t>
            </w:r>
          </w:p>
        </w:tc>
      </w:tr>
    </w:tbl>
    <w:p>
      <w:pPr>
        <w:spacing w:after="100"/>
      </w:pPr>
    </w:p>
    <w:p>
      <w:pPr>
        <w:pStyle w:val="Heading2"/>
        <w:spacing w:after="80" w:before="280"/>
      </w:pPr>
      <w:r>
        <w:rPr>
          <w:rFonts w:ascii="Arial" w:cs="Arial" w:eastAsia="Arial" w:hAnsi="Arial"/>
          <w:b/>
          <w:bCs/>
          <w:color w:val="0A7E8C"/>
          <w:sz w:val="24"/>
          <w:szCs w:val="24"/>
        </w:rPr>
        <w:t xml:space="preserve">3.1 Framework Principles</w:t>
      </w:r>
    </w:p>
    <w:p>
      <w:pPr>
        <w:spacing w:after="120"/>
      </w:pPr>
      <w:r>
        <w:rPr>
          <w:rFonts w:ascii="Arial" w:cs="Arial" w:eastAsia="Arial" w:hAnsi="Arial"/>
          <w:color w:val="1F2937"/>
          <w:sz w:val="22"/>
          <w:szCs w:val="22"/>
        </w:rPr>
        <w:t xml:space="preserve">Sentrais has agreed to share data with the league in two specific domains: emergency intelligence and event operational data. This sharing operates within the hard data boundary established by the dual ecosystem architecture — only agreed-upon data crosses the boundary, all other Sentrais data remains fully isolated.</w:t>
      </w:r>
    </w:p>
    <w:p>
      <w:pPr>
        <w:spacing w:after="120"/>
      </w:pPr>
      <w:r>
        <w:rPr>
          <w:rFonts w:ascii="Arial" w:cs="Arial" w:eastAsia="Arial" w:hAnsi="Arial"/>
          <w:color w:val="1F2937"/>
          <w:sz w:val="22"/>
          <w:szCs w:val="22"/>
        </w:rPr>
        <w:t xml:space="preserve">This data sharing is a deliberate strategic decision that creates mutual value: the league gains intelligence it cannot generate independently, and Sentrais strengthens the evidence base that makes the certification program commercially defensible.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991B1B" w:val="clear"/>
          </w:tcPr>
          <w:p/>
        </w:tc>
        <w:tc>
          <w:tcPr>
            <w:tcW w:type="dxa" w:w="9160"/>
            <w:tcBorders>
              <w:top w:val="none"/>
              <w:left w:val="none"/>
              <w:bottom w:val="none"/>
              <w:right w:val="none"/>
            </w:tcBorders>
            <w:shd w:fill="FEE2E2" w:val="clear"/>
            <w:tcMar>
              <w:top w:type="dxa" w:w="120"/>
              <w:left w:type="dxa" w:w="180"/>
              <w:bottom w:type="dxa" w:w="120"/>
              <w:right w:type="dxa" w:w="120"/>
            </w:tcMar>
          </w:tcPr>
          <w:p>
            <w:r>
              <w:rPr>
                <w:rFonts w:ascii="Arial" w:cs="Arial" w:eastAsia="Arial" w:hAnsi="Arial"/>
                <w:b/>
                <w:bCs/>
                <w:color w:val="991B1B"/>
                <w:sz w:val="20"/>
                <w:szCs w:val="20"/>
              </w:rPr>
              <w:t xml:space="preserve">DATA SHARING PRINCIPLE</w:t>
            </w:r>
          </w:p>
          <w:p>
            <w:r>
              <w:rPr>
                <w:rFonts w:ascii="Arial" w:cs="Arial" w:eastAsia="Arial" w:hAnsi="Arial"/>
                <w:color w:val="1F2937"/>
                <w:sz w:val="20"/>
                <w:szCs w:val="20"/>
              </w:rPr>
              <w:t xml:space="preserve">Sentrais shares data as a strategic asset, not as a compliance obligation. Every data element shared is agreed upon in advance, serves a defined purpose, and is governed by explicit use restrictions. Sentrais retains all rights to aggregated, de-identified insights derived from shared data.</w:t>
            </w:r>
          </w:p>
        </w:tc>
      </w:tr>
    </w:tbl>
    <w:p>
      <w:pPr>
        <w:spacing w:after="100"/>
      </w:pPr>
    </w:p>
    <w:p>
      <w:pPr>
        <w:pStyle w:val="Heading2"/>
        <w:spacing w:after="80" w:before="280"/>
      </w:pPr>
      <w:r>
        <w:rPr>
          <w:rFonts w:ascii="Arial" w:cs="Arial" w:eastAsia="Arial" w:hAnsi="Arial"/>
          <w:b/>
          <w:bCs/>
          <w:color w:val="0A7E8C"/>
          <w:sz w:val="24"/>
          <w:szCs w:val="24"/>
        </w:rPr>
        <w:t xml:space="preserve">3.2 Emergency Intelligence Data — Shared Scope</w:t>
      </w:r>
    </w:p>
    <w:p>
      <w:pPr>
        <w:spacing w:after="120"/>
      </w:pPr>
      <w:r>
        <w:rPr>
          <w:rFonts w:ascii="Arial" w:cs="Arial" w:eastAsia="Arial" w:hAnsi="Arial"/>
          <w:color w:val="1F2937"/>
          <w:sz w:val="22"/>
          <w:szCs w:val="22"/>
        </w:rPr>
        <w:t xml:space="preserve">Emergency intelligence data sharing enables the league and certified venues to benefit from Sentrais' cross-venue, cross-event operational research while maintaining full operational control. Data shared includes: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Data Element</w:t>
            </w:r>
          </w:p>
        </w:tc>
        <w:tc>
          <w:tcPr>
            <w:tcW w:type="dxa" w:w="4680"/>
            <w:tcBorders>
              <w:top w:val="single" w:color="D1D5DB" w:sz="1"/>
              <w:left w:val="single" w:color="D1D5DB" w:sz="1"/>
              <w:bottom w:val="single" w:color="D1D5DB" w:sz="1"/>
              <w:right w:val="single" w:color="D1D5DB"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Sharing Terms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Incident pattern analysis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Aggregated, de-identified incident type and frequency data across comparable venue environments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Escalation timing benchmarks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Statistical benchmarks for escalation speed by incident type — no venue-specific attribution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Cascade failure signatures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Early-warning indicator patterns that precede operational cascade — anonymized event basis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Agency response time models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Statistical models for multi-agency response latency — no identifying event data</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Coordination gap heat maps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Structural fragmentation point analysis — aggregated, not event-specific</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Emergency protocol effectiveness ratings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Comparative effectiveness data for protocol types — no league-identifiable data</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Seasonal risk trend analysis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Pre-event risk profile intelligence based on historical patterns — predictive, not retrospective identifiers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991B1B" w:val="clear"/>
          </w:tcPr>
          <w:p/>
        </w:tc>
        <w:tc>
          <w:tcPr>
            <w:tcW w:type="dxa" w:w="9160"/>
            <w:tcBorders>
              <w:top w:val="none"/>
              <w:left w:val="none"/>
              <w:bottom w:val="none"/>
              <w:right w:val="none"/>
            </w:tcBorders>
            <w:shd w:fill="FEE2E2" w:val="clear"/>
            <w:tcMar>
              <w:top w:type="dxa" w:w="120"/>
              <w:left w:type="dxa" w:w="180"/>
              <w:bottom w:type="dxa" w:w="120"/>
              <w:right w:type="dxa" w:w="120"/>
            </w:tcMar>
          </w:tcPr>
          <w:p>
            <w:r>
              <w:rPr>
                <w:rFonts w:ascii="Arial" w:cs="Arial" w:eastAsia="Arial" w:hAnsi="Arial"/>
                <w:b/>
                <w:bCs/>
                <w:color w:val="991B1B"/>
                <w:sz w:val="20"/>
                <w:szCs w:val="20"/>
              </w:rPr>
              <w:t xml:space="preserve">WHAT IS NOT SHARED</w:t>
            </w:r>
          </w:p>
          <w:p>
            <w:r>
              <w:rPr>
                <w:rFonts w:ascii="Arial" w:cs="Arial" w:eastAsia="Arial" w:hAnsi="Arial"/>
                <w:color w:val="1F2937"/>
                <w:sz w:val="20"/>
                <w:szCs w:val="20"/>
              </w:rPr>
              <w:t xml:space="preserve">Sentrais does not share: individual event incident records, venue-specific failure data, personnel or responder information, client-attributable operational data from other verticals, or any data that could identify individuals involved in incidents. The Innovation OS architecture, routing logic, and playbook content are never shared.</w:t>
            </w:r>
          </w:p>
        </w:tc>
      </w:tr>
    </w:tbl>
    <w:p>
      <w:pPr>
        <w:spacing w:after="100"/>
      </w:pPr>
    </w:p>
    <w:p>
      <w:pPr>
        <w:pStyle w:val="Heading2"/>
        <w:spacing w:after="80" w:before="280"/>
      </w:pPr>
      <w:r>
        <w:rPr>
          <w:rFonts w:ascii="Arial" w:cs="Arial" w:eastAsia="Arial" w:hAnsi="Arial"/>
          <w:b/>
          <w:bCs/>
          <w:color w:val="0A7E8C"/>
          <w:sz w:val="24"/>
          <w:szCs w:val="24"/>
        </w:rPr>
        <w:t xml:space="preserve">3.3 Event Operations Data — Shared Scope</w:t>
      </w:r>
    </w:p>
    <w:p>
      <w:pPr>
        <w:spacing w:after="120"/>
      </w:pPr>
      <w:r>
        <w:rPr>
          <w:rFonts w:ascii="Arial" w:cs="Arial" w:eastAsia="Arial" w:hAnsi="Arial"/>
          <w:color w:val="1F2937"/>
          <w:sz w:val="22"/>
          <w:szCs w:val="22"/>
        </w:rPr>
        <w:t xml:space="preserve">Event operational data sharing supports both the certification assessment process and the real-time event management platform. This data flows bidirectionally within the agreed scope: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Direction</w:t>
            </w:r>
          </w:p>
        </w:tc>
        <w:tc>
          <w:tcPr>
            <w:tcW w:type="dxa" w:w="4680"/>
            <w:tcBorders>
              <w:top w:val="single" w:color="D1D5DB" w:sz="1"/>
              <w:left w:val="single" w:color="D1D5DB" w:sz="1"/>
              <w:bottom w:val="single" w:color="D1D5DB" w:sz="1"/>
              <w:right w:val="single" w:color="D1D5DB"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Data Elements Shared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League → Sentrais (inbound)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Event schedules, venue configurations, staffing plans, pre-event risk assessments, TAC governance decisions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Sentrais → League (outbound)</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Real-time operational status dashboards, KPI performance tracking, escalation event logs, post-event analysis reports, certification assessment data</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Sentrais → Certified Venues (outbound)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Emergency intelligence feed (tier-gated), operational benchmarking, gap analysis reports, protocol effectiveness data</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League → Certified Venues (through Sentrais platform)</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League directives, policy updates, certification requirements, event management platform access</w:t>
            </w:r>
          </w:p>
        </w:tc>
      </w:tr>
    </w:tbl>
    <w:p>
      <w:pPr>
        <w:spacing w:after="100"/>
      </w:pPr>
    </w:p>
    <w:p>
      <w:pPr>
        <w:pStyle w:val="Heading2"/>
        <w:spacing w:after="80" w:before="280"/>
      </w:pPr>
      <w:r>
        <w:rPr>
          <w:rFonts w:ascii="Arial" w:cs="Arial" w:eastAsia="Arial" w:hAnsi="Arial"/>
          <w:b/>
          <w:bCs/>
          <w:color w:val="0A7E8C"/>
          <w:sz w:val="24"/>
          <w:szCs w:val="24"/>
        </w:rPr>
        <w:t xml:space="preserve">3.4 Data Governance Structure</w:t>
      </w:r>
    </w:p>
    <w:p>
      <w:pPr>
        <w:pStyle w:val="ListParagraph"/>
        <w:numPr>
          <w:ilvl w:val="0"/>
          <w:numId w:val="2"/>
        </w:numPr>
        <w:spacing w:after="80"/>
      </w:pPr>
      <w:r>
        <w:rPr>
          <w:rFonts w:ascii="Arial" w:cs="Arial" w:eastAsia="Arial" w:hAnsi="Arial"/>
          <w:b w:val="false"/>
          <w:bCs w:val="false"/>
          <w:color w:val="1F2937"/>
          <w:sz w:val="22"/>
          <w:szCs w:val="22"/>
        </w:rPr>
        <w:t xml:space="preserve">All data sharing governed by the Data Sharing Agreement appended to the managed vertical contract</w:t>
      </w:r>
    </w:p>
    <w:p>
      <w:pPr>
        <w:pStyle w:val="ListParagraph"/>
        <w:numPr>
          <w:ilvl w:val="0"/>
          <w:numId w:val="2"/>
        </w:numPr>
        <w:spacing w:after="80"/>
      </w:pPr>
      <w:r>
        <w:rPr>
          <w:rFonts w:ascii="Arial" w:cs="Arial" w:eastAsia="Arial" w:hAnsi="Arial"/>
          <w:b w:val="false"/>
          <w:bCs w:val="false"/>
          <w:color w:val="1F2937"/>
          <w:sz w:val="22"/>
          <w:szCs w:val="22"/>
        </w:rPr>
        <w:t xml:space="preserve">Data use is restricted to the defined purposes in the agreement — no secondary use without amendment</w:t>
      </w:r>
    </w:p>
    <w:p>
      <w:pPr>
        <w:pStyle w:val="ListParagraph"/>
        <w:numPr>
          <w:ilvl w:val="0"/>
          <w:numId w:val="2"/>
        </w:numPr>
        <w:spacing w:after="80"/>
      </w:pPr>
      <w:r>
        <w:rPr>
          <w:rFonts w:ascii="Arial" w:cs="Arial" w:eastAsia="Arial" w:hAnsi="Arial"/>
          <w:b w:val="false"/>
          <w:bCs w:val="false"/>
          <w:color w:val="1F2937"/>
          <w:sz w:val="22"/>
          <w:szCs w:val="22"/>
        </w:rPr>
        <w:t xml:space="preserve">Sentrais retains rights to aggregate and de-identify all data for research and platform improvement</w:t>
      </w:r>
    </w:p>
    <w:p>
      <w:pPr>
        <w:pStyle w:val="ListParagraph"/>
        <w:numPr>
          <w:ilvl w:val="0"/>
          <w:numId w:val="2"/>
        </w:numPr>
        <w:spacing w:after="80"/>
      </w:pPr>
      <w:r>
        <w:rPr>
          <w:rFonts w:ascii="Arial" w:cs="Arial" w:eastAsia="Arial" w:hAnsi="Arial"/>
          <w:b w:val="false"/>
          <w:bCs w:val="false"/>
          <w:color w:val="1F2937"/>
          <w:sz w:val="22"/>
          <w:szCs w:val="22"/>
        </w:rPr>
        <w:t xml:space="preserve">The league's Technology Advisory Committee reviews data sharing scope annually</w:t>
      </w:r>
    </w:p>
    <w:p>
      <w:pPr>
        <w:pStyle w:val="ListParagraph"/>
        <w:numPr>
          <w:ilvl w:val="0"/>
          <w:numId w:val="2"/>
        </w:numPr>
        <w:spacing w:after="80"/>
      </w:pPr>
      <w:r>
        <w:rPr>
          <w:rFonts w:ascii="Arial" w:cs="Arial" w:eastAsia="Arial" w:hAnsi="Arial"/>
          <w:b w:val="false"/>
          <w:bCs w:val="false"/>
          <w:color w:val="1F2937"/>
          <w:sz w:val="22"/>
          <w:szCs w:val="22"/>
        </w:rPr>
        <w:t xml:space="preserve">Emergency intelligence data is classified and handled with heightened access controls</w:t>
      </w:r>
    </w:p>
    <w:p>
      <w:pPr>
        <w:pStyle w:val="ListParagraph"/>
        <w:numPr>
          <w:ilvl w:val="0"/>
          <w:numId w:val="2"/>
        </w:numPr>
        <w:spacing w:after="80"/>
      </w:pPr>
      <w:r>
        <w:rPr>
          <w:rFonts w:ascii="Arial" w:cs="Arial" w:eastAsia="Arial" w:hAnsi="Arial"/>
          <w:b w:val="false"/>
          <w:bCs w:val="false"/>
          <w:color w:val="1F2937"/>
          <w:sz w:val="22"/>
          <w:szCs w:val="22"/>
        </w:rPr>
        <w:t xml:space="preserve">All data sharing logs are maintained by Sentrais and available to the league TAC on request</w:t>
      </w:r>
    </w:p>
    <w:p>
      <w:pPr>
        <w:spacing w:after="100"/>
      </w:pPr>
    </w:p>
    <w:p>
      <w:pPr>
        <w:pBdr>
          <w:bottom w:val="single" w:color="0A7E8C" w:sz="4" w:space="1"/>
        </w:pBdr>
        <w:spacing w:after="200" w:before="200"/>
      </w:pPr>
    </w:p>
    <w:p>
      <w:pPr>
        <w:pStyle w:val="Heading1"/>
        <w:spacing w:after="120" w:before="400"/>
      </w:pPr>
      <w:r>
        <w:rPr>
          <w:rFonts w:ascii="Arial" w:cs="Arial" w:eastAsia="Arial" w:hAnsi="Arial"/>
          <w:b/>
          <w:bCs/>
          <w:color w:val="0D1B2A"/>
          <w:sz w:val="28"/>
          <w:szCs w:val="28"/>
        </w:rPr>
        <w:t xml:space="preserve">ACTION ITEMS — ADDENDUM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80"/>
        <w:gridCol w:w="2880"/>
      </w:tblGrid>
      <w:tr>
        <w:tc>
          <w:tcPr>
            <w:tcW w:type="dxa" w:w="4200"/>
            <w:tcBorders>
              <w:top w:val="single" w:color="D1D5DB" w:sz="1"/>
              <w:left w:val="single" w:color="D1D5DB" w:sz="1"/>
              <w:bottom w:val="single" w:color="D1D5DB" w:sz="1"/>
              <w:right w:val="single" w:color="D1D5DB" w:sz="1"/>
            </w:tcBorders>
            <w:shd w:fill="0D1B2A" w:val="clear"/>
            <w:tcMar>
              <w:top w:type="dxa" w:w="100"/>
              <w:left w:type="dxa" w:w="100"/>
              <w:bottom w:type="dxa" w:w="100"/>
              <w:right w:type="dxa" w:w="100"/>
            </w:tcMar>
          </w:tcPr>
          <w:p>
            <w:r>
              <w:rPr>
                <w:rFonts w:ascii="Arial" w:cs="Arial" w:eastAsia="Arial" w:hAnsi="Arial"/>
                <w:b/>
                <w:bCs/>
                <w:color w:val="FFFFFF"/>
                <w:sz w:val="18"/>
                <w:szCs w:val="18"/>
              </w:rPr>
              <w:t xml:space="preserve">Action Item</w:t>
            </w:r>
          </w:p>
        </w:tc>
        <w:tc>
          <w:tcPr>
            <w:tcW w:type="dxa" w:w="2280"/>
            <w:tcBorders>
              <w:top w:val="single" w:color="D1D5DB" w:sz="1"/>
              <w:left w:val="single" w:color="D1D5DB" w:sz="1"/>
              <w:bottom w:val="single" w:color="D1D5DB" w:sz="1"/>
              <w:right w:val="single" w:color="D1D5DB" w:sz="1"/>
            </w:tcBorders>
            <w:shd w:fill="0D1B2A" w:val="clear"/>
            <w:tcMar>
              <w:top w:type="dxa" w:w="100"/>
              <w:left w:type="dxa" w:w="100"/>
              <w:bottom w:type="dxa" w:w="100"/>
              <w:right w:type="dxa" w:w="100"/>
            </w:tcMar>
          </w:tcPr>
          <w:p>
            <w:r>
              <w:rPr>
                <w:rFonts w:ascii="Arial" w:cs="Arial" w:eastAsia="Arial" w:hAnsi="Arial"/>
                <w:b/>
                <w:bCs/>
                <w:color w:val="FFFFFF"/>
                <w:sz w:val="18"/>
                <w:szCs w:val="18"/>
              </w:rPr>
              <w:t xml:space="preserve">Owner</w:t>
            </w:r>
          </w:p>
        </w:tc>
        <w:tc>
          <w:tcPr>
            <w:tcW w:type="dxa" w:w="2880"/>
            <w:tcBorders>
              <w:top w:val="single" w:color="D1D5DB" w:sz="1"/>
              <w:left w:val="single" w:color="D1D5DB" w:sz="1"/>
              <w:bottom w:val="single" w:color="D1D5DB" w:sz="1"/>
              <w:right w:val="single" w:color="D1D5DB" w:sz="1"/>
            </w:tcBorders>
            <w:shd w:fill="0D1B2A" w:val="clear"/>
            <w:tcMar>
              <w:top w:type="dxa" w:w="100"/>
              <w:left w:type="dxa" w:w="100"/>
              <w:bottom w:type="dxa" w:w="100"/>
              <w:right w:type="dxa" w:w="100"/>
            </w:tcMar>
          </w:tcPr>
          <w:p>
            <w:r>
              <w:rPr>
                <w:rFonts w:ascii="Arial" w:cs="Arial" w:eastAsia="Arial" w:hAnsi="Arial"/>
                <w:b/>
                <w:bCs/>
                <w:color w:val="FFFFFF"/>
                <w:sz w:val="18"/>
                <w:szCs w:val="18"/>
              </w:rPr>
              <w:t xml:space="preserve">Priority / Timeline</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Draft certification tier standards and assessment rubric</w:t>
            </w:r>
          </w:p>
        </w:tc>
        <w:tc>
          <w:tcPr>
            <w:tcW w:type="dxa" w:w="22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Sentrais / League Joint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HIGH — within 30 days</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Design certification platform architecture within NFL overlay</w:t>
            </w:r>
          </w:p>
        </w:tc>
        <w:tc>
          <w:tcPr>
            <w:tcW w:type="dxa" w:w="228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Sentrais</w:t>
            </w:r>
          </w:p>
        </w:tc>
        <w:tc>
          <w:tcPr>
            <w:tcW w:type="dxa" w:w="288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HIGH — within 45 days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Develop sponsor category packaging for certification program</w:t>
            </w:r>
          </w:p>
        </w:tc>
        <w:tc>
          <w:tcPr>
            <w:tcW w:type="dxa" w:w="22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Tye / Business Dev</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HIGH — within 30 days</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Define Data Sharing Agreement scope for both domains</w:t>
            </w:r>
          </w:p>
        </w:tc>
        <w:tc>
          <w:tcPr>
            <w:tcW w:type="dxa" w:w="228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Sentrais / League Legal</w:t>
            </w:r>
          </w:p>
        </w:tc>
        <w:tc>
          <w:tcPr>
            <w:tcW w:type="dxa" w:w="288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IMMEDIATE — precedes platform build</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Map EVERGAME dimensions to event management module specs</w:t>
            </w:r>
          </w:p>
        </w:tc>
        <w:tc>
          <w:tcPr>
            <w:tcW w:type="dxa" w:w="22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Sentrais Product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HIGH — within 45 days</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Design league authority hierarchy within event management platform</w:t>
            </w:r>
          </w:p>
        </w:tc>
        <w:tc>
          <w:tcPr>
            <w:tcW w:type="dxa" w:w="228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Sentrais</w:t>
            </w:r>
          </w:p>
        </w:tc>
        <w:tc>
          <w:tcPr>
            <w:tcW w:type="dxa" w:w="288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HIGH — parallel track</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Develop emergency intelligence data aggregation pipeline</w:t>
            </w:r>
          </w:p>
        </w:tc>
        <w:tc>
          <w:tcPr>
            <w:tcW w:type="dxa" w:w="22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Sentrais Tech</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MEDIUM — 60 days</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Draft tiered revenue model for certification licensing</w:t>
            </w:r>
          </w:p>
        </w:tc>
        <w:tc>
          <w:tcPr>
            <w:tcW w:type="dxa" w:w="228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Tye</w:t>
            </w:r>
          </w:p>
        </w:tc>
        <w:tc>
          <w:tcPr>
            <w:tcW w:type="dxa" w:w="288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IMMEDIATE — before next league meeting</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Identify insurance carrier partners for certification differential</w:t>
            </w:r>
          </w:p>
        </w:tc>
        <w:tc>
          <w:tcPr>
            <w:tcW w:type="dxa" w:w="22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Business Dev</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F2937"/>
                <w:sz w:val="18"/>
                <w:szCs w:val="18"/>
              </w:rPr>
              <w:t xml:space="preserve">MEDIUM — 60 days</w:t>
            </w:r>
          </w:p>
        </w:tc>
      </w:tr>
      <w:tr>
        <w:tc>
          <w:tcPr>
            <w:tcW w:type="dxa" w:w="42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Design third-party venue extension program structure</w:t>
            </w:r>
          </w:p>
        </w:tc>
        <w:tc>
          <w:tcPr>
            <w:tcW w:type="dxa" w:w="228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Sentrais / League</w:t>
            </w:r>
          </w:p>
        </w:tc>
        <w:tc>
          <w:tcPr>
            <w:tcW w:type="dxa" w:w="288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F2937"/>
                <w:sz w:val="18"/>
                <w:szCs w:val="18"/>
              </w:rPr>
              <w:t xml:space="preserve">MEDIUM — 90 days</w:t>
            </w:r>
          </w:p>
        </w:tc>
      </w:tr>
    </w:tbl>
    <w:p>
      <w:pPr>
        <w:spacing w:after="100"/>
      </w:pPr>
    </w:p>
    <w:p>
      <w:pPr>
        <w:spacing w:after="100"/>
      </w:pPr>
    </w:p>
    <w:p>
      <w:pPr>
        <w:jc w:val="center"/>
      </w:pPr>
      <w:r>
        <w:rPr>
          <w:rFonts w:ascii="Arial" w:cs="Arial" w:eastAsia="Arial" w:hAnsi="Arial"/>
          <w:b/>
          <w:bCs/>
          <w:color w:val="4B5563"/>
          <w:sz w:val="18"/>
          <w:szCs w:val="18"/>
        </w:rPr>
        <w:t xml:space="preserve">PROPRIETARY &amp; CONFIDENTIAL  |  NOVATELabs / Sentrais  |  NOT FOR DISTRIBUTION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7E8C" w:sz="4" w:space="1"/>
      </w:pBdr>
      <w:spacing w:before="120"/>
      <w:jc w:val="center"/>
    </w:pPr>
    <w:r>
      <w:rPr>
        <w:rFonts w:ascii="Arial" w:cs="Arial" w:eastAsia="Arial" w:hAnsi="Arial"/>
        <w:color w:val="4B5563"/>
        <w:sz w:val="18"/>
        <w:szCs w:val="18"/>
      </w:rPr>
      <w:t xml:space="preserve">Stadium Certification &amp; Event Management Solution  |  Page </w:t>
    </w:r>
    <w:r>
      <w:rPr>
        <w:rFonts w:ascii="Arial" w:cs="Arial" w:eastAsia="Arial" w:hAnsi="Arial"/>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800"/>
      <w:gridCol w:w="2920"/>
    </w:tblGrid>
    <w:tr>
      <w:tc>
        <w:tcPr>
          <w:tcW w:type="dxa" w:w="6800"/>
          <w:tcBorders>
            <w:top w:val="none"/>
            <w:left w:val="none"/>
            <w:bottom w:val="none"/>
            <w:right w:val="none"/>
          </w:tcBorders>
          <w:shd w:fill="0D1B2A" w:val="clear"/>
          <w:tcMar>
            <w:top w:type="dxa" w:w="100"/>
            <w:left w:type="dxa" w:w="160"/>
            <w:bottom w:type="dxa" w:w="100"/>
            <w:right w:type="dxa" w:w="80"/>
          </w:tcMar>
        </w:tcPr>
        <w:p>
          <w:r>
            <w:rPr>
              <w:rFonts w:ascii="Arial" w:cs="Arial" w:eastAsia="Arial" w:hAnsi="Arial"/>
              <w:b/>
              <w:bCs/>
              <w:color w:val="FFFFFF"/>
              <w:sz w:val="18"/>
              <w:szCs w:val="18"/>
            </w:rPr>
            <w:t xml:space="preserve">SENTRAIS / NOVATELABS  |  NFL PARTNERSHIP ADDENDUM</w:t>
          </w:r>
        </w:p>
      </w:tc>
      <w:tc>
        <w:tcPr>
          <w:tcW w:type="dxa" w:w="2920"/>
          <w:tcBorders>
            <w:top w:val="none"/>
            <w:left w:val="none"/>
            <w:bottom w:val="none"/>
            <w:right w:val="none"/>
          </w:tcBorders>
          <w:shd w:fill="F59E0B" w:val="clear"/>
          <w:tcMar>
            <w:top w:type="dxa" w:w="100"/>
            <w:left w:type="dxa" w:w="80"/>
            <w:bottom w:type="dxa" w:w="100"/>
            <w:right w:type="dxa" w:w="160"/>
          </w:tcMar>
        </w:tcPr>
        <w:p>
          <w:pPr>
            <w:jc w:val="right"/>
          </w:pPr>
          <w:r>
            <w:rPr>
              <w:rFonts w:ascii="Arial" w:cs="Arial" w:eastAsia="Arial" w:hAnsi="Arial"/>
              <w:b/>
              <w:bCs/>
              <w:color w:val="0D1B2A"/>
              <w:sz w:val="18"/>
              <w:szCs w:val="18"/>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D1B2A"/>
      <w:sz w:val="28"/>
      <w:szCs w:val="28"/>
    </w:rPr>
  </w:style>
  <w:style w:type="paragraph" w:styleId="Heading2">
    <w:name w:val="Heading 2"/>
    <w:basedOn w:val="Normal"/>
    <w:next w:val="Normal"/>
    <w:qFormat/>
    <w:pPr>
      <w:spacing w:after="80" w:before="280"/>
      <w:outlineLvl w:val="1"/>
    </w:pPr>
    <w:rPr>
      <w:rFonts w:ascii="Arial" w:cs="Arial" w:eastAsia="Arial" w:hAnsi="Arial"/>
      <w:b/>
      <w:bCs/>
      <w:color w:val="0A7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2026-04-06T18:28:38.908Z</dcterms:created>
  <dcterms:modified xsi:type="dcterms:W3CDTF">2026-04-06T18:28:38.909Z</dcterms:modified>
</cp:coreProperties>
</file>

<file path=docProps/custom.xml><?xml version="1.0" encoding="utf-8"?>
<Properties xmlns="http://schemas.openxmlformats.org/officeDocument/2006/custom-properties" xmlns:vt="http://schemas.openxmlformats.org/officeDocument/2006/docPropsVTypes"/>
</file>