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B2B3D"/>
          <w:sz w:val="56"/>
          <w:szCs w:val="56"/>
        </w:rPr>
        <w:t xml:space="preserve">SIPE ENGAGEMENT</w:t>
      </w:r>
    </w:p>
    <w:p>
      <w:pPr>
        <w:spacing w:after="400"/>
        <w:jc w:val="center"/>
      </w:pPr>
      <w:r>
        <w:rPr>
          <w:b/>
          <w:bCs/>
          <w:color w:val="00A5B5"/>
          <w:sz w:val="56"/>
          <w:szCs w:val="56"/>
        </w:rPr>
        <w:t xml:space="preserve">ACCOUNTABILITY FRAMEWORK</w:t>
      </w:r>
    </w:p>
    <w:p>
      <w:pPr>
        <w:spacing w:after="200"/>
        <w:jc w:val="center"/>
      </w:pPr>
      <w:r>
        <w:rPr>
          <w:color w:val="2B6B7D"/>
          <w:sz w:val="36"/>
          <w:szCs w:val="36"/>
        </w:rPr>
        <w:t xml:space="preserve">NFL EVERGAME Phase II</w:t>
      </w:r>
    </w:p>
    <w:p>
      <w:pPr>
        <w:spacing w:after="800"/>
        <w:jc w:val="center"/>
      </w:pPr>
      <w:r>
        <w:rPr>
          <w:color w:val="666666"/>
          <w:sz w:val="28"/>
          <w:szCs w:val="28"/>
        </w:rPr>
        <w:t xml:space="preserve">IT Game Day Compliance &amp; Readiness System</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F5F5F5"/>
            <w:vAlign w:val="center"/>
          </w:tcPr>
          <w:p>
            <w:r>
              <w:rPr>
                <w:sz w:val="20"/>
                <w:szCs w:val="20"/>
              </w:rPr>
              <w:t xml:space="preserve">Document ID:</w:t>
            </w:r>
          </w:p>
        </w:tc>
        <w:tc>
          <w:tcPr>
            <w:tcW w:type="dxa" w:w="3000"/>
            <w:vAlign w:val="center"/>
          </w:tcPr>
          <w:p>
            <w:r>
              <w:rPr>
                <w:sz w:val="20"/>
                <w:szCs w:val="20"/>
              </w:rPr>
              <w:t xml:space="preserve">SIPE-NFL-EVERGAME-ACCT-v1.0</w:t>
            </w:r>
          </w:p>
        </w:tc>
      </w:tr>
      <w:tr>
        <w:tc>
          <w:tcPr>
            <w:tcW w:type="dxa" w:w="2000"/>
            <w:shd w:fill="F5F5F5"/>
            <w:vAlign w:val="center"/>
          </w:tcPr>
          <w:p>
            <w:r>
              <w:rPr>
                <w:sz w:val="20"/>
                <w:szCs w:val="20"/>
              </w:rPr>
              <w:t xml:space="preserve">Classification:</w:t>
            </w:r>
          </w:p>
        </w:tc>
        <w:tc>
          <w:tcPr>
            <w:tcW w:type="dxa" w:w="3000"/>
            <w:vAlign w:val="center"/>
          </w:tcPr>
          <w:p>
            <w:r>
              <w:rPr>
                <w:sz w:val="20"/>
                <w:szCs w:val="20"/>
              </w:rPr>
              <w:t xml:space="preserve">NOVATE PROPRIETARY - CONFIDENTIAL</w:t>
            </w:r>
          </w:p>
        </w:tc>
      </w:tr>
      <w:tr>
        <w:tc>
          <w:tcPr>
            <w:tcW w:type="dxa" w:w="2000"/>
            <w:shd w:fill="F5F5F5"/>
            <w:vAlign w:val="center"/>
          </w:tcPr>
          <w:p>
            <w:r>
              <w:rPr>
                <w:sz w:val="20"/>
                <w:szCs w:val="20"/>
              </w:rPr>
              <w:t xml:space="preserve">SIPE Tag:</w:t>
            </w:r>
          </w:p>
        </w:tc>
        <w:tc>
          <w:tcPr>
            <w:tcW w:type="dxa" w:w="3000"/>
            <w:vAlign w:val="center"/>
          </w:tcPr>
          <w:p>
            <w:r>
              <w:rPr>
                <w:sz w:val="20"/>
                <w:szCs w:val="20"/>
              </w:rPr>
              <w:t xml:space="preserve">TRANSFORMATION-CHALLENGE</w:t>
            </w:r>
          </w:p>
        </w:tc>
      </w:tr>
      <w:tr>
        <w:tc>
          <w:tcPr>
            <w:tcW w:type="dxa" w:w="2000"/>
            <w:shd w:fill="F5F5F5"/>
            <w:vAlign w:val="center"/>
          </w:tcPr>
          <w:p>
            <w:r>
              <w:rPr>
                <w:sz w:val="20"/>
                <w:szCs w:val="20"/>
              </w:rPr>
              <w:t xml:space="preserve">Version:</w:t>
            </w:r>
          </w:p>
        </w:tc>
        <w:tc>
          <w:tcPr>
            <w:tcW w:type="dxa" w:w="3000"/>
            <w:vAlign w:val="center"/>
          </w:tcPr>
          <w:p>
            <w:r>
              <w:rPr>
                <w:sz w:val="20"/>
                <w:szCs w:val="20"/>
              </w:rPr>
              <w:t xml:space="preserve">1.0 | January 2026</w:t>
            </w:r>
          </w:p>
        </w:tc>
      </w:tr>
      <w:tr>
        <w:tc>
          <w:tcPr>
            <w:tcW w:type="dxa" w:w="2000"/>
            <w:shd w:fill="F5F5F5"/>
            <w:vAlign w:val="center"/>
          </w:tcPr>
          <w:p>
            <w:r>
              <w:rPr>
                <w:sz w:val="20"/>
                <w:szCs w:val="20"/>
              </w:rPr>
              <w:t xml:space="preserve">Status:</w:t>
            </w:r>
          </w:p>
        </w:tc>
        <w:tc>
          <w:tcPr>
            <w:tcW w:type="dxa" w:w="3000"/>
            <w:vAlign w:val="center"/>
          </w:tcPr>
          <w:p>
            <w:r>
              <w:rPr>
                <w:sz w:val="20"/>
                <w:szCs w:val="20"/>
              </w:rPr>
              <w:t xml:space="preserve">BINDING AGREEMENT</w:t>
            </w:r>
          </w:p>
        </w:tc>
      </w:tr>
    </w:tbl>
    <w:p>
      <w:pPr>
        <w:spacing w:after="1200"/>
      </w:pPr>
    </w:p>
    <w:p>
      <w:pPr>
        <w:jc w:val="center"/>
      </w:pPr>
      <w:r>
        <w:rPr>
          <w:color w:val="1B2B3D"/>
          <w:sz w:val="24"/>
          <w:szCs w:val="24"/>
        </w:rPr>
        <w:t xml:space="preserve">Prepared by NOVATE Labs</w:t>
      </w:r>
    </w:p>
    <w:p>
      <w:pPr>
        <w:jc w:val="center"/>
      </w:pPr>
      <w:r>
        <w:rPr>
          <w:i/>
          <w:iCs/>
          <w:color w:val="666666"/>
          <w:sz w:val="20"/>
          <w:szCs w:val="20"/>
        </w:rPr>
        <w:t xml:space="preserve">Establishing Shared Accountability Standards for Engagement Success</w:t>
      </w:r>
    </w:p>
    <w:p/>
    <w:p>
      <w:pPr>
        <w:spacing w:before="400" w:after="200"/>
      </w:pPr>
      <w:r>
        <w:rPr>
          <w:b/>
          <w:bCs/>
          <w:color w:val="1B2B3D"/>
          <w:sz w:val="32"/>
          <w:szCs w:val="32"/>
        </w:rPr>
        <w:t xml:space="preserve">TABLE OF CONTENTS</w:t>
      </w:r>
    </w:p>
    <w:p>
      <w:pPr>
        <w:spacing w:after="120"/>
      </w:pPr>
      <w:r>
        <w:rPr>
          <w:sz w:val="20"/>
          <w:szCs w:val="20"/>
        </w:rPr>
        <w:t xml:space="preserve">1. Engagement Overview &amp; Parameters</w:t>
      </w:r>
    </w:p>
    <w:p>
      <w:pPr>
        <w:spacing w:after="120"/>
      </w:pPr>
      <w:r>
        <w:rPr>
          <w:sz w:val="20"/>
          <w:szCs w:val="20"/>
        </w:rPr>
        <w:t xml:space="preserve">2. Client Responsibilities (Binding Requirements)</w:t>
      </w:r>
    </w:p>
    <w:p>
      <w:pPr>
        <w:spacing w:after="120"/>
      </w:pPr>
      <w:r>
        <w:rPr>
          <w:sz w:val="20"/>
          <w:szCs w:val="20"/>
        </w:rPr>
        <w:t xml:space="preserve">3. NOVATE Responsibilities &amp; Engagement Expectations</w:t>
      </w:r>
    </w:p>
    <w:p>
      <w:pPr>
        <w:spacing w:after="120"/>
      </w:pPr>
      <w:r>
        <w:rPr>
          <w:sz w:val="20"/>
          <w:szCs w:val="20"/>
        </w:rPr>
        <w:t xml:space="preserve">4. Issue Management Framework</w:t>
      </w:r>
    </w:p>
    <w:p>
      <w:pPr>
        <w:spacing w:after="120"/>
      </w:pPr>
      <w:r>
        <w:rPr>
          <w:sz w:val="20"/>
          <w:szCs w:val="20"/>
        </w:rPr>
        <w:t xml:space="preserve">5. Early Warning &amp; Notification Triggers</w:t>
      </w:r>
    </w:p>
    <w:p>
      <w:pPr>
        <w:spacing w:after="120"/>
      </w:pPr>
      <w:r>
        <w:rPr>
          <w:sz w:val="20"/>
          <w:szCs w:val="20"/>
        </w:rPr>
        <w:t xml:space="preserve">6. Certification Sign-Off Framework</w:t>
      </w:r>
    </w:p>
    <w:p>
      <w:pPr>
        <w:spacing w:after="120"/>
      </w:pPr>
      <w:r>
        <w:rPr>
          <w:sz w:val="20"/>
          <w:szCs w:val="20"/>
        </w:rPr>
        <w:t xml:space="preserve">7. SIPE Documentation Standards</w:t>
      </w:r>
    </w:p>
    <w:p>
      <w:pPr>
        <w:spacing w:after="120"/>
      </w:pPr>
      <w:r>
        <w:rPr>
          <w:sz w:val="20"/>
          <w:szCs w:val="20"/>
        </w:rPr>
        <w:t xml:space="preserve">8. Framework Acknowledgment &amp; Authorization</w:t>
      </w:r>
    </w:p>
    <w:p>
      <w:pPr>
        <w:spacing w:after="120"/>
      </w:pPr>
      <w:r>
        <w:rPr>
          <w:sz w:val="20"/>
          <w:szCs w:val="20"/>
        </w:rPr>
        <w:t xml:space="preserve">Appendix A: KPI Calculation Formulas</w:t>
      </w:r>
    </w:p>
    <w:p>
      <w:pPr>
        <w:spacing w:after="120"/>
      </w:pPr>
      <w:r>
        <w:rPr>
          <w:sz w:val="20"/>
          <w:szCs w:val="20"/>
        </w:rPr>
        <w:t xml:space="preserve">Appendix B: Escalation Contact Directory</w:t>
      </w:r>
    </w:p>
    <w:p/>
    <w:p>
      <w:pPr>
        <w:spacing w:before="400" w:after="200"/>
      </w:pPr>
      <w:r>
        <w:rPr>
          <w:b/>
          <w:bCs/>
          <w:color w:val="1B2B3D"/>
          <w:sz w:val="32"/>
          <w:szCs w:val="32"/>
        </w:rPr>
        <w:t xml:space="preserve">1. ENGAGEMENT OVERVIEW &amp; PARAMETERS</w:t>
      </w:r>
    </w:p>
    <w:p>
      <w:pPr>
        <w:spacing w:after="120"/>
      </w:pPr>
      <w:r>
        <w:rPr>
          <w:sz w:val="20"/>
          <w:szCs w:val="20"/>
        </w:rPr>
        <w:t xml:space="preserve">This Accountability Framework establishes the binding standards for the NFL EVERGAME Phase II engagement. As NOVATE's first full SIPE (Sentrais Innovation Playbook Engine) deployment, this framework sets the standard for all future engagements.</w:t>
      </w:r>
    </w:p>
    <w:p>
      <w:pPr>
        <w:spacing w:before="300" w:after="200"/>
      </w:pPr>
      <w:r>
        <w:rPr>
          <w:b/>
          <w:bCs/>
          <w:color w:val="2B6B7D"/>
          <w:sz w:val="26"/>
          <w:szCs w:val="26"/>
        </w:rPr>
        <w:t xml:space="preserve">1.1 Engagement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B2B3D"/>
            <w:vAlign w:val="center"/>
          </w:tcPr>
          <w:p>
            <w:pPr>
              <w:jc w:val="center"/>
            </w:pPr>
            <w:r>
              <w:rPr>
                <w:b/>
                <w:bCs/>
                <w:color w:val="FFFFFF"/>
                <w:sz w:val="20"/>
                <w:szCs w:val="20"/>
              </w:rPr>
              <w:t xml:space="preserve">Parameter</w:t>
            </w:r>
          </w:p>
        </w:tc>
        <w:tc>
          <w:tcPr>
            <w:tcW w:type="dxa" w:w="5860"/>
            <w:shd w:fill="1B2B3D"/>
            <w:vAlign w:val="center"/>
          </w:tcPr>
          <w:p>
            <w:pPr>
              <w:jc w:val="center"/>
            </w:pPr>
            <w:r>
              <w:rPr>
                <w:b/>
                <w:bCs/>
                <w:color w:val="FFFFFF"/>
                <w:sz w:val="20"/>
                <w:szCs w:val="20"/>
              </w:rPr>
              <w:t xml:space="preserve">Value</w:t>
            </w:r>
          </w:p>
        </w:tc>
      </w:tr>
      <w:tr>
        <w:tc>
          <w:tcPr>
            <w:tcW w:type="dxa" w:w="3500"/>
            <w:vAlign w:val="center"/>
          </w:tcPr>
          <w:p>
            <w:r>
              <w:rPr>
                <w:sz w:val="20"/>
                <w:szCs w:val="20"/>
              </w:rPr>
              <w:t xml:space="preserve">Engagement Name</w:t>
            </w:r>
          </w:p>
        </w:tc>
        <w:tc>
          <w:tcPr>
            <w:tcW w:type="dxa" w:w="5860"/>
            <w:vAlign w:val="center"/>
          </w:tcPr>
          <w:p>
            <w:r>
              <w:rPr>
                <w:sz w:val="20"/>
                <w:szCs w:val="20"/>
              </w:rPr>
              <w:t xml:space="preserve">NFL EVERGAME Phase II - IT Game Day Compliance &amp; Readiness</w:t>
            </w:r>
          </w:p>
        </w:tc>
      </w:tr>
      <w:tr>
        <w:tc>
          <w:tcPr>
            <w:tcW w:type="dxa" w:w="3500"/>
            <w:vAlign w:val="center"/>
          </w:tcPr>
          <w:p>
            <w:r>
              <w:rPr>
                <w:sz w:val="20"/>
                <w:szCs w:val="20"/>
              </w:rPr>
              <w:t xml:space="preserve">SIPE Classification</w:t>
            </w:r>
          </w:p>
        </w:tc>
        <w:tc>
          <w:tcPr>
            <w:tcW w:type="dxa" w:w="5860"/>
            <w:vAlign w:val="center"/>
          </w:tcPr>
          <w:p>
            <w:r>
              <w:rPr>
                <w:sz w:val="20"/>
                <w:szCs w:val="20"/>
              </w:rPr>
              <w:t xml:space="preserve">TRANSFORMATION-CHALLENGE</w:t>
            </w:r>
          </w:p>
        </w:tc>
      </w:tr>
      <w:tr>
        <w:tc>
          <w:tcPr>
            <w:tcW w:type="dxa" w:w="3500"/>
            <w:vAlign w:val="center"/>
          </w:tcPr>
          <w:p>
            <w:r>
              <w:rPr>
                <w:sz w:val="20"/>
                <w:szCs w:val="20"/>
              </w:rPr>
              <w:t xml:space="preserve">Duration</w:t>
            </w:r>
          </w:p>
        </w:tc>
        <w:tc>
          <w:tcPr>
            <w:tcW w:type="dxa" w:w="5860"/>
            <w:vAlign w:val="center"/>
          </w:tcPr>
          <w:p>
            <w:r>
              <w:rPr>
                <w:sz w:val="20"/>
                <w:szCs w:val="20"/>
              </w:rPr>
              <w:t xml:space="preserve">24 weeks (March 3 - August 15, 2026)</w:t>
            </w:r>
          </w:p>
        </w:tc>
      </w:tr>
      <w:tr>
        <w:tc>
          <w:tcPr>
            <w:tcW w:type="dxa" w:w="3500"/>
            <w:vAlign w:val="center"/>
          </w:tcPr>
          <w:p>
            <w:r>
              <w:rPr>
                <w:sz w:val="20"/>
                <w:szCs w:val="20"/>
              </w:rPr>
              <w:t xml:space="preserve">Methodology</w:t>
            </w:r>
          </w:p>
        </w:tc>
        <w:tc>
          <w:tcPr>
            <w:tcW w:type="dxa" w:w="5860"/>
            <w:vAlign w:val="center"/>
          </w:tcPr>
          <w:p>
            <w:r>
              <w:rPr>
                <w:sz w:val="20"/>
                <w:szCs w:val="20"/>
              </w:rPr>
              <w:t xml:space="preserve">NIN 5D Framework (Discover → Deploy)</w:t>
            </w:r>
          </w:p>
        </w:tc>
      </w:tr>
      <w:tr>
        <w:tc>
          <w:tcPr>
            <w:tcW w:type="dxa" w:w="3500"/>
            <w:vAlign w:val="center"/>
          </w:tcPr>
          <w:p>
            <w:r>
              <w:rPr>
                <w:sz w:val="20"/>
                <w:szCs w:val="20"/>
              </w:rPr>
              <w:t xml:space="preserve">Target Milestone</w:t>
            </w:r>
          </w:p>
        </w:tc>
        <w:tc>
          <w:tcPr>
            <w:tcW w:type="dxa" w:w="5860"/>
            <w:vAlign w:val="center"/>
          </w:tcPr>
          <w:p>
            <w:r>
              <w:rPr>
                <w:sz w:val="20"/>
                <w:szCs w:val="20"/>
              </w:rPr>
              <w:t xml:space="preserve">2026 NFL Preseason Readiness</w:t>
            </w:r>
          </w:p>
        </w:tc>
      </w:tr>
      <w:tr>
        <w:tc>
          <w:tcPr>
            <w:tcW w:type="dxa" w:w="3500"/>
            <w:vAlign w:val="center"/>
          </w:tcPr>
          <w:p>
            <w:r>
              <w:rPr>
                <w:sz w:val="20"/>
                <w:szCs w:val="20"/>
              </w:rPr>
              <w:t xml:space="preserve">Critical Churn Zones</w:t>
            </w:r>
          </w:p>
        </w:tc>
        <w:tc>
          <w:tcPr>
            <w:tcW w:type="dxa" w:w="5860"/>
            <w:vAlign w:val="center"/>
          </w:tcPr>
          <w:p>
            <w:r>
              <w:rPr>
                <w:sz w:val="20"/>
                <w:szCs w:val="20"/>
              </w:rPr>
              <w:t xml:space="preserve">D2 DIAGNOSE &amp; D3 DESIGN (Weeks 4-12)</w:t>
            </w:r>
          </w:p>
        </w:tc>
      </w:tr>
      <w:tr>
        <w:tc>
          <w:tcPr>
            <w:tcW w:type="dxa" w:w="100"/>
          </w:tcPr>
          <w:p>
            <w:r>
              <w:t>GDA Go-Live Target (Base Scope)</w:t>
            </w:r>
          </w:p>
        </w:tc>
        <w:tc>
          <w:tcPr>
            <w:tcW w:type="dxa" w:w="100"/>
          </w:tcPr>
          <w:p>
            <w:r>
              <w:t>June 30, 2026 (pending contract execution and NFL dependencies)</w:t>
            </w:r>
          </w:p>
        </w:tc>
      </w:tr>
    </w:tbl>
    <w:p>
      <w:pPr>
        <w:spacing w:before="300" w:after="200"/>
      </w:pPr>
      <w:r>
        <w:rPr>
          <w:b/>
          <w:bCs/>
          <w:color w:val="2B6B7D"/>
          <w:sz w:val="26"/>
          <w:szCs w:val="26"/>
        </w:rPr>
        <w:t xml:space="preserve">1.2 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1B2B3D"/>
            <w:vAlign w:val="center"/>
          </w:tcPr>
          <w:p>
            <w:pPr>
              <w:jc w:val="center"/>
            </w:pPr>
            <w:r>
              <w:rPr>
                <w:b/>
                <w:bCs/>
                <w:color w:val="FFFFFF"/>
                <w:sz w:val="20"/>
                <w:szCs w:val="20"/>
              </w:rPr>
              <w:t xml:space="preserve">#</w:t>
            </w:r>
          </w:p>
        </w:tc>
        <w:tc>
          <w:tcPr>
            <w:tcW w:type="dxa" w:w="4000"/>
            <w:shd w:fill="1B2B3D"/>
            <w:vAlign w:val="center"/>
          </w:tcPr>
          <w:p>
            <w:pPr>
              <w:jc w:val="center"/>
            </w:pPr>
            <w:r>
              <w:rPr>
                <w:b/>
                <w:bCs/>
                <w:color w:val="FFFFFF"/>
                <w:sz w:val="20"/>
                <w:szCs w:val="20"/>
              </w:rPr>
              <w:t xml:space="preserve">Deliverable</w:t>
            </w:r>
          </w:p>
        </w:tc>
        <w:tc>
          <w:tcPr>
            <w:tcW w:type="dxa" w:w="1500"/>
            <w:shd w:fill="1B2B3D"/>
            <w:vAlign w:val="center"/>
          </w:tcPr>
          <w:p>
            <w:pPr>
              <w:jc w:val="center"/>
            </w:pPr>
            <w:r>
              <w:rPr>
                <w:b/>
                <w:bCs/>
                <w:color w:val="FFFFFF"/>
                <w:sz w:val="20"/>
                <w:szCs w:val="20"/>
              </w:rPr>
              <w:t xml:space="preserve">Phase</w:t>
            </w:r>
          </w:p>
        </w:tc>
        <w:tc>
          <w:tcPr>
            <w:tcW w:type="dxa" w:w="3360"/>
            <w:shd w:fill="1B2B3D"/>
            <w:vAlign w:val="center"/>
          </w:tcPr>
          <w:p>
            <w:pPr>
              <w:jc w:val="center"/>
            </w:pPr>
            <w:r>
              <w:rPr>
                <w:b/>
                <w:bCs/>
                <w:color w:val="FFFFFF"/>
                <w:sz w:val="20"/>
                <w:szCs w:val="20"/>
              </w:rPr>
              <w:t xml:space="preserve">Target</w:t>
            </w:r>
          </w:p>
        </w:tc>
      </w:tr>
      <w:tr>
        <w:tc>
          <w:tcPr>
            <w:tcW w:type="dxa" w:w="500"/>
            <w:vAlign w:val="center"/>
          </w:tcPr>
          <w:p>
            <w:r>
              <w:rPr>
                <w:sz w:val="20"/>
                <w:szCs w:val="20"/>
              </w:rPr>
              <w:t xml:space="preserve">D1</w:t>
            </w:r>
          </w:p>
        </w:tc>
        <w:tc>
          <w:tcPr>
            <w:tcW w:type="dxa" w:w="4000"/>
            <w:vAlign w:val="center"/>
          </w:tcPr>
          <w:p>
            <w:r>
              <w:rPr>
                <w:sz w:val="20"/>
                <w:szCs w:val="20"/>
              </w:rPr>
              <w:t xml:space="preserve">Centralized System of Record</w:t>
            </w:r>
          </w:p>
        </w:tc>
        <w:tc>
          <w:tcPr>
            <w:tcW w:type="dxa" w:w="1500"/>
            <w:vAlign w:val="center"/>
          </w:tcPr>
          <w:p>
            <w:r>
              <w:rPr>
                <w:sz w:val="20"/>
                <w:szCs w:val="20"/>
              </w:rPr>
              <w:t xml:space="preserve">D4-D5</w:t>
            </w:r>
          </w:p>
        </w:tc>
        <w:tc>
          <w:tcPr>
            <w:tcW w:type="dxa" w:w="3360"/>
            <w:vAlign w:val="center"/>
          </w:tcPr>
          <w:p>
            <w:r>
              <w:rPr>
                <w:sz w:val="20"/>
                <w:szCs w:val="20"/>
              </w:rPr>
              <w:t xml:space="preserve">Week 20</w:t>
            </w:r>
          </w:p>
        </w:tc>
      </w:tr>
      <w:tr>
        <w:tc>
          <w:tcPr>
            <w:tcW w:type="dxa" w:w="500"/>
            <w:vAlign w:val="center"/>
          </w:tcPr>
          <w:p>
            <w:r>
              <w:rPr>
                <w:sz w:val="20"/>
                <w:szCs w:val="20"/>
              </w:rPr>
              <w:t xml:space="preserve">D2</w:t>
            </w:r>
          </w:p>
        </w:tc>
        <w:tc>
          <w:tcPr>
            <w:tcW w:type="dxa" w:w="4000"/>
            <w:vAlign w:val="center"/>
          </w:tcPr>
          <w:p>
            <w:r>
              <w:rPr>
                <w:sz w:val="20"/>
                <w:szCs w:val="20"/>
              </w:rPr>
              <w:t xml:space="preserve">Game Day Dashboard</w:t>
            </w:r>
          </w:p>
        </w:tc>
        <w:tc>
          <w:tcPr>
            <w:tcW w:type="dxa" w:w="1500"/>
            <w:vAlign w:val="center"/>
          </w:tcPr>
          <w:p>
            <w:r>
              <w:rPr>
                <w:sz w:val="20"/>
                <w:szCs w:val="20"/>
              </w:rPr>
              <w:t xml:space="preserve">D4-D5</w:t>
            </w:r>
          </w:p>
        </w:tc>
        <w:tc>
          <w:tcPr>
            <w:tcW w:type="dxa" w:w="3360"/>
            <w:vAlign w:val="center"/>
          </w:tcPr>
          <w:p>
            <w:r>
              <w:rPr>
                <w:sz w:val="20"/>
                <w:szCs w:val="20"/>
              </w:rPr>
              <w:t xml:space="preserve">Week 20</w:t>
            </w:r>
          </w:p>
        </w:tc>
      </w:tr>
      <w:tr>
        <w:tc>
          <w:tcPr>
            <w:tcW w:type="dxa" w:w="500"/>
            <w:vAlign w:val="center"/>
          </w:tcPr>
          <w:p>
            <w:r>
              <w:rPr>
                <w:sz w:val="20"/>
                <w:szCs w:val="20"/>
              </w:rPr>
              <w:t xml:space="preserve">D3</w:t>
            </w:r>
          </w:p>
        </w:tc>
        <w:tc>
          <w:tcPr>
            <w:tcW w:type="dxa" w:w="4000"/>
            <w:vAlign w:val="center"/>
          </w:tcPr>
          <w:p>
            <w:r>
              <w:t>Stadium Certification (To-Be) - Design and Prototype Only (No Go-Live)</w:t>
            </w:r>
          </w:p>
        </w:tc>
        <w:tc>
          <w:tcPr>
            <w:tcW w:type="dxa" w:w="1500"/>
            <w:vAlign w:val="center"/>
          </w:tcPr>
          <w:p>
            <w:r>
              <w:t>D1-D3</w:t>
            </w:r>
          </w:p>
        </w:tc>
        <w:tc>
          <w:tcPr>
            <w:tcW w:type="dxa" w:w="3360"/>
            <w:vAlign w:val="center"/>
          </w:tcPr>
          <w:p>
            <w:r>
              <w:t>Within Phase II</w:t>
            </w:r>
          </w:p>
        </w:tc>
      </w:tr>
      <w:tr>
        <w:tc>
          <w:tcPr>
            <w:tcW w:type="dxa" w:w="500"/>
            <w:vAlign w:val="center"/>
          </w:tcPr>
          <w:p>
            <w:r>
              <w:rPr>
                <w:sz w:val="20"/>
                <w:szCs w:val="20"/>
              </w:rPr>
              <w:t xml:space="preserve">D4</w:t>
            </w:r>
          </w:p>
        </w:tc>
        <w:tc>
          <w:tcPr>
            <w:tcW w:type="dxa" w:w="4000"/>
            <w:vAlign w:val="center"/>
          </w:tcPr>
          <w:p>
            <w:r>
              <w:t>GDA Certification Process (To-Be) - Base Scope</w:t>
            </w:r>
          </w:p>
        </w:tc>
        <w:tc>
          <w:tcPr>
            <w:tcW w:type="dxa" w:w="1500"/>
            <w:vAlign w:val="center"/>
          </w:tcPr>
          <w:p>
            <w:r>
              <w:rPr>
                <w:sz w:val="20"/>
                <w:szCs w:val="20"/>
              </w:rPr>
              <w:t xml:space="preserve">D3</w:t>
            </w:r>
          </w:p>
        </w:tc>
        <w:tc>
          <w:tcPr>
            <w:tcW w:type="dxa" w:w="3360"/>
            <w:vAlign w:val="center"/>
          </w:tcPr>
          <w:p>
            <w:r>
              <w:rPr>
                <w:sz w:val="20"/>
                <w:szCs w:val="20"/>
              </w:rPr>
              <w:t xml:space="preserve">Week 12</w:t>
            </w:r>
          </w:p>
        </w:tc>
      </w:tr>
      <w:tr>
        <w:tc>
          <w:tcPr>
            <w:tcW w:type="dxa" w:w="500"/>
            <w:vAlign w:val="center"/>
          </w:tcPr>
          <w:p>
            <w:r>
              <w:rPr>
                <w:sz w:val="20"/>
                <w:szCs w:val="20"/>
              </w:rPr>
              <w:t xml:space="preserve">D5</w:t>
            </w:r>
          </w:p>
        </w:tc>
        <w:tc>
          <w:tcPr>
            <w:tcW w:type="dxa" w:w="4000"/>
            <w:vAlign w:val="center"/>
          </w:tcPr>
          <w:p>
            <w:r>
              <w:rPr>
                <w:sz w:val="20"/>
                <w:szCs w:val="20"/>
              </w:rPr>
              <w:t xml:space="preserve">2026 GDA Checklist Playbook</w:t>
            </w:r>
          </w:p>
        </w:tc>
        <w:tc>
          <w:tcPr>
            <w:tcW w:type="dxa" w:w="1500"/>
            <w:vAlign w:val="center"/>
          </w:tcPr>
          <w:p>
            <w:r>
              <w:rPr>
                <w:sz w:val="20"/>
                <w:szCs w:val="20"/>
              </w:rPr>
              <w:t xml:space="preserve">D3-D4</w:t>
            </w:r>
          </w:p>
        </w:tc>
        <w:tc>
          <w:tcPr>
            <w:tcW w:type="dxa" w:w="3360"/>
            <w:vAlign w:val="center"/>
          </w:tcPr>
          <w:p>
            <w:r>
              <w:rPr>
                <w:sz w:val="20"/>
                <w:szCs w:val="20"/>
              </w:rPr>
              <w:t xml:space="preserve">Week 16</w:t>
            </w:r>
          </w:p>
        </w:tc>
      </w:tr>
      <w:tr>
        <w:tc>
          <w:tcPr>
            <w:tcW w:type="dxa" w:w="500"/>
            <w:vAlign w:val="center"/>
          </w:tcPr>
          <w:p>
            <w:r>
              <w:rPr>
                <w:sz w:val="20"/>
                <w:szCs w:val="20"/>
              </w:rPr>
              <w:t xml:space="preserve">D6</w:t>
            </w:r>
          </w:p>
        </w:tc>
        <w:tc>
          <w:tcPr>
            <w:tcW w:type="dxa" w:w="4000"/>
            <w:vAlign w:val="center"/>
          </w:tcPr>
          <w:p>
            <w:r>
              <w:rPr>
                <w:sz w:val="20"/>
                <w:szCs w:val="20"/>
              </w:rPr>
              <w:t xml:space="preserve">Evidence Capture System</w:t>
            </w:r>
          </w:p>
        </w:tc>
        <w:tc>
          <w:tcPr>
            <w:tcW w:type="dxa" w:w="1500"/>
            <w:vAlign w:val="center"/>
          </w:tcPr>
          <w:p>
            <w:r>
              <w:rPr>
                <w:sz w:val="20"/>
                <w:szCs w:val="20"/>
              </w:rPr>
              <w:t xml:space="preserve">D4-D5</w:t>
            </w:r>
          </w:p>
        </w:tc>
        <w:tc>
          <w:tcPr>
            <w:tcW w:type="dxa" w:w="3360"/>
            <w:vAlign w:val="center"/>
          </w:tcPr>
          <w:p>
            <w:r>
              <w:rPr>
                <w:sz w:val="20"/>
                <w:szCs w:val="20"/>
              </w:rPr>
              <w:t xml:space="preserve">Week 20</w:t>
            </w:r>
          </w:p>
        </w:tc>
      </w:tr>
      <w:tr>
        <w:tc>
          <w:tcPr>
            <w:tcW w:type="dxa" w:w="500"/>
            <w:vAlign w:val="center"/>
          </w:tcPr>
          <w:p>
            <w:r>
              <w:rPr>
                <w:sz w:val="20"/>
                <w:szCs w:val="20"/>
              </w:rPr>
              <w:t xml:space="preserve">D7</w:t>
            </w:r>
          </w:p>
        </w:tc>
        <w:tc>
          <w:tcPr>
            <w:tcW w:type="dxa" w:w="4000"/>
            <w:vAlign w:val="center"/>
          </w:tcPr>
          <w:p>
            <w:r>
              <w:rPr>
                <w:sz w:val="20"/>
                <w:szCs w:val="20"/>
              </w:rPr>
              <w:t xml:space="preserve">IT Master Calendar</w:t>
            </w:r>
          </w:p>
        </w:tc>
        <w:tc>
          <w:tcPr>
            <w:tcW w:type="dxa" w:w="1500"/>
            <w:vAlign w:val="center"/>
          </w:tcPr>
          <w:p>
            <w:r>
              <w:rPr>
                <w:sz w:val="20"/>
                <w:szCs w:val="20"/>
              </w:rPr>
              <w:t xml:space="preserve">D4-D5</w:t>
            </w:r>
          </w:p>
        </w:tc>
        <w:tc>
          <w:tcPr>
            <w:tcW w:type="dxa" w:w="3360"/>
            <w:vAlign w:val="center"/>
          </w:tcPr>
          <w:p>
            <w:r>
              <w:rPr>
                <w:sz w:val="20"/>
                <w:szCs w:val="20"/>
              </w:rPr>
              <w:t xml:space="preserve">Week 20</w:t>
            </w:r>
          </w:p>
        </w:tc>
      </w:tr>
      <w:tr>
        <w:tc>
          <w:tcPr>
            <w:tcW w:type="dxa" w:w="500"/>
            <w:vAlign w:val="center"/>
          </w:tcPr>
          <w:p>
            <w:r>
              <w:rPr>
                <w:sz w:val="20"/>
                <w:szCs w:val="20"/>
              </w:rPr>
              <w:t xml:space="preserve">D8</w:t>
            </w:r>
          </w:p>
        </w:tc>
        <w:tc>
          <w:tcPr>
            <w:tcW w:type="dxa" w:w="4000"/>
            <w:vAlign w:val="center"/>
          </w:tcPr>
          <w:p>
            <w:r>
              <w:rPr>
                <w:sz w:val="20"/>
                <w:szCs w:val="20"/>
              </w:rPr>
              <w:t xml:space="preserve">Enhanced GDA Tools</w:t>
            </w:r>
          </w:p>
        </w:tc>
        <w:tc>
          <w:tcPr>
            <w:tcW w:type="dxa" w:w="1500"/>
            <w:vAlign w:val="center"/>
          </w:tcPr>
          <w:p>
            <w:r>
              <w:rPr>
                <w:sz w:val="20"/>
                <w:szCs w:val="20"/>
              </w:rPr>
              <w:t xml:space="preserve">D5</w:t>
            </w:r>
          </w:p>
        </w:tc>
        <w:tc>
          <w:tcPr>
            <w:tcW w:type="dxa" w:w="3360"/>
            <w:vAlign w:val="center"/>
          </w:tcPr>
          <w:p>
            <w:r>
              <w:rPr>
                <w:sz w:val="20"/>
                <w:szCs w:val="20"/>
              </w:rPr>
              <w:t xml:space="preserve">Week 22</w:t>
            </w:r>
          </w:p>
        </w:tc>
      </w:tr>
      <w:tr>
        <w:tc>
          <w:tcPr>
            <w:tcW w:type="dxa" w:w="100"/>
          </w:tcPr>
          <w:p>
            <w:r>
              <w:t>D9</w:t>
            </w:r>
          </w:p>
        </w:tc>
        <w:tc>
          <w:tcPr>
            <w:tcW w:type="dxa" w:w="100"/>
          </w:tcPr>
          <w:p>
            <w:r>
              <w:t>IT Events Readiness (To-Be) - Design and Prototype Only (No Go-Live)</w:t>
            </w:r>
          </w:p>
        </w:tc>
        <w:tc>
          <w:tcPr>
            <w:tcW w:type="dxa" w:w="100"/>
          </w:tcPr>
          <w:p>
            <w:r>
              <w:t>D1-D3</w:t>
            </w:r>
          </w:p>
        </w:tc>
        <w:tc>
          <w:tcPr>
            <w:tcW w:type="dxa" w:w="100"/>
          </w:tcPr>
          <w:p>
            <w:r>
              <w:t>Within Phase II</w:t>
            </w:r>
          </w:p>
        </w:tc>
      </w:tr>
    </w:tbl>
    <w:p>
      <w:r>
        <w:rPr>
          <w:b/>
          <w:sz w:val="28"/>
        </w:rPr>
        <w:t>1.3 Scope and Commercial Guardrails</w:t>
      </w:r>
    </w:p>
    <w:p>
      <w:r>
        <w:t>10. Any client-driven checklist changes outside the agreed change control process, especially during live operations.</w:t>
      </w:r>
    </w:p>
    <w:p>
      <w:r>
        <w:t>9. New dashboards, new administrative consoles, additional roles or permissions models beyond the agreed baseline, or any cross-system write-back logic not explicitly contracted.</w:t>
      </w:r>
    </w:p>
    <w:p>
      <w:r>
        <w:t>8. IT Events Readiness production build, integrations, UAT, or go-live.</w:t>
      </w:r>
    </w:p>
    <w:p>
      <w:r>
        <w:t>7. Stadium Certification production build, integrations, UAT, or go-live for the 2026 season. Hall of Fame and international stadium workflows are explicitly out of scope.</w:t>
      </w:r>
    </w:p>
    <w:p>
      <w:r>
        <w:rPr>
          <w:b/>
          <w:sz w:val="24"/>
        </w:rPr>
        <w:t>Out of Scope (Requires Change Order)</w:t>
      </w:r>
    </w:p>
    <w:p>
      <w:r>
        <w:t>6. Stadium Certification and IT Events Readiness will be addressed through workshops, requirements forensics, and a simulator-level prototype only. This work produces a To-Be workflow, a prototype walkthrough, and an implementation backlog with estimated effort. It does not include production build, integrations, UAT, or go-live in Phase II.</w:t>
      </w:r>
    </w:p>
    <w:p>
      <w:r>
        <w:rPr>
          <w:b/>
          <w:sz w:val="24"/>
        </w:rPr>
        <w:t>Good-Faith Support (NIN 3Ds Only: Discover, Diagnose, Design)</w:t>
      </w:r>
    </w:p>
    <w:p>
      <w:r>
        <w:t>5. Training, UAT support, and go-live for the GDA module by June 30, 2026, contingent on contract execution and NFL-provided dependencies.</w:t>
      </w:r>
    </w:p>
    <w:p>
      <w:r>
        <w:t>4. Limited integrations and data exchanges explicitly enumerated in the contract or Appendix (no implied integrations).</w:t>
      </w:r>
    </w:p>
    <w:p>
      <w:r>
        <w:t>3. Security hardening and access controls for NFL deployment, including configuration controls to protect playbooks and core logic.</w:t>
      </w:r>
    </w:p>
    <w:p>
      <w:r>
        <w:t>2. EVERGAME as the system of record for the GDA readiness program (replacing spreadsheets as the authoritative operational workspace).</w:t>
      </w:r>
    </w:p>
    <w:p>
      <w:r>
        <w:t>1. GDA Readiness and Certification implementation (production) including 2026 GDA checklist playbooks, evidence capture workflow, and game day dashboards.</w:t>
      </w:r>
    </w:p>
    <w:p>
      <w:r>
        <w:rPr>
          <w:b/>
          <w:sz w:val="24"/>
        </w:rPr>
        <w:t>Base Contract Scope (In Scope)</w:t>
      </w:r>
    </w:p>
    <w:p>
      <w:r>
        <w:t>This engagement is structured as a dual-track program: (1) a contracted build and deployment for the GDA Readiness and Certification capability, and (2) good-faith NIN workshops (Discover, Diagnose, Design) for adjacent domains to establish an authoritative source of truth and a priced implementation backlog. To prevent scope creep and protect both parties, the boundaries below are binding for Phase II unless and until changed via formal change order.</w:t>
      </w:r>
    </w:p>
    <w:p/>
    <w:p>
      <w:pPr>
        <w:spacing w:before="400" w:after="200"/>
      </w:pPr>
      <w:r>
        <w:rPr>
          <w:b/>
          <w:bCs/>
          <w:color w:val="1B2B3D"/>
          <w:sz w:val="32"/>
          <w:szCs w:val="32"/>
        </w:rPr>
        <w:t xml:space="preserve">2. CLIENT RESPONSIBILITIES (Binding Requirements)</w:t>
      </w:r>
    </w:p>
    <w:p>
      <w:pPr>
        <w:pBdr>
          <w:left w:val="single" w:color="E67E22" w:sz="24"/>
        </w:pBdr>
        <w:spacing w:before="200" w:after="200"/>
        <w:ind w:left="200"/>
      </w:pPr>
      <w:r>
        <w:rPr>
          <w:sz w:val="22"/>
          <w:szCs w:val="22"/>
        </w:rPr>
        <w:t xml:space="preserve">⚠ </w:t>
      </w:r>
      <w:r>
        <w:rPr>
          <w:b/>
          <w:bCs/>
          <w:color w:val="E67E22"/>
          <w:sz w:val="20"/>
          <w:szCs w:val="20"/>
        </w:rPr>
        <w:t xml:space="preserve">CLIENT ACKNOWLEDGMENT: Failure to meet the responsibilities outlined in this section may result in timeline delays, increased costs, or scope reduction. NOVATE will document all client-attributable delays in the Evidence Ledger.</w:t>
      </w:r>
    </w:p>
    <w:p>
      <w:pPr>
        <w:spacing w:before="300" w:after="200"/>
      </w:pPr>
      <w:r>
        <w:rPr>
          <w:b/>
          <w:bCs/>
          <w:color w:val="2B6B7D"/>
          <w:sz w:val="26"/>
          <w:szCs w:val="26"/>
        </w:rPr>
        <w:t xml:space="preserve">2.1 Executive Sponsorship Requirements</w:t>
      </w:r>
    </w:p>
    <w:p>
      <w:pPr>
        <w:pStyle w:val="ListParagraph"/>
        <w:numPr>
          <w:ilvl w:val="0"/>
          <w:numId w:val="1"/>
        </w:numPr>
        <w:spacing w:after="80"/>
      </w:pPr>
      <w:r>
        <w:rPr>
          <w:sz w:val="20"/>
          <w:szCs w:val="20"/>
        </w:rPr>
        <w:t xml:space="preserve">Designate VP-level or above Executive Sponsor with decision-making authority</w:t>
      </w:r>
    </w:p>
    <w:p>
      <w:pPr>
        <w:pStyle w:val="ListParagraph"/>
        <w:numPr>
          <w:ilvl w:val="0"/>
          <w:numId w:val="1"/>
        </w:numPr>
        <w:spacing w:after="80"/>
      </w:pPr>
      <w:r>
        <w:rPr>
          <w:sz w:val="20"/>
          <w:szCs w:val="20"/>
        </w:rPr>
        <w:t>Attend monthly Executive Steering Committee meetings (minimum 80% attendance) and bi-weekly Technical Advisory Committee meetings as required for decisions.</w:t>
      </w:r>
    </w:p>
    <w:p>
      <w:pPr>
        <w:pStyle w:val="ListParagraph"/>
        <w:numPr>
          <w:ilvl w:val="0"/>
          <w:numId w:val="1"/>
        </w:numPr>
        <w:spacing w:after="80"/>
      </w:pPr>
      <w:r>
        <w:rPr>
          <w:sz w:val="20"/>
          <w:szCs w:val="20"/>
        </w:rPr>
        <w:t>Provide stage gate approvals within 3 business days of submission (or formally reject with rationale and next-step guidance).</w:t>
      </w:r>
    </w:p>
    <w:p>
      <w:pPr>
        <w:pStyle w:val="ListParagraph"/>
        <w:numPr>
          <w:ilvl w:val="0"/>
          <w:numId w:val="1"/>
        </w:numPr>
        <w:spacing w:after="80"/>
      </w:pPr>
      <w:r>
        <w:rPr>
          <w:sz w:val="20"/>
          <w:szCs w:val="20"/>
        </w:rPr>
        <w:t xml:space="preserve">Respond to escalation requests within 24 hours</w:t>
      </w:r>
    </w:p>
    <w:p>
      <w:pPr>
        <w:pStyle w:val="ListParagraph"/>
        <w:numPr>
          <w:ilvl w:val="0"/>
          <w:numId w:val="1"/>
        </w:numPr>
        <w:spacing w:after="80"/>
      </w:pPr>
      <w:r>
        <w:rPr>
          <w:sz w:val="20"/>
          <w:szCs w:val="20"/>
        </w:rPr>
        <w:t xml:space="preserve">Maintain budget authority for approved scope and contingency</w:t>
      </w:r>
    </w:p>
    <w:p>
      <w:r>
        <w:rPr>
          <w:b/>
          <w:sz w:val="24"/>
        </w:rPr>
        <w:t>2.1.1 Governance Bodies and Cadence</w:t>
      </w:r>
    </w:p>
    <w:p>
      <w:r>
        <w:t>The engagement will be governed through three layers to ensure decision velocity, source-of-truth alignment, and change control.</w:t>
      </w:r>
    </w:p>
    <w:tbl>
      <w:tblPr>
        <w:tblW w:type="auto" w:w="0"/>
        <w:tblLook w:firstColumn="1" w:firstRow="1" w:lastColumn="0" w:lastRow="0" w:noHBand="0" w:noVBand="1" w:val="04A0"/>
      </w:tblPr>
      <w:tblGrid>
        <w:gridCol w:w="2340"/>
        <w:gridCol w:w="2340"/>
        <w:gridCol w:w="2340"/>
        <w:gridCol w:w="2340"/>
      </w:tblGrid>
      <w:tr>
        <w:tc>
          <w:tcPr>
            <w:tcW w:type="dxa" w:w="2340"/>
          </w:tcPr>
          <w:p>
            <w:r>
              <w:t>Body</w:t>
            </w:r>
          </w:p>
        </w:tc>
        <w:tc>
          <w:tcPr>
            <w:tcW w:type="dxa" w:w="2340"/>
          </w:tcPr>
          <w:p>
            <w:r>
              <w:t>Purpose</w:t>
            </w:r>
          </w:p>
        </w:tc>
        <w:tc>
          <w:tcPr>
            <w:tcW w:type="dxa" w:w="2340"/>
          </w:tcPr>
          <w:p>
            <w:r>
              <w:t>Cadence</w:t>
            </w:r>
          </w:p>
        </w:tc>
        <w:tc>
          <w:tcPr>
            <w:tcW w:type="dxa" w:w="2340"/>
          </w:tcPr>
          <w:p>
            <w:r>
              <w:t>Decision Rights</w:t>
            </w:r>
          </w:p>
        </w:tc>
      </w:tr>
      <w:tr>
        <w:tc>
          <w:tcPr>
            <w:tcW w:type="dxa" w:w="2340"/>
          </w:tcPr>
          <w:p>
            <w:r>
              <w:t>Executive Steering Committee (NFL approval triad + NOVATE steering)</w:t>
            </w:r>
          </w:p>
        </w:tc>
        <w:tc>
          <w:tcPr>
            <w:tcW w:type="dxa" w:w="2340"/>
          </w:tcPr>
          <w:p>
            <w:r>
              <w:t>Approve scope, funding, go-live, and major changes. Resolve escalations.</w:t>
            </w:r>
          </w:p>
        </w:tc>
        <w:tc>
          <w:tcPr>
            <w:tcW w:type="dxa" w:w="2340"/>
          </w:tcPr>
          <w:p>
            <w:r>
              <w:t>Monthly (3rd week, Thu, 1 hour) plus ad hoc as needed</w:t>
            </w:r>
          </w:p>
        </w:tc>
        <w:tc>
          <w:tcPr>
            <w:tcW w:type="dxa" w:w="2340"/>
          </w:tcPr>
          <w:p>
            <w:r>
              <w:t>Major scope and budget changes; go-live authorization</w:t>
            </w:r>
          </w:p>
        </w:tc>
      </w:tr>
      <w:tr>
        <w:tc>
          <w:tcPr>
            <w:tcW w:type="dxa" w:w="2340"/>
          </w:tcPr>
          <w:p>
            <w:r>
              <w:t>Technical Advisory Committee (NFL workstream leads + NOVATE leads)</w:t>
            </w:r>
          </w:p>
        </w:tc>
        <w:tc>
          <w:tcPr>
            <w:tcW w:type="dxa" w:w="2340"/>
          </w:tcPr>
          <w:p>
            <w:r>
              <w:t>Validate source of truth, requirements, workflow decisions, and change requests before implementation.</w:t>
            </w:r>
          </w:p>
        </w:tc>
        <w:tc>
          <w:tcPr>
            <w:tcW w:type="dxa" w:w="2340"/>
          </w:tcPr>
          <w:p>
            <w:r>
              <w:t>Bi-weekly (60-90 min)</w:t>
            </w:r>
          </w:p>
        </w:tc>
        <w:tc>
          <w:tcPr>
            <w:tcW w:type="dxa" w:w="2340"/>
          </w:tcPr>
          <w:p>
            <w:r>
              <w:t>Process decisions, minor scope changes within baseline</w:t>
            </w:r>
          </w:p>
        </w:tc>
      </w:tr>
      <w:tr>
        <w:tc>
          <w:tcPr>
            <w:tcW w:type="dxa" w:w="2340"/>
          </w:tcPr>
          <w:p>
            <w:r>
              <w:t>Technical Delivery Sync (NOVATE build team + NFL SMEs as needed)</w:t>
            </w:r>
          </w:p>
        </w:tc>
        <w:tc>
          <w:tcPr>
            <w:tcW w:type="dxa" w:w="2340"/>
          </w:tcPr>
          <w:p>
            <w:r>
              <w:t>Execute delivery, remove blockers, confirm technical assumptions.</w:t>
            </w:r>
          </w:p>
        </w:tc>
        <w:tc>
          <w:tcPr>
            <w:tcW w:type="dxa" w:w="2340"/>
          </w:tcPr>
          <w:p>
            <w:r>
              <w:t>2x per week</w:t>
            </w:r>
          </w:p>
        </w:tc>
        <w:tc>
          <w:tcPr>
            <w:tcW w:type="dxa" w:w="2340"/>
          </w:tcPr>
          <w:p>
            <w:r>
              <w:t>Technical decisions within agreed architecture; no scope changes</w:t>
            </w:r>
          </w:p>
        </w:tc>
      </w:tr>
    </w:tbl>
    <w:p>
      <w:pPr>
        <w:spacing w:before="300" w:after="200"/>
      </w:pPr>
      <w:r>
        <w:rPr>
          <w:b/>
          <w:bCs/>
          <w:color w:val="2B6B7D"/>
          <w:sz w:val="26"/>
          <w:szCs w:val="26"/>
        </w:rPr>
        <w:t xml:space="preserve">2.2 Stakeholder Availability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B2B3D"/>
            <w:vAlign w:val="center"/>
          </w:tcPr>
          <w:p>
            <w:pPr>
              <w:jc w:val="center"/>
            </w:pPr>
            <w:r>
              <w:rPr>
                <w:b/>
                <w:bCs/>
                <w:color w:val="FFFFFF"/>
                <w:sz w:val="20"/>
                <w:szCs w:val="20"/>
              </w:rPr>
              <w:t xml:space="preserve">Stakeholder Group</w:t>
            </w:r>
          </w:p>
        </w:tc>
        <w:tc>
          <w:tcPr>
            <w:tcW w:type="dxa" w:w="2200"/>
            <w:shd w:fill="1B2B3D"/>
            <w:vAlign w:val="center"/>
          </w:tcPr>
          <w:p>
            <w:pPr>
              <w:jc w:val="center"/>
            </w:pPr>
            <w:r>
              <w:rPr>
                <w:b/>
                <w:bCs/>
                <w:color w:val="FFFFFF"/>
                <w:sz w:val="20"/>
                <w:szCs w:val="20"/>
              </w:rPr>
              <w:t xml:space="preserve">Availability</w:t>
            </w:r>
          </w:p>
        </w:tc>
        <w:tc>
          <w:tcPr>
            <w:tcW w:type="dxa" w:w="2200"/>
            <w:shd w:fill="1B2B3D"/>
            <w:vAlign w:val="center"/>
          </w:tcPr>
          <w:p>
            <w:pPr>
              <w:jc w:val="center"/>
            </w:pPr>
            <w:r>
              <w:rPr>
                <w:b/>
                <w:bCs/>
                <w:color w:val="FFFFFF"/>
                <w:sz w:val="20"/>
                <w:szCs w:val="20"/>
              </w:rPr>
              <w:t xml:space="preserve">Response SLA</w:t>
            </w:r>
          </w:p>
        </w:tc>
        <w:tc>
          <w:tcPr>
            <w:tcW w:type="dxa" w:w="2460"/>
            <w:shd w:fill="1B2B3D"/>
            <w:vAlign w:val="center"/>
          </w:tcPr>
          <w:p>
            <w:pPr>
              <w:jc w:val="center"/>
            </w:pPr>
            <w:r>
              <w:rPr>
                <w:b/>
                <w:bCs/>
                <w:color w:val="FFFFFF"/>
                <w:sz w:val="20"/>
                <w:szCs w:val="20"/>
              </w:rPr>
              <w:t xml:space="preserve">Phases</w:t>
            </w:r>
          </w:p>
        </w:tc>
      </w:tr>
      <w:tr>
        <w:tc>
          <w:tcPr>
            <w:tcW w:type="dxa" w:w="2500"/>
            <w:vAlign w:val="center"/>
          </w:tcPr>
          <w:p>
            <w:r>
              <w:rPr>
                <w:sz w:val="20"/>
                <w:szCs w:val="20"/>
              </w:rPr>
              <w:t xml:space="preserve">NFL IT Leadership</w:t>
            </w:r>
          </w:p>
        </w:tc>
        <w:tc>
          <w:tcPr>
            <w:tcW w:type="dxa" w:w="2200"/>
            <w:vAlign w:val="center"/>
          </w:tcPr>
          <w:p>
            <w:r>
              <w:rPr>
                <w:sz w:val="20"/>
                <w:szCs w:val="20"/>
              </w:rPr>
              <w:t xml:space="preserve">4 hours/week</w:t>
            </w:r>
          </w:p>
        </w:tc>
        <w:tc>
          <w:tcPr>
            <w:tcW w:type="dxa" w:w="2200"/>
            <w:vAlign w:val="center"/>
          </w:tcPr>
          <w:p>
            <w:r>
              <w:rPr>
                <w:sz w:val="20"/>
                <w:szCs w:val="20"/>
              </w:rPr>
              <w:t xml:space="preserve">24 hours</w:t>
            </w:r>
          </w:p>
        </w:tc>
        <w:tc>
          <w:tcPr>
            <w:tcW w:type="dxa" w:w="2460"/>
            <w:vAlign w:val="center"/>
          </w:tcPr>
          <w:p>
            <w:r>
              <w:rPr>
                <w:sz w:val="20"/>
                <w:szCs w:val="20"/>
              </w:rPr>
              <w:t xml:space="preserve">All (D1-D5)</w:t>
            </w:r>
          </w:p>
        </w:tc>
      </w:tr>
      <w:tr>
        <w:tc>
          <w:tcPr>
            <w:tcW w:type="dxa" w:w="2500"/>
            <w:vAlign w:val="center"/>
          </w:tcPr>
          <w:p>
            <w:r>
              <w:rPr>
                <w:sz w:val="20"/>
                <w:szCs w:val="20"/>
              </w:rPr>
              <w:t xml:space="preserve">Technical SMEs</w:t>
            </w:r>
          </w:p>
        </w:tc>
        <w:tc>
          <w:tcPr>
            <w:tcW w:type="dxa" w:w="2200"/>
            <w:vAlign w:val="center"/>
          </w:tcPr>
          <w:p>
            <w:r>
              <w:rPr>
                <w:sz w:val="20"/>
                <w:szCs w:val="20"/>
              </w:rPr>
              <w:t xml:space="preserve">8 hours/week (D2-D3)</w:t>
            </w:r>
          </w:p>
        </w:tc>
        <w:tc>
          <w:tcPr>
            <w:tcW w:type="dxa" w:w="2200"/>
            <w:vAlign w:val="center"/>
          </w:tcPr>
          <w:p>
            <w:r>
              <w:rPr>
                <w:sz w:val="20"/>
                <w:szCs w:val="20"/>
              </w:rPr>
              <w:t xml:space="preserve">48 hours</w:t>
            </w:r>
          </w:p>
        </w:tc>
        <w:tc>
          <w:tcPr>
            <w:tcW w:type="dxa" w:w="2460"/>
            <w:vAlign w:val="center"/>
          </w:tcPr>
          <w:p>
            <w:r>
              <w:rPr>
                <w:sz w:val="20"/>
                <w:szCs w:val="20"/>
              </w:rPr>
              <w:t xml:space="preserve">D2, D3, D4</w:t>
            </w:r>
          </w:p>
        </w:tc>
      </w:tr>
      <w:tr>
        <w:tc>
          <w:tcPr>
            <w:tcW w:type="dxa" w:w="2500"/>
            <w:vAlign w:val="center"/>
          </w:tcPr>
          <w:p>
            <w:r>
              <w:rPr>
                <w:sz w:val="20"/>
                <w:szCs w:val="20"/>
              </w:rPr>
              <w:t xml:space="preserve">GDA Representatives</w:t>
            </w:r>
          </w:p>
        </w:tc>
        <w:tc>
          <w:tcPr>
            <w:tcW w:type="dxa" w:w="2200"/>
            <w:vAlign w:val="center"/>
          </w:tcPr>
          <w:p>
            <w:r>
              <w:rPr>
                <w:sz w:val="20"/>
                <w:szCs w:val="20"/>
              </w:rPr>
              <w:t xml:space="preserve">5-person pilot team</w:t>
            </w:r>
          </w:p>
        </w:tc>
        <w:tc>
          <w:tcPr>
            <w:tcW w:type="dxa" w:w="2200"/>
            <w:vAlign w:val="center"/>
          </w:tcPr>
          <w:p>
            <w:r>
              <w:rPr>
                <w:sz w:val="20"/>
                <w:szCs w:val="20"/>
              </w:rPr>
              <w:t xml:space="preserve">72 hours</w:t>
            </w:r>
          </w:p>
        </w:tc>
        <w:tc>
          <w:tcPr>
            <w:tcW w:type="dxa" w:w="2460"/>
            <w:vAlign w:val="center"/>
          </w:tcPr>
          <w:p>
            <w:r>
              <w:rPr>
                <w:sz w:val="20"/>
                <w:szCs w:val="20"/>
              </w:rPr>
              <w:t xml:space="preserve">D1, D3, D4</w:t>
            </w:r>
          </w:p>
        </w:tc>
      </w:tr>
      <w:tr>
        <w:tc>
          <w:tcPr>
            <w:tcW w:type="dxa" w:w="2500"/>
            <w:vAlign w:val="center"/>
          </w:tcPr>
          <w:p>
            <w:r>
              <w:rPr>
                <w:sz w:val="20"/>
                <w:szCs w:val="20"/>
              </w:rPr>
              <w:t xml:space="preserve">Stadium IT Leads</w:t>
            </w:r>
          </w:p>
        </w:tc>
        <w:tc>
          <w:tcPr>
            <w:tcW w:type="dxa" w:w="2200"/>
            <w:vAlign w:val="center"/>
          </w:tcPr>
          <w:p>
            <w:r>
              <w:rPr>
                <w:sz w:val="20"/>
                <w:szCs w:val="20"/>
              </w:rPr>
              <w:t xml:space="preserve">3 pilot stadiums</w:t>
            </w:r>
          </w:p>
        </w:tc>
        <w:tc>
          <w:tcPr>
            <w:tcW w:type="dxa" w:w="2200"/>
            <w:vAlign w:val="center"/>
          </w:tcPr>
          <w:p>
            <w:r>
              <w:rPr>
                <w:sz w:val="20"/>
                <w:szCs w:val="20"/>
              </w:rPr>
              <w:t xml:space="preserve">72 hours</w:t>
            </w:r>
          </w:p>
        </w:tc>
        <w:tc>
          <w:tcPr>
            <w:tcW w:type="dxa" w:w="2460"/>
            <w:vAlign w:val="center"/>
          </w:tcPr>
          <w:p>
            <w:r>
              <w:rPr>
                <w:sz w:val="20"/>
                <w:szCs w:val="20"/>
              </w:rPr>
              <w:t xml:space="preserve">D3, D4</w:t>
            </w:r>
          </w:p>
        </w:tc>
      </w:tr>
      <w:tr>
        <w:tc>
          <w:tcPr>
            <w:tcW w:type="dxa" w:w="2500"/>
            <w:vAlign w:val="center"/>
          </w:tcPr>
          <w:p>
            <w:r>
              <w:rPr>
                <w:sz w:val="20"/>
                <w:szCs w:val="20"/>
              </w:rPr>
              <w:t xml:space="preserve">Vendor Partners</w:t>
            </w:r>
          </w:p>
        </w:tc>
        <w:tc>
          <w:tcPr>
            <w:tcW w:type="dxa" w:w="2200"/>
            <w:vAlign w:val="center"/>
          </w:tcPr>
          <w:p>
            <w:r>
              <w:rPr>
                <w:sz w:val="20"/>
                <w:szCs w:val="20"/>
              </w:rPr>
              <w:t xml:space="preserve">Named contacts</w:t>
            </w:r>
          </w:p>
        </w:tc>
        <w:tc>
          <w:tcPr>
            <w:tcW w:type="dxa" w:w="2200"/>
            <w:vAlign w:val="center"/>
          </w:tcPr>
          <w:p>
            <w:r>
              <w:rPr>
                <w:sz w:val="20"/>
                <w:szCs w:val="20"/>
              </w:rPr>
              <w:t xml:space="preserve">1 week</w:t>
            </w:r>
          </w:p>
        </w:tc>
        <w:tc>
          <w:tcPr>
            <w:tcW w:type="dxa" w:w="2460"/>
            <w:vAlign w:val="center"/>
          </w:tcPr>
          <w:p>
            <w:r>
              <w:rPr>
                <w:sz w:val="20"/>
                <w:szCs w:val="20"/>
              </w:rPr>
              <w:t xml:space="preserve">D2, D3, D4</w:t>
            </w:r>
          </w:p>
        </w:tc>
      </w:tr>
    </w:tbl>
    <w:p>
      <w:pPr>
        <w:spacing w:before="300" w:after="200"/>
      </w:pPr>
      <w:r>
        <w:rPr>
          <w:b/>
          <w:bCs/>
          <w:color w:val="2B6B7D"/>
          <w:sz w:val="26"/>
          <w:szCs w:val="26"/>
        </w:rPr>
        <w:t xml:space="preserve">2.3 Documentation &amp;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shd w:fill="1B2B3D"/>
            <w:vAlign w:val="center"/>
          </w:tcPr>
          <w:p>
            <w:pPr>
              <w:jc w:val="center"/>
            </w:pPr>
            <w:r>
              <w:rPr>
                <w:b/>
                <w:bCs/>
                <w:color w:val="FFFFFF"/>
                <w:sz w:val="20"/>
                <w:szCs w:val="20"/>
              </w:rPr>
              <w:t xml:space="preserve">Document Category</w:t>
            </w:r>
          </w:p>
        </w:tc>
        <w:tc>
          <w:tcPr>
            <w:tcW w:type="dxa" w:w="2000"/>
            <w:shd w:fill="1B2B3D"/>
            <w:vAlign w:val="center"/>
          </w:tcPr>
          <w:p>
            <w:pPr>
              <w:jc w:val="center"/>
            </w:pPr>
            <w:r>
              <w:rPr>
                <w:b/>
                <w:bCs/>
                <w:color w:val="FFFFFF"/>
                <w:sz w:val="20"/>
                <w:szCs w:val="20"/>
              </w:rPr>
              <w:t xml:space="preserve">Required By</w:t>
            </w:r>
          </w:p>
        </w:tc>
        <w:tc>
          <w:tcPr>
            <w:tcW w:type="dxa" w:w="1800"/>
            <w:shd w:fill="1B2B3D"/>
            <w:vAlign w:val="center"/>
          </w:tcPr>
          <w:p>
            <w:pPr>
              <w:jc w:val="center"/>
            </w:pPr>
            <w:r>
              <w:rPr>
                <w:b/>
                <w:bCs/>
                <w:color w:val="FFFFFF"/>
                <w:sz w:val="20"/>
                <w:szCs w:val="20"/>
              </w:rPr>
              <w:t xml:space="preserve">Priority</w:t>
            </w:r>
          </w:p>
        </w:tc>
        <w:tc>
          <w:tcPr>
            <w:tcW w:type="dxa" w:w="2060"/>
            <w:shd w:fill="1B2B3D"/>
            <w:vAlign w:val="center"/>
          </w:tcPr>
          <w:p>
            <w:pPr>
              <w:jc w:val="center"/>
            </w:pPr>
            <w:r>
              <w:rPr>
                <w:b/>
                <w:bCs/>
                <w:color w:val="FFFFFF"/>
                <w:sz w:val="20"/>
                <w:szCs w:val="20"/>
              </w:rPr>
              <w:t xml:space="preserve">Status</w:t>
            </w:r>
          </w:p>
        </w:tc>
      </w:tr>
      <w:tr>
        <w:tc>
          <w:tcPr>
            <w:tcW w:type="dxa" w:w="3500"/>
            <w:vAlign w:val="center"/>
          </w:tcPr>
          <w:p>
            <w:r>
              <w:rPr>
                <w:sz w:val="20"/>
                <w:szCs w:val="20"/>
              </w:rPr>
              <w:t xml:space="preserve">Strategic roadmaps &amp; board presentations</w:t>
            </w:r>
          </w:p>
        </w:tc>
        <w:tc>
          <w:tcPr>
            <w:tcW w:type="dxa" w:w="2000"/>
            <w:vAlign w:val="center"/>
          </w:tcPr>
          <w:p>
            <w:r>
              <w:rPr>
                <w:sz w:val="20"/>
                <w:szCs w:val="20"/>
              </w:rPr>
              <w:t xml:space="preserve">Week 1</w:t>
            </w:r>
          </w:p>
        </w:tc>
        <w:tc>
          <w:tcPr>
            <w:tcW w:type="dxa" w:w="1800"/>
            <w:vAlign w:val="center"/>
          </w:tcPr>
          <w:p>
            <w:r>
              <w:rPr>
                <w:sz w:val="20"/>
                <w:szCs w:val="20"/>
              </w:rPr>
              <w:t xml:space="preserve">CRITICAL</w:t>
            </w:r>
          </w:p>
        </w:tc>
        <w:tc>
          <w:tcPr>
            <w:tcW w:type="dxa" w:w="2060"/>
            <w:vAlign w:val="center"/>
          </w:tcPr>
          <w:p>
            <w:pPr>
              <w:jc w:val="center"/>
            </w:pPr>
            <w:r>
              <w:rPr>
                <w:sz w:val="22"/>
                <w:szCs w:val="22"/>
              </w:rPr>
              <w:t xml:space="preserve">☐</w:t>
            </w:r>
          </w:p>
        </w:tc>
      </w:tr>
      <w:tr>
        <w:tc>
          <w:tcPr>
            <w:tcW w:type="dxa" w:w="3500"/>
            <w:vAlign w:val="center"/>
          </w:tcPr>
          <w:p>
            <w:r>
              <w:rPr>
                <w:sz w:val="20"/>
                <w:szCs w:val="20"/>
              </w:rPr>
              <w:t xml:space="preserve">Technical architecture &amp; system diagrams</w:t>
            </w:r>
          </w:p>
        </w:tc>
        <w:tc>
          <w:tcPr>
            <w:tcW w:type="dxa" w:w="2000"/>
            <w:vAlign w:val="center"/>
          </w:tcPr>
          <w:p>
            <w:r>
              <w:rPr>
                <w:sz w:val="20"/>
                <w:szCs w:val="20"/>
              </w:rPr>
              <w:t xml:space="preserve">Week 2</w:t>
            </w:r>
          </w:p>
        </w:tc>
        <w:tc>
          <w:tcPr>
            <w:tcW w:type="dxa" w:w="1800"/>
            <w:vAlign w:val="center"/>
          </w:tcPr>
          <w:p>
            <w:r>
              <w:rPr>
                <w:sz w:val="20"/>
                <w:szCs w:val="20"/>
              </w:rPr>
              <w:t xml:space="preserve">CRITICAL</w:t>
            </w:r>
          </w:p>
        </w:tc>
        <w:tc>
          <w:tcPr>
            <w:tcW w:type="dxa" w:w="2060"/>
            <w:vAlign w:val="center"/>
          </w:tcPr>
          <w:p>
            <w:pPr>
              <w:jc w:val="center"/>
            </w:pPr>
            <w:r>
              <w:rPr>
                <w:sz w:val="22"/>
                <w:szCs w:val="22"/>
              </w:rPr>
              <w:t xml:space="preserve">☐</w:t>
            </w:r>
          </w:p>
        </w:tc>
      </w:tr>
      <w:tr>
        <w:tc>
          <w:tcPr>
            <w:tcW w:type="dxa" w:w="3500"/>
            <w:vAlign w:val="center"/>
          </w:tcPr>
          <w:p>
            <w:r>
              <w:rPr>
                <w:sz w:val="20"/>
                <w:szCs w:val="20"/>
              </w:rPr>
              <w:t xml:space="preserve">Current operational processes &amp; workflows</w:t>
            </w:r>
          </w:p>
        </w:tc>
        <w:tc>
          <w:tcPr>
            <w:tcW w:type="dxa" w:w="2000"/>
            <w:vAlign w:val="center"/>
          </w:tcPr>
          <w:p>
            <w:r>
              <w:rPr>
                <w:sz w:val="20"/>
                <w:szCs w:val="20"/>
              </w:rPr>
              <w:t xml:space="preserve">Week 2</w:t>
            </w:r>
          </w:p>
        </w:tc>
        <w:tc>
          <w:tcPr>
            <w:tcW w:type="dxa" w:w="1800"/>
            <w:vAlign w:val="center"/>
          </w:tcPr>
          <w:p>
            <w:r>
              <w:rPr>
                <w:sz w:val="20"/>
                <w:szCs w:val="20"/>
              </w:rPr>
              <w:t xml:space="preserve">HIGH</w:t>
            </w:r>
          </w:p>
        </w:tc>
        <w:tc>
          <w:tcPr>
            <w:tcW w:type="dxa" w:w="2060"/>
            <w:vAlign w:val="center"/>
          </w:tcPr>
          <w:p>
            <w:pPr>
              <w:jc w:val="center"/>
            </w:pPr>
            <w:r>
              <w:rPr>
                <w:sz w:val="22"/>
                <w:szCs w:val="22"/>
              </w:rPr>
              <w:t xml:space="preserve">☐</w:t>
            </w:r>
          </w:p>
        </w:tc>
      </w:tr>
      <w:tr>
        <w:tc>
          <w:tcPr>
            <w:tcW w:type="dxa" w:w="3500"/>
            <w:vAlign w:val="center"/>
          </w:tcPr>
          <w:p>
            <w:r>
              <w:rPr>
                <w:sz w:val="20"/>
                <w:szCs w:val="20"/>
              </w:rPr>
              <w:t xml:space="preserve">Historical performance data &amp; KPIs</w:t>
            </w:r>
          </w:p>
        </w:tc>
        <w:tc>
          <w:tcPr>
            <w:tcW w:type="dxa" w:w="2000"/>
            <w:vAlign w:val="center"/>
          </w:tcPr>
          <w:p>
            <w:r>
              <w:rPr>
                <w:sz w:val="20"/>
                <w:szCs w:val="20"/>
              </w:rPr>
              <w:t xml:space="preserve">Week 3</w:t>
            </w:r>
          </w:p>
        </w:tc>
        <w:tc>
          <w:tcPr>
            <w:tcW w:type="dxa" w:w="1800"/>
            <w:vAlign w:val="center"/>
          </w:tcPr>
          <w:p>
            <w:r>
              <w:rPr>
                <w:sz w:val="20"/>
                <w:szCs w:val="20"/>
              </w:rPr>
              <w:t xml:space="preserve">HIGH</w:t>
            </w:r>
          </w:p>
        </w:tc>
        <w:tc>
          <w:tcPr>
            <w:tcW w:type="dxa" w:w="2060"/>
            <w:vAlign w:val="center"/>
          </w:tcPr>
          <w:p>
            <w:pPr>
              <w:jc w:val="center"/>
            </w:pPr>
            <w:r>
              <w:rPr>
                <w:sz w:val="22"/>
                <w:szCs w:val="22"/>
              </w:rPr>
              <w:t xml:space="preserve">☐</w:t>
            </w:r>
          </w:p>
        </w:tc>
      </w:tr>
      <w:tr>
        <w:tc>
          <w:tcPr>
            <w:tcW w:type="dxa" w:w="3500"/>
            <w:vAlign w:val="center"/>
          </w:tcPr>
          <w:p>
            <w:r>
              <w:rPr>
                <w:sz w:val="20"/>
                <w:szCs w:val="20"/>
              </w:rPr>
              <w:t xml:space="preserve">Vendor contracts &amp; SLAs</w:t>
            </w:r>
          </w:p>
        </w:tc>
        <w:tc>
          <w:tcPr>
            <w:tcW w:type="dxa" w:w="2000"/>
            <w:vAlign w:val="center"/>
          </w:tcPr>
          <w:p>
            <w:r>
              <w:rPr>
                <w:sz w:val="20"/>
                <w:szCs w:val="20"/>
              </w:rPr>
              <w:t xml:space="preserve">Week 3</w:t>
            </w:r>
          </w:p>
        </w:tc>
        <w:tc>
          <w:tcPr>
            <w:tcW w:type="dxa" w:w="1800"/>
            <w:vAlign w:val="center"/>
          </w:tcPr>
          <w:p>
            <w:r>
              <w:rPr>
                <w:sz w:val="20"/>
                <w:szCs w:val="20"/>
              </w:rPr>
              <w:t xml:space="preserve">MEDIUM</w:t>
            </w:r>
          </w:p>
        </w:tc>
        <w:tc>
          <w:tcPr>
            <w:tcW w:type="dxa" w:w="2060"/>
            <w:vAlign w:val="center"/>
          </w:tcPr>
          <w:p>
            <w:pPr>
              <w:jc w:val="center"/>
            </w:pPr>
            <w:r>
              <w:rPr>
                <w:sz w:val="22"/>
                <w:szCs w:val="22"/>
              </w:rPr>
              <w:t xml:space="preserve">☐</w:t>
            </w:r>
          </w:p>
        </w:tc>
      </w:tr>
      <w:tr>
        <w:tc>
          <w:tcPr>
            <w:tcW w:type="dxa" w:w="3500"/>
            <w:vAlign w:val="center"/>
          </w:tcPr>
          <w:p>
            <w:r>
              <w:rPr>
                <w:sz w:val="20"/>
                <w:szCs w:val="20"/>
              </w:rPr>
              <w:t xml:space="preserve">Stadium access for pilot testing</w:t>
            </w:r>
          </w:p>
        </w:tc>
        <w:tc>
          <w:tcPr>
            <w:tcW w:type="dxa" w:w="2000"/>
            <w:vAlign w:val="center"/>
          </w:tcPr>
          <w:p>
            <w:r>
              <w:rPr>
                <w:sz w:val="20"/>
                <w:szCs w:val="20"/>
              </w:rPr>
              <w:t xml:space="preserve">Week 12</w:t>
            </w:r>
          </w:p>
        </w:tc>
        <w:tc>
          <w:tcPr>
            <w:tcW w:type="dxa" w:w="1800"/>
            <w:vAlign w:val="center"/>
          </w:tcPr>
          <w:p>
            <w:r>
              <w:rPr>
                <w:sz w:val="20"/>
                <w:szCs w:val="20"/>
              </w:rPr>
              <w:t xml:space="preserve">CRITICAL</w:t>
            </w:r>
          </w:p>
        </w:tc>
        <w:tc>
          <w:tcPr>
            <w:tcW w:type="dxa" w:w="2060"/>
            <w:vAlign w:val="center"/>
          </w:tcPr>
          <w:p>
            <w:pPr>
              <w:jc w:val="center"/>
            </w:pPr>
            <w:r>
              <w:rPr>
                <w:sz w:val="22"/>
                <w:szCs w:val="22"/>
              </w:rPr>
              <w:t xml:space="preserve">☐</w:t>
            </w:r>
          </w:p>
        </w:tc>
      </w:tr>
    </w:tbl>
    <w:p>
      <w:pPr>
        <w:spacing w:before="300" w:after="200"/>
      </w:pPr>
      <w:r>
        <w:rPr>
          <w:b/>
          <w:bCs/>
          <w:color w:val="2B6B7D"/>
          <w:sz w:val="26"/>
          <w:szCs w:val="26"/>
        </w:rPr>
        <w:t xml:space="preserve">2.4 Decision-Making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1B2B3D"/>
            <w:vAlign w:val="center"/>
          </w:tcPr>
          <w:p>
            <w:pPr>
              <w:jc w:val="center"/>
            </w:pPr>
            <w:r>
              <w:rPr>
                <w:b/>
                <w:bCs/>
                <w:color w:val="FFFFFF"/>
                <w:sz w:val="20"/>
                <w:szCs w:val="20"/>
              </w:rPr>
              <w:t xml:space="preserve">Decision Type</w:t>
            </w:r>
          </w:p>
        </w:tc>
        <w:tc>
          <w:tcPr>
            <w:tcW w:type="dxa" w:w="2500"/>
            <w:shd w:fill="1B2B3D"/>
            <w:vAlign w:val="center"/>
          </w:tcPr>
          <w:p>
            <w:pPr>
              <w:jc w:val="center"/>
            </w:pPr>
            <w:r>
              <w:rPr>
                <w:b/>
                <w:bCs/>
                <w:color w:val="FFFFFF"/>
                <w:sz w:val="20"/>
                <w:szCs w:val="20"/>
              </w:rPr>
              <w:t xml:space="preserve">Approver</w:t>
            </w:r>
          </w:p>
        </w:tc>
        <w:tc>
          <w:tcPr>
            <w:tcW w:type="dxa" w:w="1500"/>
            <w:shd w:fill="1B2B3D"/>
            <w:vAlign w:val="center"/>
          </w:tcPr>
          <w:p>
            <w:pPr>
              <w:jc w:val="center"/>
            </w:pPr>
            <w:r>
              <w:rPr>
                <w:b/>
                <w:bCs/>
                <w:color w:val="FFFFFF"/>
                <w:sz w:val="20"/>
                <w:szCs w:val="20"/>
              </w:rPr>
              <w:t xml:space="preserve">SLA</w:t>
            </w:r>
          </w:p>
        </w:tc>
        <w:tc>
          <w:tcPr>
            <w:tcW w:type="dxa" w:w="2360"/>
            <w:shd w:fill="1B2B3D"/>
            <w:vAlign w:val="center"/>
          </w:tcPr>
          <w:p>
            <w:pPr>
              <w:jc w:val="center"/>
            </w:pPr>
            <w:r>
              <w:rPr>
                <w:b/>
                <w:bCs/>
                <w:color w:val="FFFFFF"/>
                <w:sz w:val="20"/>
                <w:szCs w:val="20"/>
              </w:rPr>
              <w:t xml:space="preserve">Escalation</w:t>
            </w:r>
          </w:p>
        </w:tc>
      </w:tr>
      <w:tr>
        <w:tc>
          <w:tcPr>
            <w:tcW w:type="dxa" w:w="3000"/>
            <w:vAlign w:val="center"/>
          </w:tcPr>
          <w:p>
            <w:r>
              <w:t>Stage Gate Progression</w:t>
            </w:r>
          </w:p>
        </w:tc>
        <w:tc>
          <w:tcPr>
            <w:tcW w:type="dxa" w:w="2500"/>
            <w:vAlign w:val="center"/>
          </w:tcPr>
          <w:p>
            <w:r>
              <w:t>NFL Executive Sponsor (or designee) + NOVATE Program Lead</w:t>
            </w:r>
          </w:p>
        </w:tc>
        <w:tc>
          <w:tcPr>
            <w:tcW w:type="dxa" w:w="1500"/>
            <w:vAlign w:val="center"/>
          </w:tcPr>
          <w:p>
            <w:r>
              <w:t>3 business days</w:t>
            </w:r>
          </w:p>
        </w:tc>
        <w:tc>
          <w:tcPr>
            <w:tcW w:type="dxa" w:w="2360"/>
            <w:vAlign w:val="center"/>
          </w:tcPr>
          <w:p>
            <w:r>
              <w:t>Escalate to Executive Steering</w:t>
            </w:r>
          </w:p>
        </w:tc>
      </w:tr>
      <w:tr>
        <w:tc>
          <w:tcPr>
            <w:tcW w:type="dxa" w:w="3000"/>
            <w:vAlign w:val="center"/>
          </w:tcPr>
          <w:p>
            <w:r>
              <w:t>Scope Changes (Minor)</w:t>
            </w:r>
          </w:p>
        </w:tc>
        <w:tc>
          <w:tcPr>
            <w:tcW w:type="dxa" w:w="2500"/>
            <w:vAlign w:val="center"/>
          </w:tcPr>
          <w:p>
            <w:r>
              <w:t>Technical Advisory Committee (TAC) approval</w:t>
            </w:r>
          </w:p>
        </w:tc>
        <w:tc>
          <w:tcPr>
            <w:tcW w:type="dxa" w:w="1500"/>
            <w:vAlign w:val="center"/>
          </w:tcPr>
          <w:p>
            <w:r>
              <w:t>2 business days</w:t>
            </w:r>
          </w:p>
        </w:tc>
        <w:tc>
          <w:tcPr>
            <w:tcW w:type="dxa" w:w="2360"/>
            <w:vAlign w:val="center"/>
          </w:tcPr>
          <w:p>
            <w:r>
              <w:t>Executive Steering</w:t>
            </w:r>
          </w:p>
        </w:tc>
      </w:tr>
      <w:tr>
        <w:tc>
          <w:tcPr>
            <w:tcW w:type="dxa" w:w="3000"/>
            <w:vAlign w:val="center"/>
          </w:tcPr>
          <w:p>
            <w:r>
              <w:t>Scope Changes (Major)</w:t>
            </w:r>
          </w:p>
        </w:tc>
        <w:tc>
          <w:tcPr>
            <w:tcW w:type="dxa" w:w="2500"/>
            <w:vAlign w:val="center"/>
          </w:tcPr>
          <w:p>
            <w:r>
              <w:t>Executive Steering Committee approval (NFL approval triad)</w:t>
            </w:r>
          </w:p>
        </w:tc>
        <w:tc>
          <w:tcPr>
            <w:tcW w:type="dxa" w:w="1500"/>
            <w:vAlign w:val="center"/>
          </w:tcPr>
          <w:p>
            <w:r>
              <w:t>5 business days</w:t>
            </w:r>
          </w:p>
        </w:tc>
        <w:tc>
          <w:tcPr>
            <w:tcW w:type="dxa" w:w="2360"/>
            <w:vAlign w:val="center"/>
          </w:tcPr>
          <w:p>
            <w:r>
              <w:t>N/A</w:t>
            </w:r>
          </w:p>
        </w:tc>
      </w:tr>
      <w:tr>
        <w:tc>
          <w:tcPr>
            <w:tcW w:type="dxa" w:w="3000"/>
            <w:vAlign w:val="center"/>
          </w:tcPr>
          <w:p>
            <w:r>
              <w:rPr>
                <w:sz w:val="20"/>
                <w:szCs w:val="20"/>
              </w:rPr>
              <w:t xml:space="preserve">Design Approvals</w:t>
            </w:r>
          </w:p>
        </w:tc>
        <w:tc>
          <w:tcPr>
            <w:tcW w:type="dxa" w:w="2500"/>
            <w:vAlign w:val="center"/>
          </w:tcPr>
          <w:p>
            <w:r>
              <w:rPr>
                <w:sz w:val="20"/>
                <w:szCs w:val="20"/>
              </w:rPr>
              <w:t xml:space="preserve">IT Leadership + SMEs</w:t>
            </w:r>
          </w:p>
        </w:tc>
        <w:tc>
          <w:tcPr>
            <w:tcW w:type="dxa" w:w="1500"/>
            <w:vAlign w:val="center"/>
          </w:tcPr>
          <w:p>
            <w:r>
              <w:rPr>
                <w:sz w:val="20"/>
                <w:szCs w:val="20"/>
              </w:rPr>
              <w:t xml:space="preserve">5 days</w:t>
            </w:r>
          </w:p>
        </w:tc>
        <w:tc>
          <w:tcPr>
            <w:tcW w:type="dxa" w:w="2360"/>
            <w:vAlign w:val="center"/>
          </w:tcPr>
          <w:p>
            <w:r>
              <w:rPr>
                <w:sz w:val="20"/>
                <w:szCs w:val="20"/>
              </w:rPr>
              <w:t xml:space="preserve">Exec Sponsor</w:t>
            </w:r>
          </w:p>
        </w:tc>
      </w:tr>
      <w:tr>
        <w:tc>
          <w:tcPr>
            <w:tcW w:type="dxa" w:w="3000"/>
            <w:vAlign w:val="center"/>
          </w:tcPr>
          <w:p>
            <w:r>
              <w:t>UAT Sign-off (GDA Base Scope)</w:t>
            </w:r>
          </w:p>
        </w:tc>
        <w:tc>
          <w:tcPr>
            <w:tcW w:type="dxa" w:w="2500"/>
            <w:vAlign w:val="center"/>
          </w:tcPr>
          <w:p>
            <w:r>
              <w:t>NFL GDA Lead + NOVATE Program Lead</w:t>
            </w:r>
          </w:p>
        </w:tc>
        <w:tc>
          <w:tcPr>
            <w:tcW w:type="dxa" w:w="1500"/>
            <w:vAlign w:val="center"/>
          </w:tcPr>
          <w:p>
            <w:r>
              <w:t>3 business days</w:t>
            </w:r>
          </w:p>
        </w:tc>
        <w:tc>
          <w:tcPr>
            <w:tcW w:type="dxa" w:w="2360"/>
            <w:vAlign w:val="center"/>
          </w:tcPr>
          <w:p>
            <w:r>
              <w:t>NFL IT Director</w:t>
            </w:r>
          </w:p>
        </w:tc>
      </w:tr>
      <w:tr>
        <w:tc>
          <w:tcPr>
            <w:tcW w:type="dxa" w:w="3000"/>
            <w:vAlign w:val="center"/>
          </w:tcPr>
          <w:p>
            <w:r>
              <w:t>Go-Live Authorization (GDA Base Scope)</w:t>
            </w:r>
          </w:p>
        </w:tc>
        <w:tc>
          <w:tcPr>
            <w:tcW w:type="dxa" w:w="2500"/>
            <w:vAlign w:val="center"/>
          </w:tcPr>
          <w:p>
            <w:r>
              <w:t>NFL Executive Sponsor + NFL IT Owner</w:t>
            </w:r>
          </w:p>
        </w:tc>
        <w:tc>
          <w:tcPr>
            <w:tcW w:type="dxa" w:w="1500"/>
            <w:vAlign w:val="center"/>
          </w:tcPr>
          <w:p>
            <w:r>
              <w:t>2 business days</w:t>
            </w:r>
          </w:p>
        </w:tc>
        <w:tc>
          <w:tcPr>
            <w:tcW w:type="dxa" w:w="2360"/>
            <w:vAlign w:val="center"/>
          </w:tcPr>
          <w:p>
            <w:r>
              <w:t>NFL CIO</w:t>
            </w:r>
          </w:p>
        </w:tc>
      </w:tr>
    </w:tbl>
    <w:p/>
    <w:p>
      <w:pPr>
        <w:spacing w:before="400" w:after="200"/>
      </w:pPr>
      <w:r>
        <w:rPr>
          <w:b/>
          <w:bCs/>
          <w:color w:val="1B2B3D"/>
          <w:sz w:val="32"/>
          <w:szCs w:val="32"/>
        </w:rPr>
        <w:t xml:space="preserve">3. NOVATE RESPONSIBILITIES &amp; ENGAGEMENT EXPECTATIONS</w:t>
      </w:r>
    </w:p>
    <w:p>
      <w:pPr>
        <w:spacing w:before="300" w:after="200"/>
      </w:pPr>
      <w:r>
        <w:rPr>
          <w:b/>
          <w:bCs/>
          <w:color w:val="2B6B7D"/>
          <w:sz w:val="26"/>
          <w:szCs w:val="26"/>
        </w:rPr>
        <w:t xml:space="preserve">3.1 Delivery Commitments</w:t>
      </w:r>
    </w:p>
    <w:p>
      <w:pPr>
        <w:pStyle w:val="ListParagraph"/>
        <w:numPr>
          <w:ilvl w:val="0"/>
          <w:numId w:val="1"/>
        </w:numPr>
        <w:spacing w:after="80"/>
      </w:pPr>
      <w:r>
        <w:rPr>
          <w:sz w:val="20"/>
          <w:szCs w:val="20"/>
        </w:rPr>
        <w:t xml:space="preserve">100% adherence to SIPE methodology and stage gate requirements</w:t>
      </w:r>
    </w:p>
    <w:p>
      <w:pPr>
        <w:pStyle w:val="ListParagraph"/>
        <w:numPr>
          <w:ilvl w:val="0"/>
          <w:numId w:val="1"/>
        </w:numPr>
        <w:spacing w:after="80"/>
      </w:pPr>
      <w:r>
        <w:rPr>
          <w:sz w:val="20"/>
          <w:szCs w:val="20"/>
        </w:rPr>
        <w:t xml:space="preserve">Evidence Ledger entries within 24 hours of all significant events</w:t>
      </w:r>
    </w:p>
    <w:p>
      <w:pPr>
        <w:pStyle w:val="ListParagraph"/>
        <w:numPr>
          <w:ilvl w:val="0"/>
          <w:numId w:val="1"/>
        </w:numPr>
        <w:spacing w:after="80"/>
      </w:pPr>
      <w:r>
        <w:rPr>
          <w:sz w:val="20"/>
          <w:szCs w:val="20"/>
        </w:rPr>
        <w:t xml:space="preserve">All deliverables reviewed through internal QA before client submission</w:t>
      </w:r>
    </w:p>
    <w:p>
      <w:pPr>
        <w:pStyle w:val="ListParagraph"/>
        <w:numPr>
          <w:ilvl w:val="0"/>
          <w:numId w:val="1"/>
        </w:numPr>
        <w:spacing w:after="80"/>
      </w:pPr>
      <w:r>
        <w:rPr>
          <w:sz w:val="20"/>
          <w:szCs w:val="20"/>
        </w:rPr>
        <w:t xml:space="preserve">Milestone adherence within ±5 business days of planned dates</w:t>
      </w:r>
    </w:p>
    <w:p>
      <w:pPr>
        <w:pStyle w:val="ListParagraph"/>
        <w:numPr>
          <w:ilvl w:val="0"/>
          <w:numId w:val="1"/>
        </w:numPr>
        <w:spacing w:after="80"/>
      </w:pPr>
      <w:r>
        <w:rPr>
          <w:sz w:val="20"/>
          <w:szCs w:val="20"/>
        </w:rPr>
        <w:t xml:space="preserve">Resource continuity - named team members for duration of engagement</w:t>
      </w:r>
    </w:p>
    <w:p>
      <w:pPr>
        <w:pStyle w:val="ListParagraph"/>
        <w:numPr>
          <w:ilvl w:val="0"/>
          <w:numId w:val="1"/>
        </w:numPr>
        <w:spacing w:after="80"/>
      </w:pPr>
      <w:r>
        <w:rPr>
          <w:sz w:val="20"/>
          <w:szCs w:val="20"/>
        </w:rPr>
        <w:t xml:space="preserve">Comprehensive knowledge transfer and documentation at engagement close</w:t>
      </w:r>
    </w:p>
    <w:p>
      <w:r>
        <w:rPr>
          <w:b/>
          <w:sz w:val="24"/>
        </w:rPr>
        <w:t>3.1.1 Named Team and Role Accountability</w:t>
      </w:r>
    </w:p>
    <w:p>
      <w:r>
        <w:t>NOVATE will staff the engagement with named leads to ensure clear ownership and minimize delivery risk. The NFL will designate named owners for each workstream and for the GDA pilot group.</w:t>
      </w:r>
    </w:p>
    <w:tbl>
      <w:tblPr>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Owner</w:t>
            </w:r>
          </w:p>
        </w:tc>
        <w:tc>
          <w:tcPr>
            <w:tcW w:type="dxa" w:w="3120"/>
          </w:tcPr>
          <w:p>
            <w:r>
              <w:t>Primary Accountability</w:t>
            </w:r>
          </w:p>
        </w:tc>
      </w:tr>
      <w:tr>
        <w:tc>
          <w:tcPr>
            <w:tcW w:type="dxa" w:w="3120"/>
          </w:tcPr>
          <w:p>
            <w:r>
              <w:t>NOVATE Steering Committee Member</w:t>
            </w:r>
          </w:p>
        </w:tc>
        <w:tc>
          <w:tcPr>
            <w:tcW w:type="dxa" w:w="3120"/>
          </w:tcPr>
          <w:p>
            <w:r>
              <w:t>Tye Hayes (CEO)</w:t>
            </w:r>
          </w:p>
        </w:tc>
        <w:tc>
          <w:tcPr>
            <w:tcW w:type="dxa" w:w="3120"/>
          </w:tcPr>
          <w:p>
            <w:r>
              <w:t>Executive oversight, IP protection, executive escalations</w:t>
            </w:r>
          </w:p>
        </w:tc>
      </w:tr>
      <w:tr>
        <w:tc>
          <w:tcPr>
            <w:tcW w:type="dxa" w:w="3120"/>
          </w:tcPr>
          <w:p>
            <w:r>
              <w:t>NOVATE Program Lead (Client-facing)</w:t>
            </w:r>
          </w:p>
        </w:tc>
        <w:tc>
          <w:tcPr>
            <w:tcW w:type="dxa" w:w="3120"/>
          </w:tcPr>
          <w:p>
            <w:r>
              <w:t>Erin Greene</w:t>
            </w:r>
          </w:p>
        </w:tc>
        <w:tc>
          <w:tcPr>
            <w:tcW w:type="dxa" w:w="3120"/>
          </w:tcPr>
          <w:p>
            <w:r>
              <w:t>Engagement leadership, TAC facilitation, scope control and stage gates</w:t>
            </w:r>
          </w:p>
        </w:tc>
      </w:tr>
      <w:tr>
        <w:tc>
          <w:tcPr>
            <w:tcW w:type="dxa" w:w="3120"/>
          </w:tcPr>
          <w:p>
            <w:r>
              <w:t>NOVATE Technical Lead</w:t>
            </w:r>
          </w:p>
        </w:tc>
        <w:tc>
          <w:tcPr>
            <w:tcW w:type="dxa" w:w="3120"/>
          </w:tcPr>
          <w:p>
            <w:r>
              <w:t>Kirby</w:t>
            </w:r>
          </w:p>
        </w:tc>
        <w:tc>
          <w:tcPr>
            <w:tcW w:type="dxa" w:w="3120"/>
          </w:tcPr>
          <w:p>
            <w:r>
              <w:t>Technical architecture, security controls, build quality, integration approach</w:t>
            </w:r>
          </w:p>
        </w:tc>
      </w:tr>
      <w:tr>
        <w:tc>
          <w:tcPr>
            <w:tcW w:type="dxa" w:w="3120"/>
          </w:tcPr>
          <w:p>
            <w:r>
              <w:t>NOVATE PMO</w:t>
            </w:r>
          </w:p>
        </w:tc>
        <w:tc>
          <w:tcPr>
            <w:tcW w:type="dxa" w:w="3120"/>
          </w:tcPr>
          <w:p>
            <w:r>
              <w:t>Asia Lewis</w:t>
            </w:r>
          </w:p>
        </w:tc>
        <w:tc>
          <w:tcPr>
            <w:tcW w:type="dxa" w:w="3120"/>
          </w:tcPr>
          <w:p>
            <w:r>
              <w:t>Artifact governance, evidence ledger, RAID log, status reporting</w:t>
            </w:r>
          </w:p>
        </w:tc>
      </w:tr>
      <w:tr>
        <w:tc>
          <w:tcPr>
            <w:tcW w:type="dxa" w:w="3120"/>
          </w:tcPr>
          <w:p>
            <w:r>
              <w:t>NOVATE Executive Oversight</w:t>
            </w:r>
          </w:p>
        </w:tc>
        <w:tc>
          <w:tcPr>
            <w:tcW w:type="dxa" w:w="3120"/>
          </w:tcPr>
          <w:p>
            <w:r>
              <w:t>Knox Phillips</w:t>
            </w:r>
          </w:p>
        </w:tc>
        <w:tc>
          <w:tcPr>
            <w:tcW w:type="dxa" w:w="3120"/>
          </w:tcPr>
          <w:p>
            <w:r>
              <w:t>Commercial and legal alignment, contract posture, executive communications</w:t>
            </w:r>
          </w:p>
        </w:tc>
      </w:tr>
      <w:tr>
        <w:tc>
          <w:tcPr>
            <w:tcW w:type="dxa" w:w="3120"/>
          </w:tcPr>
          <w:p>
            <w:r>
              <w:t>NFL Executive Sponsor</w:t>
            </w:r>
          </w:p>
        </w:tc>
        <w:tc>
          <w:tcPr>
            <w:tcW w:type="dxa" w:w="3120"/>
          </w:tcPr>
          <w:p>
            <w:r>
              <w:t>Gary Brantley (or designee)</w:t>
            </w:r>
          </w:p>
        </w:tc>
        <w:tc>
          <w:tcPr>
            <w:tcW w:type="dxa" w:w="3120"/>
          </w:tcPr>
          <w:p>
            <w:r>
              <w:t>Executive decisions, go-live authorization path, escalations</w:t>
            </w:r>
          </w:p>
        </w:tc>
      </w:tr>
      <w:tr>
        <w:tc>
          <w:tcPr>
            <w:tcW w:type="dxa" w:w="3120"/>
          </w:tcPr>
          <w:p>
            <w:r>
              <w:t>NFL PMO / Program Host</w:t>
            </w:r>
          </w:p>
        </w:tc>
        <w:tc>
          <w:tcPr>
            <w:tcW w:type="dxa" w:w="3120"/>
          </w:tcPr>
          <w:p>
            <w:r>
              <w:t>Sandra Manigault (Primary) / Victoria Donten (Alt)</w:t>
            </w:r>
          </w:p>
        </w:tc>
        <w:tc>
          <w:tcPr>
            <w:tcW w:type="dxa" w:w="3120"/>
          </w:tcPr>
          <w:p>
            <w:r>
              <w:t>Program coordination, meeting facilitation, documentation routing</w:t>
            </w:r>
          </w:p>
        </w:tc>
      </w:tr>
      <w:tr>
        <w:tc>
          <w:tcPr>
            <w:tcW w:type="dxa" w:w="3120"/>
          </w:tcPr>
          <w:p>
            <w:r>
              <w:t>NFL Workstream Leads (TAC)</w:t>
            </w:r>
          </w:p>
        </w:tc>
        <w:tc>
          <w:tcPr>
            <w:tcW w:type="dxa" w:w="3120"/>
          </w:tcPr>
          <w:p>
            <w:r>
              <w:t>NFL IT leads per domain</w:t>
            </w:r>
          </w:p>
        </w:tc>
        <w:tc>
          <w:tcPr>
            <w:tcW w:type="dxa" w:w="3120"/>
          </w:tcPr>
          <w:p>
            <w:r>
              <w:t>Requirements ownership and approvals within TAC</w:t>
            </w:r>
          </w:p>
        </w:tc>
      </w:tr>
    </w:tbl>
    <w:p>
      <w:pPr>
        <w:spacing w:before="300" w:after="200"/>
      </w:pPr>
      <w:r>
        <w:rPr>
          <w:b/>
          <w:bCs/>
          <w:color w:val="2B6B7D"/>
          <w:sz w:val="26"/>
          <w:szCs w:val="26"/>
        </w:rPr>
        <w:t xml:space="preserve">3.2 Communication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B2B3D"/>
            <w:vAlign w:val="center"/>
          </w:tcPr>
          <w:p>
            <w:pPr>
              <w:jc w:val="center"/>
            </w:pPr>
            <w:r>
              <w:rPr>
                <w:b/>
                <w:bCs/>
                <w:color w:val="FFFFFF"/>
                <w:sz w:val="20"/>
                <w:szCs w:val="20"/>
              </w:rPr>
              <w:t xml:space="preserve">Communication Type</w:t>
            </w:r>
          </w:p>
        </w:tc>
        <w:tc>
          <w:tcPr>
            <w:tcW w:type="dxa" w:w="2000"/>
            <w:shd w:fill="1B2B3D"/>
            <w:vAlign w:val="center"/>
          </w:tcPr>
          <w:p>
            <w:pPr>
              <w:jc w:val="center"/>
            </w:pPr>
            <w:r>
              <w:rPr>
                <w:b/>
                <w:bCs/>
                <w:color w:val="FFFFFF"/>
                <w:sz w:val="20"/>
                <w:szCs w:val="20"/>
              </w:rPr>
              <w:t xml:space="preserve">Frequency</w:t>
            </w:r>
          </w:p>
        </w:tc>
        <w:tc>
          <w:tcPr>
            <w:tcW w:type="dxa" w:w="2200"/>
            <w:shd w:fill="1B2B3D"/>
            <w:vAlign w:val="center"/>
          </w:tcPr>
          <w:p>
            <w:pPr>
              <w:jc w:val="center"/>
            </w:pPr>
            <w:r>
              <w:rPr>
                <w:b/>
                <w:bCs/>
                <w:color w:val="FFFFFF"/>
                <w:sz w:val="20"/>
                <w:szCs w:val="20"/>
              </w:rPr>
              <w:t xml:space="preserve">Format</w:t>
            </w:r>
          </w:p>
        </w:tc>
        <w:tc>
          <w:tcPr>
            <w:tcW w:type="dxa" w:w="2660"/>
            <w:shd w:fill="1B2B3D"/>
            <w:vAlign w:val="center"/>
          </w:tcPr>
          <w:p>
            <w:pPr>
              <w:jc w:val="center"/>
            </w:pPr>
            <w:r>
              <w:rPr>
                <w:b/>
                <w:bCs/>
                <w:color w:val="FFFFFF"/>
                <w:sz w:val="20"/>
                <w:szCs w:val="20"/>
              </w:rPr>
              <w:t xml:space="preserve">Recipients</w:t>
            </w:r>
          </w:p>
        </w:tc>
      </w:tr>
      <w:tr>
        <w:tc>
          <w:tcPr>
            <w:tcW w:type="dxa" w:w="2500"/>
            <w:vAlign w:val="center"/>
          </w:tcPr>
          <w:p>
            <w:r>
              <w:rPr>
                <w:sz w:val="20"/>
                <w:szCs w:val="20"/>
              </w:rPr>
              <w:t xml:space="preserve">Weekly Status Report</w:t>
            </w:r>
          </w:p>
        </w:tc>
        <w:tc>
          <w:tcPr>
            <w:tcW w:type="dxa" w:w="2000"/>
            <w:vAlign w:val="center"/>
          </w:tcPr>
          <w:p>
            <w:r>
              <w:rPr>
                <w:sz w:val="20"/>
                <w:szCs w:val="20"/>
              </w:rPr>
              <w:t xml:space="preserve">Every Friday 3pm ET</w:t>
            </w:r>
          </w:p>
        </w:tc>
        <w:tc>
          <w:tcPr>
            <w:tcW w:type="dxa" w:w="2200"/>
            <w:vAlign w:val="center"/>
          </w:tcPr>
          <w:p>
            <w:r>
              <w:rPr>
                <w:sz w:val="20"/>
                <w:szCs w:val="20"/>
              </w:rPr>
              <w:t xml:space="preserve">PDF + Dashboard</w:t>
            </w:r>
          </w:p>
        </w:tc>
        <w:tc>
          <w:tcPr>
            <w:tcW w:type="dxa" w:w="2660"/>
            <w:vAlign w:val="center"/>
          </w:tcPr>
          <w:p>
            <w:r>
              <w:rPr>
                <w:sz w:val="20"/>
                <w:szCs w:val="20"/>
              </w:rPr>
              <w:t xml:space="preserve">Project Team + Leads</w:t>
            </w:r>
          </w:p>
        </w:tc>
      </w:tr>
      <w:tr>
        <w:tc>
          <w:tcPr>
            <w:tcW w:type="dxa" w:w="2500"/>
            <w:vAlign w:val="center"/>
          </w:tcPr>
          <w:p>
            <w:r>
              <w:rPr>
                <w:sz w:val="20"/>
                <w:szCs w:val="20"/>
              </w:rPr>
              <w:t xml:space="preserve">Technical Sync</w:t>
            </w:r>
          </w:p>
        </w:tc>
        <w:tc>
          <w:tcPr>
            <w:tcW w:type="dxa" w:w="2000"/>
            <w:vAlign w:val="center"/>
          </w:tcPr>
          <w:p>
            <w:r>
              <w:rPr>
                <w:sz w:val="20"/>
                <w:szCs w:val="20"/>
              </w:rPr>
              <w:t xml:space="preserve">2x per week</w:t>
            </w:r>
          </w:p>
        </w:tc>
        <w:tc>
          <w:tcPr>
            <w:tcW w:type="dxa" w:w="2200"/>
            <w:vAlign w:val="center"/>
          </w:tcPr>
          <w:p>
            <w:r>
              <w:rPr>
                <w:sz w:val="20"/>
                <w:szCs w:val="20"/>
              </w:rPr>
              <w:t xml:space="preserve">Meeting + Notes</w:t>
            </w:r>
          </w:p>
        </w:tc>
        <w:tc>
          <w:tcPr>
            <w:tcW w:type="dxa" w:w="2660"/>
            <w:vAlign w:val="center"/>
          </w:tcPr>
          <w:p>
            <w:r>
              <w:rPr>
                <w:sz w:val="20"/>
                <w:szCs w:val="20"/>
              </w:rPr>
              <w:t xml:space="preserve">Technical SMEs</w:t>
            </w:r>
          </w:p>
        </w:tc>
      </w:tr>
      <w:tr>
        <w:tc>
          <w:tcPr>
            <w:tcW w:type="dxa" w:w="2500"/>
            <w:vAlign w:val="center"/>
          </w:tcPr>
          <w:p>
            <w:r>
              <w:rPr>
                <w:sz w:val="20"/>
                <w:szCs w:val="20"/>
              </w:rPr>
              <w:t xml:space="preserve">Steering Committee</w:t>
            </w:r>
          </w:p>
        </w:tc>
        <w:tc>
          <w:tcPr>
            <w:tcW w:type="dxa" w:w="2000"/>
            <w:vAlign w:val="center"/>
          </w:tcPr>
          <w:p>
            <w:r>
              <w:rPr>
                <w:sz w:val="20"/>
                <w:szCs w:val="20"/>
              </w:rPr>
              <w:t xml:space="preserve">Bi-weekly</w:t>
            </w:r>
          </w:p>
        </w:tc>
        <w:tc>
          <w:tcPr>
            <w:tcW w:type="dxa" w:w="2200"/>
            <w:vAlign w:val="center"/>
          </w:tcPr>
          <w:p>
            <w:r>
              <w:rPr>
                <w:sz w:val="20"/>
                <w:szCs w:val="20"/>
              </w:rPr>
              <w:t xml:space="preserve">Executive Summary</w:t>
            </w:r>
          </w:p>
        </w:tc>
        <w:tc>
          <w:tcPr>
            <w:tcW w:type="dxa" w:w="2660"/>
            <w:vAlign w:val="center"/>
          </w:tcPr>
          <w:p>
            <w:r>
              <w:rPr>
                <w:sz w:val="20"/>
                <w:szCs w:val="20"/>
              </w:rPr>
              <w:t xml:space="preserve">Leadership</w:t>
            </w:r>
          </w:p>
        </w:tc>
      </w:tr>
      <w:tr>
        <w:tc>
          <w:tcPr>
            <w:tcW w:type="dxa" w:w="2500"/>
            <w:vAlign w:val="center"/>
          </w:tcPr>
          <w:p>
            <w:r>
              <w:rPr>
                <w:sz w:val="20"/>
                <w:szCs w:val="20"/>
              </w:rPr>
              <w:t xml:space="preserve">Stage Gate Review</w:t>
            </w:r>
          </w:p>
        </w:tc>
        <w:tc>
          <w:tcPr>
            <w:tcW w:type="dxa" w:w="2000"/>
            <w:vAlign w:val="center"/>
          </w:tcPr>
          <w:p>
            <w:r>
              <w:rPr>
                <w:sz w:val="20"/>
                <w:szCs w:val="20"/>
              </w:rPr>
              <w:t xml:space="preserve">Per phase</w:t>
            </w:r>
          </w:p>
        </w:tc>
        <w:tc>
          <w:tcPr>
            <w:tcW w:type="dxa" w:w="2200"/>
            <w:vAlign w:val="center"/>
          </w:tcPr>
          <w:p>
            <w:r>
              <w:rPr>
                <w:sz w:val="20"/>
                <w:szCs w:val="20"/>
              </w:rPr>
              <w:t xml:space="preserve">Gate Package</w:t>
            </w:r>
          </w:p>
        </w:tc>
        <w:tc>
          <w:tcPr>
            <w:tcW w:type="dxa" w:w="2660"/>
            <w:vAlign w:val="center"/>
          </w:tcPr>
          <w:p>
            <w:r>
              <w:rPr>
                <w:sz w:val="20"/>
                <w:szCs w:val="20"/>
              </w:rPr>
              <w:t xml:space="preserve">All Stakeholders</w:t>
            </w:r>
          </w:p>
        </w:tc>
      </w:tr>
      <w:tr>
        <w:tc>
          <w:tcPr>
            <w:tcW w:type="dxa" w:w="2500"/>
            <w:vAlign w:val="center"/>
          </w:tcPr>
          <w:p>
            <w:r>
              <w:rPr>
                <w:sz w:val="20"/>
                <w:szCs w:val="20"/>
              </w:rPr>
              <w:t xml:space="preserve">Risk/Issue Alert</w:t>
            </w:r>
          </w:p>
        </w:tc>
        <w:tc>
          <w:tcPr>
            <w:tcW w:type="dxa" w:w="2000"/>
            <w:vAlign w:val="center"/>
          </w:tcPr>
          <w:p>
            <w:r>
              <w:rPr>
                <w:sz w:val="20"/>
                <w:szCs w:val="20"/>
              </w:rPr>
              <w:t xml:space="preserve">Within 4 hours</w:t>
            </w:r>
          </w:p>
        </w:tc>
        <w:tc>
          <w:tcPr>
            <w:tcW w:type="dxa" w:w="2200"/>
            <w:vAlign w:val="center"/>
          </w:tcPr>
          <w:p>
            <w:r>
              <w:rPr>
                <w:sz w:val="20"/>
                <w:szCs w:val="20"/>
              </w:rPr>
              <w:t xml:space="preserve">Alert + Action Plan</w:t>
            </w:r>
          </w:p>
        </w:tc>
        <w:tc>
          <w:tcPr>
            <w:tcW w:type="dxa" w:w="2660"/>
            <w:vAlign w:val="center"/>
          </w:tcPr>
          <w:p>
            <w:r>
              <w:rPr>
                <w:sz w:val="20"/>
                <w:szCs w:val="20"/>
              </w:rPr>
              <w:t xml:space="preserve">Relevant Owners</w:t>
            </w:r>
          </w:p>
        </w:tc>
      </w:tr>
      <w:tr>
        <w:tc>
          <w:tcPr>
            <w:tcW w:type="dxa" w:w="2500"/>
            <w:vAlign w:val="center"/>
          </w:tcPr>
          <w:p>
            <w:r>
              <w:rPr>
                <w:sz w:val="20"/>
                <w:szCs w:val="20"/>
              </w:rPr>
              <w:t xml:space="preserve">Monthly Executive Brief</w:t>
            </w:r>
          </w:p>
        </w:tc>
        <w:tc>
          <w:tcPr>
            <w:tcW w:type="dxa" w:w="2000"/>
            <w:vAlign w:val="center"/>
          </w:tcPr>
          <w:p>
            <w:r>
              <w:rPr>
                <w:sz w:val="20"/>
                <w:szCs w:val="20"/>
              </w:rPr>
              <w:t xml:space="preserve">Monthly</w:t>
            </w:r>
          </w:p>
        </w:tc>
        <w:tc>
          <w:tcPr>
            <w:tcW w:type="dxa" w:w="2200"/>
            <w:vAlign w:val="center"/>
          </w:tcPr>
          <w:p>
            <w:r>
              <w:rPr>
                <w:sz w:val="20"/>
                <w:szCs w:val="20"/>
              </w:rPr>
              <w:t xml:space="preserve">Presentation</w:t>
            </w:r>
          </w:p>
        </w:tc>
        <w:tc>
          <w:tcPr>
            <w:tcW w:type="dxa" w:w="2660"/>
            <w:vAlign w:val="center"/>
          </w:tcPr>
          <w:p>
            <w:r>
              <w:rPr>
                <w:sz w:val="20"/>
                <w:szCs w:val="20"/>
              </w:rPr>
              <w:t xml:space="preserve">Exec Sponsor + CIO</w:t>
            </w:r>
          </w:p>
        </w:tc>
      </w:tr>
    </w:tbl>
    <w:p>
      <w:pPr>
        <w:spacing w:before="300" w:after="200"/>
      </w:pPr>
      <w:r>
        <w:rPr>
          <w:b/>
          <w:bCs/>
          <w:color w:val="2B6B7D"/>
          <w:sz w:val="26"/>
          <w:szCs w:val="26"/>
        </w:rPr>
        <w:t xml:space="preserve">3.3 What the Client Can Expect from NOVATE</w:t>
      </w:r>
    </w:p>
    <w:p>
      <w:pPr>
        <w:pStyle w:val="ListParagraph"/>
        <w:numPr>
          <w:ilvl w:val="0"/>
          <w:numId w:val="1"/>
        </w:numPr>
        <w:spacing w:after="80"/>
      </w:pPr>
      <w:r>
        <w:rPr>
          <w:sz w:val="20"/>
          <w:szCs w:val="20"/>
        </w:rPr>
        <w:t xml:space="preserve">TRANSPARENCY: Real-time visibility into project status via Sentrais dashboard</w:t>
      </w:r>
    </w:p>
    <w:p>
      <w:pPr>
        <w:pStyle w:val="ListParagraph"/>
        <w:numPr>
          <w:ilvl w:val="0"/>
          <w:numId w:val="1"/>
        </w:numPr>
        <w:spacing w:after="80"/>
      </w:pPr>
      <w:r>
        <w:rPr>
          <w:sz w:val="20"/>
          <w:szCs w:val="20"/>
        </w:rPr>
        <w:t xml:space="preserve">PROACTIVE COMMUNICATION: Early warning of risks before they become issues</w:t>
      </w:r>
    </w:p>
    <w:p>
      <w:pPr>
        <w:pStyle w:val="ListParagraph"/>
        <w:numPr>
          <w:ilvl w:val="0"/>
          <w:numId w:val="1"/>
        </w:numPr>
        <w:spacing w:after="80"/>
      </w:pPr>
      <w:r>
        <w:rPr>
          <w:sz w:val="20"/>
          <w:szCs w:val="20"/>
        </w:rPr>
        <w:t xml:space="preserve">EVIDENCE-BASED DECISIONS: All recommendations backed by documented analysis</w:t>
      </w:r>
    </w:p>
    <w:p>
      <w:pPr>
        <w:pStyle w:val="ListParagraph"/>
        <w:numPr>
          <w:ilvl w:val="0"/>
          <w:numId w:val="1"/>
        </w:numPr>
        <w:spacing w:after="80"/>
      </w:pPr>
      <w:r>
        <w:rPr>
          <w:sz w:val="20"/>
          <w:szCs w:val="20"/>
        </w:rPr>
        <w:t xml:space="preserve">SHARED ACCOUNTABILITY: Clear ownership of actions on both sides</w:t>
      </w:r>
    </w:p>
    <w:p>
      <w:pPr>
        <w:pStyle w:val="ListParagraph"/>
        <w:numPr>
          <w:ilvl w:val="0"/>
          <w:numId w:val="1"/>
        </w:numPr>
        <w:spacing w:after="80"/>
      </w:pPr>
      <w:r>
        <w:rPr>
          <w:sz w:val="20"/>
          <w:szCs w:val="20"/>
        </w:rPr>
        <w:t xml:space="preserve">FORENSIC RIGOR: Audit-ready documentation at every stage</w:t>
      </w:r>
    </w:p>
    <w:p>
      <w:pPr>
        <w:pStyle w:val="ListParagraph"/>
        <w:numPr>
          <w:ilvl w:val="0"/>
          <w:numId w:val="1"/>
        </w:numPr>
        <w:spacing w:after="80"/>
      </w:pPr>
      <w:r>
        <w:rPr>
          <w:sz w:val="20"/>
          <w:szCs w:val="20"/>
        </w:rPr>
        <w:t xml:space="preserve">EXPERTISE: Deep methodology knowledge and industry best practices</w:t>
      </w:r>
    </w:p>
    <w:p>
      <w:pPr>
        <w:pStyle w:val="ListParagraph"/>
        <w:numPr>
          <w:ilvl w:val="0"/>
          <w:numId w:val="1"/>
        </w:numPr>
        <w:spacing w:after="80"/>
      </w:pPr>
      <w:r>
        <w:rPr>
          <w:sz w:val="20"/>
          <w:szCs w:val="20"/>
        </w:rPr>
        <w:t xml:space="preserve">PARTNERSHIP: Collaborative approach focused on mutual success</w:t>
      </w:r>
    </w:p>
    <w:p/>
    <w:p>
      <w:pPr>
        <w:spacing w:before="400" w:after="200"/>
      </w:pPr>
      <w:r>
        <w:rPr>
          <w:b/>
          <w:bCs/>
          <w:color w:val="1B2B3D"/>
          <w:sz w:val="32"/>
          <w:szCs w:val="32"/>
        </w:rPr>
        <w:t xml:space="preserve">4. ISSUE MANAGEMENT FRAMEWORK</w:t>
      </w:r>
    </w:p>
    <w:p>
      <w:pPr>
        <w:spacing w:before="300" w:after="200"/>
      </w:pPr>
      <w:r>
        <w:rPr>
          <w:b/>
          <w:bCs/>
          <w:color w:val="2B6B7D"/>
          <w:sz w:val="26"/>
          <w:szCs w:val="26"/>
        </w:rPr>
        <w:t xml:space="preserve">4.1 Issue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1B2B3D"/>
            <w:vAlign w:val="center"/>
          </w:tcPr>
          <w:p>
            <w:pPr>
              <w:jc w:val="center"/>
            </w:pPr>
            <w:r>
              <w:rPr>
                <w:b/>
                <w:bCs/>
                <w:color w:val="FFFFFF"/>
                <w:sz w:val="20"/>
                <w:szCs w:val="20"/>
              </w:rPr>
              <w:t xml:space="preserve">Severity</w:t>
            </w:r>
          </w:p>
        </w:tc>
        <w:tc>
          <w:tcPr>
            <w:tcW w:type="dxa" w:w="3500"/>
            <w:shd w:fill="1B2B3D"/>
            <w:vAlign w:val="center"/>
          </w:tcPr>
          <w:p>
            <w:pPr>
              <w:jc w:val="center"/>
            </w:pPr>
            <w:r>
              <w:rPr>
                <w:b/>
                <w:bCs/>
                <w:color w:val="FFFFFF"/>
                <w:sz w:val="20"/>
                <w:szCs w:val="20"/>
              </w:rPr>
              <w:t xml:space="preserve">Definition</w:t>
            </w:r>
          </w:p>
        </w:tc>
        <w:tc>
          <w:tcPr>
            <w:tcW w:type="dxa" w:w="2000"/>
            <w:shd w:fill="1B2B3D"/>
            <w:vAlign w:val="center"/>
          </w:tcPr>
          <w:p>
            <w:pPr>
              <w:jc w:val="center"/>
            </w:pPr>
            <w:r>
              <w:rPr>
                <w:b/>
                <w:bCs/>
                <w:color w:val="FFFFFF"/>
                <w:sz w:val="20"/>
                <w:szCs w:val="20"/>
              </w:rPr>
              <w:t xml:space="preserve">Initial Response</w:t>
            </w:r>
          </w:p>
        </w:tc>
        <w:tc>
          <w:tcPr>
            <w:tcW w:type="dxa" w:w="2660"/>
            <w:shd w:fill="1B2B3D"/>
            <w:vAlign w:val="center"/>
          </w:tcPr>
          <w:p>
            <w:pPr>
              <w:jc w:val="center"/>
            </w:pPr>
            <w:r>
              <w:rPr>
                <w:b/>
                <w:bCs/>
                <w:color w:val="FFFFFF"/>
                <w:sz w:val="20"/>
                <w:szCs w:val="20"/>
              </w:rPr>
              <w:t xml:space="preserve">Resolution Plan</w:t>
            </w:r>
          </w:p>
        </w:tc>
      </w:tr>
      <w:tr>
        <w:tc>
          <w:tcPr>
            <w:tcW w:type="dxa" w:w="1200"/>
            <w:shd w:fill="C41E3A"/>
            <w:vAlign w:val="center"/>
          </w:tcPr>
          <w:p>
            <w:pPr>
              <w:jc w:val="center"/>
            </w:pPr>
            <w:r>
              <w:rPr>
                <w:b/>
                <w:bCs/>
                <w:color w:val="FFFFFF"/>
                <w:sz w:val="20"/>
                <w:szCs w:val="20"/>
              </w:rPr>
              <w:t xml:space="preserve">CRITICAL</w:t>
            </w:r>
          </w:p>
        </w:tc>
        <w:tc>
          <w:tcPr>
            <w:tcW w:type="dxa" w:w="3500"/>
            <w:vAlign w:val="center"/>
          </w:tcPr>
          <w:p>
            <w:r>
              <w:rPr>
                <w:sz w:val="20"/>
                <w:szCs w:val="20"/>
              </w:rPr>
              <w:t xml:space="preserve">Blocks engagement entirely or threatens overall success/timeline</w:t>
            </w:r>
          </w:p>
        </w:tc>
        <w:tc>
          <w:tcPr>
            <w:tcW w:type="dxa" w:w="2000"/>
            <w:vAlign w:val="center"/>
          </w:tcPr>
          <w:p>
            <w:r>
              <w:rPr>
                <w:sz w:val="20"/>
                <w:szCs w:val="20"/>
              </w:rPr>
              <w:t xml:space="preserve">2 hours</w:t>
            </w:r>
          </w:p>
        </w:tc>
        <w:tc>
          <w:tcPr>
            <w:tcW w:type="dxa" w:w="2660"/>
            <w:vAlign w:val="center"/>
          </w:tcPr>
          <w:p>
            <w:r>
              <w:rPr>
                <w:sz w:val="20"/>
                <w:szCs w:val="20"/>
              </w:rPr>
              <w:t xml:space="preserve">24 hours</w:t>
            </w:r>
          </w:p>
        </w:tc>
      </w:tr>
      <w:tr>
        <w:tc>
          <w:tcPr>
            <w:tcW w:type="dxa" w:w="1200"/>
            <w:shd w:fill="E67E22"/>
            <w:vAlign w:val="center"/>
          </w:tcPr>
          <w:p>
            <w:pPr>
              <w:jc w:val="center"/>
            </w:pPr>
            <w:r>
              <w:rPr>
                <w:b/>
                <w:bCs/>
                <w:color w:val="FFFFFF"/>
                <w:sz w:val="20"/>
                <w:szCs w:val="20"/>
              </w:rPr>
              <w:t xml:space="preserve">HIGH</w:t>
            </w:r>
          </w:p>
        </w:tc>
        <w:tc>
          <w:tcPr>
            <w:tcW w:type="dxa" w:w="3500"/>
            <w:vAlign w:val="center"/>
          </w:tcPr>
          <w:p>
            <w:r>
              <w:rPr>
                <w:sz w:val="20"/>
                <w:szCs w:val="20"/>
              </w:rPr>
              <w:t xml:space="preserve">Significant timeline or quality impact requiring immediate attention</w:t>
            </w:r>
          </w:p>
        </w:tc>
        <w:tc>
          <w:tcPr>
            <w:tcW w:type="dxa" w:w="2000"/>
            <w:vAlign w:val="center"/>
          </w:tcPr>
          <w:p>
            <w:r>
              <w:rPr>
                <w:sz w:val="20"/>
                <w:szCs w:val="20"/>
              </w:rPr>
              <w:t xml:space="preserve">4 hours</w:t>
            </w:r>
          </w:p>
        </w:tc>
        <w:tc>
          <w:tcPr>
            <w:tcW w:type="dxa" w:w="2660"/>
            <w:vAlign w:val="center"/>
          </w:tcPr>
          <w:p>
            <w:r>
              <w:rPr>
                <w:sz w:val="20"/>
                <w:szCs w:val="20"/>
              </w:rPr>
              <w:t xml:space="preserve">48 hours</w:t>
            </w:r>
          </w:p>
        </w:tc>
      </w:tr>
      <w:tr>
        <w:tc>
          <w:tcPr>
            <w:tcW w:type="dxa" w:w="1200"/>
            <w:shd w:fill="9AAF45"/>
            <w:vAlign w:val="center"/>
          </w:tcPr>
          <w:p>
            <w:pPr>
              <w:jc w:val="center"/>
            </w:pPr>
            <w:r>
              <w:rPr>
                <w:b/>
                <w:bCs/>
                <w:color w:val="FFFFFF"/>
                <w:sz w:val="20"/>
                <w:szCs w:val="20"/>
              </w:rPr>
              <w:t xml:space="preserve">MEDIUM</w:t>
            </w:r>
          </w:p>
        </w:tc>
        <w:tc>
          <w:tcPr>
            <w:tcW w:type="dxa" w:w="3500"/>
            <w:vAlign w:val="center"/>
          </w:tcPr>
          <w:p>
            <w:r>
              <w:rPr>
                <w:sz w:val="20"/>
                <w:szCs w:val="20"/>
              </w:rPr>
              <w:t xml:space="preserve">Notable impact but workarounds exist; requires near-term resolution</w:t>
            </w:r>
          </w:p>
        </w:tc>
        <w:tc>
          <w:tcPr>
            <w:tcW w:type="dxa" w:w="2000"/>
            <w:vAlign w:val="center"/>
          </w:tcPr>
          <w:p>
            <w:r>
              <w:rPr>
                <w:sz w:val="20"/>
                <w:szCs w:val="20"/>
              </w:rPr>
              <w:t xml:space="preserve">24 hours</w:t>
            </w:r>
          </w:p>
        </w:tc>
        <w:tc>
          <w:tcPr>
            <w:tcW w:type="dxa" w:w="2660"/>
            <w:vAlign w:val="center"/>
          </w:tcPr>
          <w:p>
            <w:r>
              <w:rPr>
                <w:sz w:val="20"/>
                <w:szCs w:val="20"/>
              </w:rPr>
              <w:t xml:space="preserve">1 week</w:t>
            </w:r>
          </w:p>
        </w:tc>
      </w:tr>
      <w:tr>
        <w:tc>
          <w:tcPr>
            <w:tcW w:type="dxa" w:w="1200"/>
            <w:shd w:fill="2B6B7D"/>
            <w:vAlign w:val="center"/>
          </w:tcPr>
          <w:p>
            <w:pPr>
              <w:jc w:val="center"/>
            </w:pPr>
            <w:r>
              <w:rPr>
                <w:b/>
                <w:bCs/>
                <w:color w:val="FFFFFF"/>
                <w:sz w:val="20"/>
                <w:szCs w:val="20"/>
              </w:rPr>
              <w:t xml:space="preserve">LOW</w:t>
            </w:r>
          </w:p>
        </w:tc>
        <w:tc>
          <w:tcPr>
            <w:tcW w:type="dxa" w:w="3500"/>
            <w:vAlign w:val="center"/>
          </w:tcPr>
          <w:p>
            <w:r>
              <w:rPr>
                <w:sz w:val="20"/>
                <w:szCs w:val="20"/>
              </w:rPr>
              <w:t xml:space="preserve">Minor inconvenience with minimal impact on deliverables</w:t>
            </w:r>
          </w:p>
        </w:tc>
        <w:tc>
          <w:tcPr>
            <w:tcW w:type="dxa" w:w="2000"/>
            <w:vAlign w:val="center"/>
          </w:tcPr>
          <w:p>
            <w:r>
              <w:rPr>
                <w:sz w:val="20"/>
                <w:szCs w:val="20"/>
              </w:rPr>
              <w:t xml:space="preserve">1 week</w:t>
            </w:r>
          </w:p>
        </w:tc>
        <w:tc>
          <w:tcPr>
            <w:tcW w:type="dxa" w:w="2660"/>
            <w:vAlign w:val="center"/>
          </w:tcPr>
          <w:p>
            <w:r>
              <w:rPr>
                <w:sz w:val="20"/>
                <w:szCs w:val="20"/>
              </w:rPr>
              <w:t xml:space="preserve">Next phase</w:t>
            </w:r>
          </w:p>
        </w:tc>
      </w:tr>
    </w:tbl>
    <w:p>
      <w:pPr>
        <w:spacing w:before="300" w:after="200"/>
      </w:pPr>
      <w:r>
        <w:rPr>
          <w:b/>
          <w:bCs/>
          <w:color w:val="2B6B7D"/>
          <w:sz w:val="26"/>
          <w:szCs w:val="26"/>
        </w:rPr>
        <w:t xml:space="preserve">4.2 Issue Categories &amp;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B2B3D"/>
            <w:vAlign w:val="center"/>
          </w:tcPr>
          <w:p>
            <w:pPr>
              <w:jc w:val="center"/>
            </w:pPr>
            <w:r>
              <w:rPr>
                <w:b/>
                <w:bCs/>
                <w:color w:val="FFFFFF"/>
                <w:sz w:val="20"/>
                <w:szCs w:val="20"/>
              </w:rPr>
              <w:t xml:space="preserve">Category</w:t>
            </w:r>
          </w:p>
        </w:tc>
        <w:tc>
          <w:tcPr>
            <w:tcW w:type="dxa" w:w="4500"/>
            <w:shd w:fill="1B2B3D"/>
            <w:vAlign w:val="center"/>
          </w:tcPr>
          <w:p>
            <w:pPr>
              <w:jc w:val="center"/>
            </w:pPr>
            <w:r>
              <w:rPr>
                <w:b/>
                <w:bCs/>
                <w:color w:val="FFFFFF"/>
                <w:sz w:val="20"/>
                <w:szCs w:val="20"/>
              </w:rPr>
              <w:t xml:space="preserve">Description</w:t>
            </w:r>
          </w:p>
        </w:tc>
        <w:tc>
          <w:tcPr>
            <w:tcW w:type="dxa" w:w="2860"/>
            <w:shd w:fill="1B2B3D"/>
            <w:vAlign w:val="center"/>
          </w:tcPr>
          <w:p>
            <w:pPr>
              <w:jc w:val="center"/>
            </w:pPr>
            <w:r>
              <w:rPr>
                <w:b/>
                <w:bCs/>
                <w:color w:val="FFFFFF"/>
                <w:sz w:val="20"/>
                <w:szCs w:val="20"/>
              </w:rPr>
              <w:t xml:space="preserve">Primary Owner</w:t>
            </w:r>
          </w:p>
        </w:tc>
      </w:tr>
      <w:tr>
        <w:tc>
          <w:tcPr>
            <w:tcW w:type="dxa" w:w="2000"/>
            <w:vAlign w:val="center"/>
          </w:tcPr>
          <w:p>
            <w:r>
              <w:rPr>
                <w:sz w:val="20"/>
                <w:szCs w:val="20"/>
              </w:rPr>
              <w:t xml:space="preserve">Technical</w:t>
            </w:r>
          </w:p>
        </w:tc>
        <w:tc>
          <w:tcPr>
            <w:tcW w:type="dxa" w:w="4500"/>
            <w:vAlign w:val="center"/>
          </w:tcPr>
          <w:p>
            <w:r>
              <w:rPr>
                <w:sz w:val="20"/>
                <w:szCs w:val="20"/>
              </w:rPr>
              <w:t xml:space="preserve">System, integration, or infrastructure problems</w:t>
            </w:r>
          </w:p>
        </w:tc>
        <w:tc>
          <w:tcPr>
            <w:tcW w:type="dxa" w:w="2860"/>
            <w:vAlign w:val="center"/>
          </w:tcPr>
          <w:p>
            <w:r>
              <w:rPr>
                <w:sz w:val="20"/>
                <w:szCs w:val="20"/>
              </w:rPr>
              <w:t xml:space="preserve">NOVATE Technical Lead</w:t>
            </w:r>
          </w:p>
        </w:tc>
      </w:tr>
      <w:tr>
        <w:tc>
          <w:tcPr>
            <w:tcW w:type="dxa" w:w="2000"/>
            <w:vAlign w:val="center"/>
          </w:tcPr>
          <w:p>
            <w:r>
              <w:rPr>
                <w:sz w:val="20"/>
                <w:szCs w:val="20"/>
              </w:rPr>
              <w:t xml:space="preserve">Resource</w:t>
            </w:r>
          </w:p>
        </w:tc>
        <w:tc>
          <w:tcPr>
            <w:tcW w:type="dxa" w:w="4500"/>
            <w:vAlign w:val="center"/>
          </w:tcPr>
          <w:p>
            <w:r>
              <w:rPr>
                <w:sz w:val="20"/>
                <w:szCs w:val="20"/>
              </w:rPr>
              <w:t xml:space="preserve">Staffing, availability, or capacity issues</w:t>
            </w:r>
          </w:p>
        </w:tc>
        <w:tc>
          <w:tcPr>
            <w:tcW w:type="dxa" w:w="2860"/>
            <w:vAlign w:val="center"/>
          </w:tcPr>
          <w:p>
            <w:r>
              <w:rPr>
                <w:sz w:val="20"/>
                <w:szCs w:val="20"/>
              </w:rPr>
              <w:t xml:space="preserve">Joint PM Team</w:t>
            </w:r>
          </w:p>
        </w:tc>
      </w:tr>
      <w:tr>
        <w:tc>
          <w:tcPr>
            <w:tcW w:type="dxa" w:w="2000"/>
            <w:vAlign w:val="center"/>
          </w:tcPr>
          <w:p>
            <w:r>
              <w:rPr>
                <w:sz w:val="20"/>
                <w:szCs w:val="20"/>
              </w:rPr>
              <w:t xml:space="preserve">Scope</w:t>
            </w:r>
          </w:p>
        </w:tc>
        <w:tc>
          <w:tcPr>
            <w:tcW w:type="dxa" w:w="4500"/>
            <w:vAlign w:val="center"/>
          </w:tcPr>
          <w:p>
            <w:r>
              <w:rPr>
                <w:sz w:val="20"/>
                <w:szCs w:val="20"/>
              </w:rPr>
              <w:t xml:space="preserve">Requirements changes or scope creep</w:t>
            </w:r>
          </w:p>
        </w:tc>
        <w:tc>
          <w:tcPr>
            <w:tcW w:type="dxa" w:w="2860"/>
            <w:vAlign w:val="center"/>
          </w:tcPr>
          <w:p>
            <w:r>
              <w:rPr>
                <w:sz w:val="20"/>
                <w:szCs w:val="20"/>
              </w:rPr>
              <w:t xml:space="preserve">NOVATE Engagement Lead</w:t>
            </w:r>
          </w:p>
        </w:tc>
      </w:tr>
      <w:tr>
        <w:tc>
          <w:tcPr>
            <w:tcW w:type="dxa" w:w="2000"/>
            <w:vAlign w:val="center"/>
          </w:tcPr>
          <w:p>
            <w:r>
              <w:rPr>
                <w:sz w:val="20"/>
                <w:szCs w:val="20"/>
              </w:rPr>
              <w:t xml:space="preserve">Timeline</w:t>
            </w:r>
          </w:p>
        </w:tc>
        <w:tc>
          <w:tcPr>
            <w:tcW w:type="dxa" w:w="4500"/>
            <w:vAlign w:val="center"/>
          </w:tcPr>
          <w:p>
            <w:r>
              <w:rPr>
                <w:sz w:val="20"/>
                <w:szCs w:val="20"/>
              </w:rPr>
              <w:t xml:space="preserve">Schedule delays or milestone risks</w:t>
            </w:r>
          </w:p>
        </w:tc>
        <w:tc>
          <w:tcPr>
            <w:tcW w:type="dxa" w:w="2860"/>
            <w:vAlign w:val="center"/>
          </w:tcPr>
          <w:p>
            <w:r>
              <w:rPr>
                <w:sz w:val="20"/>
                <w:szCs w:val="20"/>
              </w:rPr>
              <w:t xml:space="preserve">NOVATE PM</w:t>
            </w:r>
          </w:p>
        </w:tc>
      </w:tr>
      <w:tr>
        <w:tc>
          <w:tcPr>
            <w:tcW w:type="dxa" w:w="2000"/>
            <w:vAlign w:val="center"/>
          </w:tcPr>
          <w:p>
            <w:r>
              <w:rPr>
                <w:sz w:val="20"/>
                <w:szCs w:val="20"/>
              </w:rPr>
              <w:t xml:space="preserve">Vendor</w:t>
            </w:r>
          </w:p>
        </w:tc>
        <w:tc>
          <w:tcPr>
            <w:tcW w:type="dxa" w:w="4500"/>
            <w:vAlign w:val="center"/>
          </w:tcPr>
          <w:p>
            <w:r>
              <w:rPr>
                <w:sz w:val="20"/>
                <w:szCs w:val="20"/>
              </w:rPr>
              <w:t xml:space="preserve">Third-party dependencies or blockers</w:t>
            </w:r>
          </w:p>
        </w:tc>
        <w:tc>
          <w:tcPr>
            <w:tcW w:type="dxa" w:w="2860"/>
            <w:vAlign w:val="center"/>
          </w:tcPr>
          <w:p>
            <w:r>
              <w:rPr>
                <w:sz w:val="20"/>
                <w:szCs w:val="20"/>
              </w:rPr>
              <w:t xml:space="preserve">NFL IT Lead</w:t>
            </w:r>
          </w:p>
        </w:tc>
      </w:tr>
      <w:tr>
        <w:tc>
          <w:tcPr>
            <w:tcW w:type="dxa" w:w="2000"/>
            <w:vAlign w:val="center"/>
          </w:tcPr>
          <w:p>
            <w:r>
              <w:rPr>
                <w:sz w:val="20"/>
                <w:szCs w:val="20"/>
              </w:rPr>
              <w:t xml:space="preserve">Quality</w:t>
            </w:r>
          </w:p>
        </w:tc>
        <w:tc>
          <w:tcPr>
            <w:tcW w:type="dxa" w:w="4500"/>
            <w:vAlign w:val="center"/>
          </w:tcPr>
          <w:p>
            <w:r>
              <w:rPr>
                <w:sz w:val="20"/>
                <w:szCs w:val="20"/>
              </w:rPr>
              <w:t xml:space="preserve">Deliverable standards or defects</w:t>
            </w:r>
          </w:p>
        </w:tc>
        <w:tc>
          <w:tcPr>
            <w:tcW w:type="dxa" w:w="2860"/>
            <w:vAlign w:val="center"/>
          </w:tcPr>
          <w:p>
            <w:r>
              <w:rPr>
                <w:sz w:val="20"/>
                <w:szCs w:val="20"/>
              </w:rPr>
              <w:t xml:space="preserve">NOVATE QA Lead</w:t>
            </w:r>
          </w:p>
        </w:tc>
      </w:tr>
      <w:tr>
        <w:tc>
          <w:tcPr>
            <w:tcW w:type="dxa" w:w="2000"/>
            <w:vAlign w:val="center"/>
          </w:tcPr>
          <w:p>
            <w:r>
              <w:rPr>
                <w:sz w:val="20"/>
                <w:szCs w:val="20"/>
              </w:rPr>
              <w:t xml:space="preserve">Communication</w:t>
            </w:r>
          </w:p>
        </w:tc>
        <w:tc>
          <w:tcPr>
            <w:tcW w:type="dxa" w:w="4500"/>
            <w:vAlign w:val="center"/>
          </w:tcPr>
          <w:p>
            <w:r>
              <w:rPr>
                <w:sz w:val="20"/>
                <w:szCs w:val="20"/>
              </w:rPr>
              <w:t xml:space="preserve">Information gaps or misalignment</w:t>
            </w:r>
          </w:p>
        </w:tc>
        <w:tc>
          <w:tcPr>
            <w:tcW w:type="dxa" w:w="2860"/>
            <w:vAlign w:val="center"/>
          </w:tcPr>
          <w:p>
            <w:r>
              <w:rPr>
                <w:sz w:val="20"/>
                <w:szCs w:val="20"/>
              </w:rPr>
              <w:t xml:space="preserve">Joint PM Team</w:t>
            </w:r>
          </w:p>
        </w:tc>
      </w:tr>
    </w:tbl>
    <w:p>
      <w:pPr>
        <w:spacing w:before="300" w:after="200"/>
      </w:pPr>
      <w:r>
        <w:rPr>
          <w:b/>
          <w:bCs/>
          <w:color w:val="2B6B7D"/>
          <w:sz w:val="26"/>
          <w:szCs w:val="26"/>
        </w:rPr>
        <w:t xml:space="preserve">4.3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1B2B3D"/>
            <w:vAlign w:val="center"/>
          </w:tcPr>
          <w:p>
            <w:pPr>
              <w:jc w:val="center"/>
            </w:pPr>
            <w:r>
              <w:rPr>
                <w:b/>
                <w:bCs/>
                <w:color w:val="FFFFFF"/>
                <w:sz w:val="20"/>
                <w:szCs w:val="20"/>
              </w:rPr>
              <w:t xml:space="preserve">Level</w:t>
            </w:r>
          </w:p>
        </w:tc>
        <w:tc>
          <w:tcPr>
            <w:tcW w:type="dxa" w:w="2500"/>
            <w:shd w:fill="1B2B3D"/>
            <w:vAlign w:val="center"/>
          </w:tcPr>
          <w:p>
            <w:pPr>
              <w:jc w:val="center"/>
            </w:pPr>
            <w:r>
              <w:rPr>
                <w:b/>
                <w:bCs/>
                <w:color w:val="FFFFFF"/>
                <w:sz w:val="20"/>
                <w:szCs w:val="20"/>
              </w:rPr>
              <w:t xml:space="preserve">NOVATE</w:t>
            </w:r>
          </w:p>
        </w:tc>
        <w:tc>
          <w:tcPr>
            <w:tcW w:type="dxa" w:w="2500"/>
            <w:shd w:fill="1B2B3D"/>
            <w:vAlign w:val="center"/>
          </w:tcPr>
          <w:p>
            <w:pPr>
              <w:jc w:val="center"/>
            </w:pPr>
            <w:r>
              <w:rPr>
                <w:b/>
                <w:bCs/>
                <w:color w:val="FFFFFF"/>
                <w:sz w:val="20"/>
                <w:szCs w:val="20"/>
              </w:rPr>
              <w:t xml:space="preserve">NFL</w:t>
            </w:r>
          </w:p>
        </w:tc>
        <w:tc>
          <w:tcPr>
            <w:tcW w:type="dxa" w:w="3460"/>
            <w:shd w:fill="1B2B3D"/>
            <w:vAlign w:val="center"/>
          </w:tcPr>
          <w:p>
            <w:pPr>
              <w:jc w:val="center"/>
            </w:pPr>
            <w:r>
              <w:rPr>
                <w:b/>
                <w:bCs/>
                <w:color w:val="FFFFFF"/>
                <w:sz w:val="20"/>
                <w:szCs w:val="20"/>
              </w:rPr>
              <w:t xml:space="preserve">Trigger</w:t>
            </w:r>
          </w:p>
        </w:tc>
      </w:tr>
      <w:tr>
        <w:tc>
          <w:tcPr>
            <w:tcW w:type="dxa" w:w="900"/>
            <w:shd w:fill="2B6B7D"/>
            <w:vAlign w:val="center"/>
          </w:tcPr>
          <w:p>
            <w:pPr>
              <w:jc w:val="center"/>
            </w:pPr>
            <w:r>
              <w:rPr>
                <w:b/>
                <w:bCs/>
                <w:color w:val="FFFFFF"/>
                <w:sz w:val="20"/>
                <w:szCs w:val="20"/>
              </w:rPr>
              <w:t xml:space="preserve">L1</w:t>
            </w:r>
          </w:p>
        </w:tc>
        <w:tc>
          <w:tcPr>
            <w:tcW w:type="dxa" w:w="2500"/>
            <w:vAlign w:val="center"/>
          </w:tcPr>
          <w:p>
            <w:r>
              <w:rPr>
                <w:sz w:val="20"/>
                <w:szCs w:val="20"/>
              </w:rPr>
              <w:t xml:space="preserve">Project Manager</w:t>
            </w:r>
          </w:p>
        </w:tc>
        <w:tc>
          <w:tcPr>
            <w:tcW w:type="dxa" w:w="2500"/>
            <w:vAlign w:val="center"/>
          </w:tcPr>
          <w:p>
            <w:r>
              <w:rPr>
                <w:sz w:val="20"/>
                <w:szCs w:val="20"/>
              </w:rPr>
              <w:t xml:space="preserve">IT Project Lead</w:t>
            </w:r>
          </w:p>
        </w:tc>
        <w:tc>
          <w:tcPr>
            <w:tcW w:type="dxa" w:w="3460"/>
            <w:vAlign w:val="center"/>
          </w:tcPr>
          <w:p>
            <w:r>
              <w:rPr>
                <w:sz w:val="20"/>
                <w:szCs w:val="20"/>
              </w:rPr>
              <w:t xml:space="preserve">Initial identification</w:t>
            </w:r>
          </w:p>
        </w:tc>
      </w:tr>
      <w:tr>
        <w:tc>
          <w:tcPr>
            <w:tcW w:type="dxa" w:w="900"/>
            <w:shd w:fill="9AAF45"/>
            <w:vAlign w:val="center"/>
          </w:tcPr>
          <w:p>
            <w:pPr>
              <w:jc w:val="center"/>
            </w:pPr>
            <w:r>
              <w:rPr>
                <w:b/>
                <w:bCs/>
                <w:color w:val="FFFFFF"/>
                <w:sz w:val="20"/>
                <w:szCs w:val="20"/>
              </w:rPr>
              <w:t xml:space="preserve">L2</w:t>
            </w:r>
          </w:p>
        </w:tc>
        <w:tc>
          <w:tcPr>
            <w:tcW w:type="dxa" w:w="2500"/>
            <w:vAlign w:val="center"/>
          </w:tcPr>
          <w:p>
            <w:r>
              <w:rPr>
                <w:sz w:val="20"/>
                <w:szCs w:val="20"/>
              </w:rPr>
              <w:t xml:space="preserve">Engagement Lead</w:t>
            </w:r>
          </w:p>
        </w:tc>
        <w:tc>
          <w:tcPr>
            <w:tcW w:type="dxa" w:w="2500"/>
            <w:vAlign w:val="center"/>
          </w:tcPr>
          <w:p>
            <w:r>
              <w:rPr>
                <w:sz w:val="20"/>
                <w:szCs w:val="20"/>
              </w:rPr>
              <w:t xml:space="preserve">IT Director</w:t>
            </w:r>
          </w:p>
        </w:tc>
        <w:tc>
          <w:tcPr>
            <w:tcW w:type="dxa" w:w="3460"/>
            <w:vAlign w:val="center"/>
          </w:tcPr>
          <w:p>
            <w:r>
              <w:rPr>
                <w:sz w:val="20"/>
                <w:szCs w:val="20"/>
              </w:rPr>
              <w:t xml:space="preserve">Unresolved &gt;48hr or HIGH severity</w:t>
            </w:r>
          </w:p>
        </w:tc>
      </w:tr>
      <w:tr>
        <w:tc>
          <w:tcPr>
            <w:tcW w:type="dxa" w:w="900"/>
            <w:shd w:fill="E67E22"/>
            <w:vAlign w:val="center"/>
          </w:tcPr>
          <w:p>
            <w:pPr>
              <w:jc w:val="center"/>
            </w:pPr>
            <w:r>
              <w:rPr>
                <w:b/>
                <w:bCs/>
                <w:color w:val="FFFFFF"/>
                <w:sz w:val="20"/>
                <w:szCs w:val="20"/>
              </w:rPr>
              <w:t xml:space="preserve">L3</w:t>
            </w:r>
          </w:p>
        </w:tc>
        <w:tc>
          <w:tcPr>
            <w:tcW w:type="dxa" w:w="2500"/>
            <w:vAlign w:val="center"/>
          </w:tcPr>
          <w:p>
            <w:r>
              <w:rPr>
                <w:sz w:val="20"/>
                <w:szCs w:val="20"/>
              </w:rPr>
              <w:t xml:space="preserve">Program Director</w:t>
            </w:r>
          </w:p>
        </w:tc>
        <w:tc>
          <w:tcPr>
            <w:tcW w:type="dxa" w:w="2500"/>
            <w:vAlign w:val="center"/>
          </w:tcPr>
          <w:p>
            <w:r>
              <w:rPr>
                <w:sz w:val="20"/>
                <w:szCs w:val="20"/>
              </w:rPr>
              <w:t xml:space="preserve">VP IT</w:t>
            </w:r>
          </w:p>
        </w:tc>
        <w:tc>
          <w:tcPr>
            <w:tcW w:type="dxa" w:w="3460"/>
            <w:vAlign w:val="center"/>
          </w:tcPr>
          <w:p>
            <w:r>
              <w:rPr>
                <w:sz w:val="20"/>
                <w:szCs w:val="20"/>
              </w:rPr>
              <w:t xml:space="preserve">Unresolved &gt;5 days or &gt;1 week impact</w:t>
            </w:r>
          </w:p>
        </w:tc>
      </w:tr>
      <w:tr>
        <w:tc>
          <w:tcPr>
            <w:tcW w:type="dxa" w:w="900"/>
            <w:shd w:fill="C41E3A"/>
            <w:vAlign w:val="center"/>
          </w:tcPr>
          <w:p>
            <w:pPr>
              <w:jc w:val="center"/>
            </w:pPr>
            <w:r>
              <w:rPr>
                <w:b/>
                <w:bCs/>
                <w:color w:val="FFFFFF"/>
                <w:sz w:val="20"/>
                <w:szCs w:val="20"/>
              </w:rPr>
              <w:t xml:space="preserve">L4</w:t>
            </w:r>
          </w:p>
        </w:tc>
        <w:tc>
          <w:tcPr>
            <w:tcW w:type="dxa" w:w="2500"/>
            <w:vAlign w:val="center"/>
          </w:tcPr>
          <w:p>
            <w:r>
              <w:rPr>
                <w:sz w:val="20"/>
                <w:szCs w:val="20"/>
              </w:rPr>
              <w:t xml:space="preserve">CEO (Tye)</w:t>
            </w:r>
          </w:p>
        </w:tc>
        <w:tc>
          <w:tcPr>
            <w:tcW w:type="dxa" w:w="2500"/>
            <w:vAlign w:val="center"/>
          </w:tcPr>
          <w:p>
            <w:r>
              <w:rPr>
                <w:sz w:val="20"/>
                <w:szCs w:val="20"/>
              </w:rPr>
              <w:t xml:space="preserve">Executive Sponsor</w:t>
            </w:r>
          </w:p>
        </w:tc>
        <w:tc>
          <w:tcPr>
            <w:tcW w:type="dxa" w:w="3460"/>
            <w:vAlign w:val="center"/>
          </w:tcPr>
          <w:p>
            <w:r>
              <w:rPr>
                <w:sz w:val="20"/>
                <w:szCs w:val="20"/>
              </w:rPr>
              <w:t xml:space="preserve">CRITICAL or engagement at risk</w:t>
            </w:r>
          </w:p>
        </w:tc>
      </w:tr>
    </w:tbl>
    <w:p>
      <w:pPr>
        <w:spacing w:before="300" w:after="200"/>
      </w:pPr>
      <w:r>
        <w:rPr>
          <w:b/>
          <w:bCs/>
          <w:color w:val="2B6B7D"/>
          <w:sz w:val="26"/>
          <w:szCs w:val="26"/>
        </w:rPr>
        <w:t xml:space="preserve">4.4 Issue Resolution Process</w:t>
      </w:r>
    </w:p>
    <w:p>
      <w:pPr>
        <w:spacing w:after="120"/>
      </w:pPr>
      <w:r>
        <w:rPr>
          <w:sz w:val="20"/>
          <w:szCs w:val="20"/>
        </w:rPr>
        <w:t xml:space="preserve">All issues follow the 8-step resolution process:</w:t>
      </w:r>
    </w:p>
    <w:p>
      <w:pPr>
        <w:pStyle w:val="ListParagraph"/>
        <w:numPr>
          <w:ilvl w:val="0"/>
          <w:numId w:val="1"/>
        </w:numPr>
        <w:spacing w:after="80"/>
      </w:pPr>
      <w:r>
        <w:rPr>
          <w:sz w:val="20"/>
          <w:szCs w:val="20"/>
        </w:rPr>
        <w:t xml:space="preserve">Step 1 - IDENTIFY: Issue detected and initial assessment completed</w:t>
      </w:r>
    </w:p>
    <w:p>
      <w:pPr>
        <w:pStyle w:val="ListParagraph"/>
        <w:numPr>
          <w:ilvl w:val="0"/>
          <w:numId w:val="1"/>
        </w:numPr>
        <w:spacing w:after="80"/>
      </w:pPr>
      <w:r>
        <w:rPr>
          <w:sz w:val="20"/>
          <w:szCs w:val="20"/>
        </w:rPr>
        <w:t xml:space="preserve">Step 2 - CLASSIFY: Severity and category assigned per matrix</w:t>
      </w:r>
    </w:p>
    <w:p>
      <w:pPr>
        <w:pStyle w:val="ListParagraph"/>
        <w:numPr>
          <w:ilvl w:val="0"/>
          <w:numId w:val="1"/>
        </w:numPr>
        <w:spacing w:after="80"/>
      </w:pPr>
      <w:r>
        <w:rPr>
          <w:sz w:val="20"/>
          <w:szCs w:val="20"/>
        </w:rPr>
        <w:t xml:space="preserve">Step 3 - ASSIGN: Primary owner designated based on category</w:t>
      </w:r>
    </w:p>
    <w:p>
      <w:pPr>
        <w:pStyle w:val="ListParagraph"/>
        <w:numPr>
          <w:ilvl w:val="0"/>
          <w:numId w:val="1"/>
        </w:numPr>
        <w:spacing w:after="80"/>
      </w:pPr>
      <w:r>
        <w:rPr>
          <w:sz w:val="20"/>
          <w:szCs w:val="20"/>
        </w:rPr>
        <w:t xml:space="preserve">Step 4 - ANALYZE: Root cause analysis conducted</w:t>
      </w:r>
    </w:p>
    <w:p>
      <w:pPr>
        <w:pStyle w:val="ListParagraph"/>
        <w:numPr>
          <w:ilvl w:val="0"/>
          <w:numId w:val="1"/>
        </w:numPr>
        <w:spacing w:after="80"/>
      </w:pPr>
      <w:r>
        <w:rPr>
          <w:sz w:val="20"/>
          <w:szCs w:val="20"/>
        </w:rPr>
        <w:t xml:space="preserve">Step 5 - PLAN: Resolution approach documented with timeline</w:t>
      </w:r>
    </w:p>
    <w:p>
      <w:pPr>
        <w:pStyle w:val="ListParagraph"/>
        <w:numPr>
          <w:ilvl w:val="0"/>
          <w:numId w:val="1"/>
        </w:numPr>
        <w:spacing w:after="80"/>
      </w:pPr>
      <w:r>
        <w:rPr>
          <w:sz w:val="20"/>
          <w:szCs w:val="20"/>
        </w:rPr>
        <w:t xml:space="preserve">Step 6 - EXECUTE: Resolution actions implemented</w:t>
      </w:r>
    </w:p>
    <w:p>
      <w:pPr>
        <w:pStyle w:val="ListParagraph"/>
        <w:numPr>
          <w:ilvl w:val="0"/>
          <w:numId w:val="1"/>
        </w:numPr>
        <w:spacing w:after="80"/>
      </w:pPr>
      <w:r>
        <w:rPr>
          <w:sz w:val="20"/>
          <w:szCs w:val="20"/>
        </w:rPr>
        <w:t xml:space="preserve">Step 7 - VERIFY: Resolution validated by affected parties</w:t>
      </w:r>
    </w:p>
    <w:p>
      <w:pPr>
        <w:pStyle w:val="ListParagraph"/>
        <w:numPr>
          <w:ilvl w:val="0"/>
          <w:numId w:val="1"/>
        </w:numPr>
        <w:spacing w:after="80"/>
      </w:pPr>
      <w:r>
        <w:rPr>
          <w:sz w:val="20"/>
          <w:szCs w:val="20"/>
        </w:rPr>
        <w:t xml:space="preserve">Step 8 - CLOSE: Issue closed with lessons learned documented</w:t>
      </w:r>
    </w:p>
    <w:p>
      <w:pPr>
        <w:spacing w:after="120"/>
      </w:pPr>
      <w:r>
        <w:rPr>
          <w:sz w:val="20"/>
          <w:szCs w:val="20"/>
        </w:rPr>
        <w:t xml:space="preserve">All issues logged in Evidence Ledger within 4 hours with unique ID: ISS-NFL-[PHASE]-###</w:t>
      </w:r>
    </w:p>
    <w:p/>
    <w:p>
      <w:pPr>
        <w:spacing w:before="400" w:after="200"/>
      </w:pPr>
      <w:r>
        <w:rPr>
          <w:b/>
          <w:bCs/>
          <w:color w:val="1B2B3D"/>
          <w:sz w:val="32"/>
          <w:szCs w:val="32"/>
        </w:rPr>
        <w:t xml:space="preserve">5. EARLY WARNING &amp; NOTIFICATION TRIGGERS</w:t>
      </w:r>
    </w:p>
    <w:p>
      <w:pPr>
        <w:pBdr>
          <w:left w:val="single" w:color="C41E3A" w:sz="24"/>
        </w:pBdr>
        <w:spacing w:before="200" w:after="200"/>
        <w:ind w:left="200"/>
      </w:pPr>
      <w:r>
        <w:rPr>
          <w:sz w:val="22"/>
          <w:szCs w:val="22"/>
        </w:rPr>
        <w:t xml:space="preserve">⚠ </w:t>
      </w:r>
      <w:r>
        <w:rPr>
          <w:b/>
          <w:bCs/>
          <w:color w:val="C41E3A"/>
          <w:sz w:val="20"/>
          <w:szCs w:val="20"/>
        </w:rPr>
        <w:t xml:space="preserve">CRITICAL CHURN ZONE: Per SIPE methodology, 60% of engagement delays occur during D2 DIAGNOSE and D3 DESIGN phases (Weeks 4-12). Enhanced monitoring is mandatory during this period.</w:t>
      </w:r>
    </w:p>
    <w:p>
      <w:pPr>
        <w:spacing w:before="300" w:after="200"/>
      </w:pPr>
      <w:r>
        <w:rPr>
          <w:b/>
          <w:bCs/>
          <w:color w:val="2B6B7D"/>
          <w:sz w:val="26"/>
          <w:szCs w:val="26"/>
        </w:rPr>
        <w:t xml:space="preserve">5.1 Churn Prevention Indicators (D2-D3 Critical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shd w:fill="1B2B3D"/>
            <w:vAlign w:val="center"/>
          </w:tcPr>
          <w:p>
            <w:pPr>
              <w:jc w:val="center"/>
            </w:pPr>
            <w:r>
              <w:rPr>
                <w:b/>
                <w:bCs/>
                <w:color w:val="FFFFFF"/>
                <w:sz w:val="20"/>
                <w:szCs w:val="20"/>
              </w:rPr>
              <w:t xml:space="preserve">Indicator</w:t>
            </w:r>
          </w:p>
        </w:tc>
        <w:tc>
          <w:tcPr>
            <w:tcW w:type="dxa" w:w="2000"/>
            <w:shd w:fill="1B2B3D"/>
            <w:vAlign w:val="center"/>
          </w:tcPr>
          <w:p>
            <w:pPr>
              <w:jc w:val="center"/>
            </w:pPr>
            <w:r>
              <w:rPr>
                <w:b/>
                <w:bCs/>
                <w:color w:val="FFFFFF"/>
                <w:sz w:val="20"/>
                <w:szCs w:val="20"/>
              </w:rPr>
              <w:t xml:space="preserve">Alert Threshold</w:t>
            </w:r>
          </w:p>
        </w:tc>
        <w:tc>
          <w:tcPr>
            <w:tcW w:type="dxa" w:w="2000"/>
            <w:shd w:fill="1B2B3D"/>
            <w:vAlign w:val="center"/>
          </w:tcPr>
          <w:p>
            <w:pPr>
              <w:jc w:val="center"/>
            </w:pPr>
            <w:r>
              <w:rPr>
                <w:b/>
                <w:bCs/>
                <w:color w:val="FFFFFF"/>
                <w:sz w:val="20"/>
                <w:szCs w:val="20"/>
              </w:rPr>
              <w:t xml:space="preserve">Escalate Threshold</w:t>
            </w:r>
          </w:p>
        </w:tc>
        <w:tc>
          <w:tcPr>
            <w:tcW w:type="dxa" w:w="2560"/>
            <w:shd w:fill="1B2B3D"/>
            <w:vAlign w:val="center"/>
          </w:tcPr>
          <w:p>
            <w:pPr>
              <w:jc w:val="center"/>
            </w:pPr>
            <w:r>
              <w:rPr>
                <w:b/>
                <w:bCs/>
                <w:color w:val="FFFFFF"/>
                <w:sz w:val="20"/>
                <w:szCs w:val="20"/>
              </w:rPr>
              <w:t xml:space="preserve">Owner</w:t>
            </w:r>
          </w:p>
        </w:tc>
      </w:tr>
      <w:tr>
        <w:tc>
          <w:tcPr>
            <w:tcW w:type="dxa" w:w="2800"/>
            <w:vAlign w:val="center"/>
          </w:tcPr>
          <w:p>
            <w:r>
              <w:rPr>
                <w:sz w:val="20"/>
                <w:szCs w:val="20"/>
              </w:rPr>
              <w:t xml:space="preserve">Requirements Ambiguity Score (RAS)</w:t>
            </w:r>
          </w:p>
        </w:tc>
        <w:tc>
          <w:tcPr>
            <w:tcW w:type="dxa" w:w="2000"/>
            <w:vAlign w:val="center"/>
          </w:tcPr>
          <w:p>
            <w:r>
              <w:rPr>
                <w:sz w:val="20"/>
                <w:szCs w:val="20"/>
              </w:rPr>
              <w:t xml:space="preserve">&gt;20</w:t>
            </w:r>
          </w:p>
        </w:tc>
        <w:tc>
          <w:tcPr>
            <w:tcW w:type="dxa" w:w="2000"/>
            <w:vAlign w:val="center"/>
          </w:tcPr>
          <w:p>
            <w:r>
              <w:rPr>
                <w:sz w:val="20"/>
                <w:szCs w:val="20"/>
              </w:rPr>
              <w:t xml:space="preserve">&gt;40</w:t>
            </w:r>
          </w:p>
        </w:tc>
        <w:tc>
          <w:tcPr>
            <w:tcW w:type="dxa" w:w="2560"/>
            <w:vAlign w:val="center"/>
          </w:tcPr>
          <w:p>
            <w:r>
              <w:rPr>
                <w:sz w:val="20"/>
                <w:szCs w:val="20"/>
              </w:rPr>
              <w:t xml:space="preserve">Engagement Lead</w:t>
            </w:r>
          </w:p>
        </w:tc>
      </w:tr>
      <w:tr>
        <w:tc>
          <w:tcPr>
            <w:tcW w:type="dxa" w:w="2800"/>
            <w:vAlign w:val="center"/>
          </w:tcPr>
          <w:p>
            <w:r>
              <w:rPr>
                <w:sz w:val="20"/>
                <w:szCs w:val="20"/>
              </w:rPr>
              <w:t xml:space="preserve">Stakeholder Alignment Index (SAI)</w:t>
            </w:r>
          </w:p>
        </w:tc>
        <w:tc>
          <w:tcPr>
            <w:tcW w:type="dxa" w:w="2000"/>
            <w:vAlign w:val="center"/>
          </w:tcPr>
          <w:p>
            <w:r>
              <w:rPr>
                <w:sz w:val="20"/>
                <w:szCs w:val="20"/>
              </w:rPr>
              <w:t xml:space="preserve">&lt;85%</w:t>
            </w:r>
          </w:p>
        </w:tc>
        <w:tc>
          <w:tcPr>
            <w:tcW w:type="dxa" w:w="2000"/>
            <w:vAlign w:val="center"/>
          </w:tcPr>
          <w:p>
            <w:r>
              <w:rPr>
                <w:sz w:val="20"/>
                <w:szCs w:val="20"/>
              </w:rPr>
              <w:t xml:space="preserve">&lt;70%</w:t>
            </w:r>
          </w:p>
        </w:tc>
        <w:tc>
          <w:tcPr>
            <w:tcW w:type="dxa" w:w="2560"/>
            <w:vAlign w:val="center"/>
          </w:tcPr>
          <w:p>
            <w:r>
              <w:rPr>
                <w:sz w:val="20"/>
                <w:szCs w:val="20"/>
              </w:rPr>
              <w:t xml:space="preserve">Program Director</w:t>
            </w:r>
          </w:p>
        </w:tc>
      </w:tr>
      <w:tr>
        <w:tc>
          <w:tcPr>
            <w:tcW w:type="dxa" w:w="2800"/>
            <w:vAlign w:val="center"/>
          </w:tcPr>
          <w:p>
            <w:r>
              <w:rPr>
                <w:sz w:val="20"/>
                <w:szCs w:val="20"/>
              </w:rPr>
              <w:t xml:space="preserve">Scope Stability Score (SSS)</w:t>
            </w:r>
          </w:p>
        </w:tc>
        <w:tc>
          <w:tcPr>
            <w:tcW w:type="dxa" w:w="2000"/>
            <w:vAlign w:val="center"/>
          </w:tcPr>
          <w:p>
            <w:r>
              <w:rPr>
                <w:sz w:val="20"/>
                <w:szCs w:val="20"/>
              </w:rPr>
              <w:t xml:space="preserve">&lt;85</w:t>
            </w:r>
          </w:p>
        </w:tc>
        <w:tc>
          <w:tcPr>
            <w:tcW w:type="dxa" w:w="2000"/>
            <w:vAlign w:val="center"/>
          </w:tcPr>
          <w:p>
            <w:r>
              <w:rPr>
                <w:sz w:val="20"/>
                <w:szCs w:val="20"/>
              </w:rPr>
              <w:t xml:space="preserve">&lt;70</w:t>
            </w:r>
          </w:p>
        </w:tc>
        <w:tc>
          <w:tcPr>
            <w:tcW w:type="dxa" w:w="2560"/>
            <w:vAlign w:val="center"/>
          </w:tcPr>
          <w:p>
            <w:r>
              <w:rPr>
                <w:sz w:val="20"/>
                <w:szCs w:val="20"/>
              </w:rPr>
              <w:t xml:space="preserve">Steering Committee</w:t>
            </w:r>
          </w:p>
        </w:tc>
      </w:tr>
      <w:tr>
        <w:tc>
          <w:tcPr>
            <w:tcW w:type="dxa" w:w="2800"/>
            <w:vAlign w:val="center"/>
          </w:tcPr>
          <w:p>
            <w:r>
              <w:rPr>
                <w:sz w:val="20"/>
                <w:szCs w:val="20"/>
              </w:rPr>
              <w:t xml:space="preserve">Decision Bottleneck Index (DBI)</w:t>
            </w:r>
          </w:p>
        </w:tc>
        <w:tc>
          <w:tcPr>
            <w:tcW w:type="dxa" w:w="2000"/>
            <w:vAlign w:val="center"/>
          </w:tcPr>
          <w:p>
            <w:r>
              <w:rPr>
                <w:sz w:val="20"/>
                <w:szCs w:val="20"/>
              </w:rPr>
              <w:t xml:space="preserve">&gt;3 delays</w:t>
            </w:r>
          </w:p>
        </w:tc>
        <w:tc>
          <w:tcPr>
            <w:tcW w:type="dxa" w:w="2000"/>
            <w:vAlign w:val="center"/>
          </w:tcPr>
          <w:p>
            <w:r>
              <w:rPr>
                <w:sz w:val="20"/>
                <w:szCs w:val="20"/>
              </w:rPr>
              <w:t xml:space="preserve">&gt;5 delays</w:t>
            </w:r>
          </w:p>
        </w:tc>
        <w:tc>
          <w:tcPr>
            <w:tcW w:type="dxa" w:w="2560"/>
            <w:vAlign w:val="center"/>
          </w:tcPr>
          <w:p>
            <w:r>
              <w:rPr>
                <w:sz w:val="20"/>
                <w:szCs w:val="20"/>
              </w:rPr>
              <w:t xml:space="preserve">Exec Sponsor</w:t>
            </w:r>
          </w:p>
        </w:tc>
      </w:tr>
      <w:tr>
        <w:tc>
          <w:tcPr>
            <w:tcW w:type="dxa" w:w="2800"/>
            <w:vAlign w:val="center"/>
          </w:tcPr>
          <w:p>
            <w:r>
              <w:rPr>
                <w:sz w:val="20"/>
                <w:szCs w:val="20"/>
              </w:rPr>
              <w:t xml:space="preserve">Technical Feasibility Confidence</w:t>
            </w:r>
          </w:p>
        </w:tc>
        <w:tc>
          <w:tcPr>
            <w:tcW w:type="dxa" w:w="2000"/>
            <w:vAlign w:val="center"/>
          </w:tcPr>
          <w:p>
            <w:r>
              <w:rPr>
                <w:sz w:val="20"/>
                <w:szCs w:val="20"/>
              </w:rPr>
              <w:t xml:space="preserve">&lt;80%</w:t>
            </w:r>
          </w:p>
        </w:tc>
        <w:tc>
          <w:tcPr>
            <w:tcW w:type="dxa" w:w="2000"/>
            <w:vAlign w:val="center"/>
          </w:tcPr>
          <w:p>
            <w:r>
              <w:rPr>
                <w:sz w:val="20"/>
                <w:szCs w:val="20"/>
              </w:rPr>
              <w:t xml:space="preserve">&lt;65%</w:t>
            </w:r>
          </w:p>
        </w:tc>
        <w:tc>
          <w:tcPr>
            <w:tcW w:type="dxa" w:w="2560"/>
            <w:vAlign w:val="center"/>
          </w:tcPr>
          <w:p>
            <w:r>
              <w:rPr>
                <w:sz w:val="20"/>
                <w:szCs w:val="20"/>
              </w:rPr>
              <w:t xml:space="preserve">Technical Leads</w:t>
            </w:r>
          </w:p>
        </w:tc>
      </w:tr>
      <w:tr>
        <w:tc>
          <w:tcPr>
            <w:tcW w:type="dxa" w:w="2800"/>
            <w:vAlign w:val="center"/>
          </w:tcPr>
          <w:p>
            <w:r>
              <w:rPr>
                <w:sz w:val="20"/>
                <w:szCs w:val="20"/>
              </w:rPr>
              <w:t xml:space="preserve">Timeline Compression Rate</w:t>
            </w:r>
          </w:p>
        </w:tc>
        <w:tc>
          <w:tcPr>
            <w:tcW w:type="dxa" w:w="2000"/>
            <w:vAlign w:val="center"/>
          </w:tcPr>
          <w:p>
            <w:r>
              <w:rPr>
                <w:sz w:val="20"/>
                <w:szCs w:val="20"/>
              </w:rPr>
              <w:t xml:space="preserve">&gt;15%</w:t>
            </w:r>
          </w:p>
        </w:tc>
        <w:tc>
          <w:tcPr>
            <w:tcW w:type="dxa" w:w="2000"/>
            <w:vAlign w:val="center"/>
          </w:tcPr>
          <w:p>
            <w:r>
              <w:rPr>
                <w:sz w:val="20"/>
                <w:szCs w:val="20"/>
              </w:rPr>
              <w:t xml:space="preserve">&gt;25%</w:t>
            </w:r>
          </w:p>
        </w:tc>
        <w:tc>
          <w:tcPr>
            <w:tcW w:type="dxa" w:w="2560"/>
            <w:vAlign w:val="center"/>
          </w:tcPr>
          <w:p>
            <w:r>
              <w:rPr>
                <w:sz w:val="20"/>
                <w:szCs w:val="20"/>
              </w:rPr>
              <w:t xml:space="preserve">Program Director</w:t>
            </w:r>
          </w:p>
        </w:tc>
      </w:tr>
      <w:tr>
        <w:tc>
          <w:tcPr>
            <w:tcW w:type="dxa" w:w="2800"/>
            <w:vAlign w:val="center"/>
          </w:tcPr>
          <w:p>
            <w:r>
              <w:rPr>
                <w:sz w:val="20"/>
                <w:szCs w:val="20"/>
              </w:rPr>
              <w:t xml:space="preserve">Resource Allocation Gap</w:t>
            </w:r>
          </w:p>
        </w:tc>
        <w:tc>
          <w:tcPr>
            <w:tcW w:type="dxa" w:w="2000"/>
            <w:vAlign w:val="center"/>
          </w:tcPr>
          <w:p>
            <w:r>
              <w:rPr>
                <w:sz w:val="20"/>
                <w:szCs w:val="20"/>
              </w:rPr>
              <w:t xml:space="preserve">&gt;7 days unfilled</w:t>
            </w:r>
          </w:p>
        </w:tc>
        <w:tc>
          <w:tcPr>
            <w:tcW w:type="dxa" w:w="2000"/>
            <w:vAlign w:val="center"/>
          </w:tcPr>
          <w:p>
            <w:r>
              <w:rPr>
                <w:sz w:val="20"/>
                <w:szCs w:val="20"/>
              </w:rPr>
              <w:t xml:space="preserve">&gt;14 days</w:t>
            </w:r>
          </w:p>
        </w:tc>
        <w:tc>
          <w:tcPr>
            <w:tcW w:type="dxa" w:w="2560"/>
            <w:vAlign w:val="center"/>
          </w:tcPr>
          <w:p>
            <w:r>
              <w:rPr>
                <w:sz w:val="20"/>
                <w:szCs w:val="20"/>
              </w:rPr>
              <w:t xml:space="preserve">Joint PM Team</w:t>
            </w:r>
          </w:p>
        </w:tc>
      </w:tr>
      <w:tr>
        <w:tc>
          <w:tcPr>
            <w:tcW w:type="dxa" w:w="2800"/>
            <w:vAlign w:val="center"/>
          </w:tcPr>
          <w:p>
            <w:r>
              <w:rPr>
                <w:sz w:val="20"/>
                <w:szCs w:val="20"/>
              </w:rPr>
              <w:t xml:space="preserve">Client Engagement Decline</w:t>
            </w:r>
          </w:p>
        </w:tc>
        <w:tc>
          <w:tcPr>
            <w:tcW w:type="dxa" w:w="2000"/>
            <w:vAlign w:val="center"/>
          </w:tcPr>
          <w:p>
            <w:r>
              <w:rPr>
                <w:sz w:val="20"/>
                <w:szCs w:val="20"/>
              </w:rPr>
              <w:t xml:space="preserve">&gt;20% drop</w:t>
            </w:r>
          </w:p>
        </w:tc>
        <w:tc>
          <w:tcPr>
            <w:tcW w:type="dxa" w:w="2000"/>
            <w:vAlign w:val="center"/>
          </w:tcPr>
          <w:p>
            <w:r>
              <w:rPr>
                <w:sz w:val="20"/>
                <w:szCs w:val="20"/>
              </w:rPr>
              <w:t xml:space="preserve">&gt;35% drop</w:t>
            </w:r>
          </w:p>
        </w:tc>
        <w:tc>
          <w:tcPr>
            <w:tcW w:type="dxa" w:w="2560"/>
            <w:vAlign w:val="center"/>
          </w:tcPr>
          <w:p>
            <w:r>
              <w:rPr>
                <w:sz w:val="20"/>
                <w:szCs w:val="20"/>
              </w:rPr>
              <w:t xml:space="preserve">Exec Sponsor</w:t>
            </w:r>
          </w:p>
        </w:tc>
      </w:tr>
    </w:tbl>
    <w:p>
      <w:pPr>
        <w:spacing w:before="300" w:after="200"/>
      </w:pPr>
      <w:r>
        <w:rPr>
          <w:b/>
          <w:bCs/>
          <w:color w:val="2B6B7D"/>
          <w:sz w:val="26"/>
          <w:szCs w:val="26"/>
        </w:rPr>
        <w:t xml:space="preserve">5.2 General Engagement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shd w:fill="1B2B3D"/>
            <w:vAlign w:val="center"/>
          </w:tcPr>
          <w:p>
            <w:pPr>
              <w:jc w:val="center"/>
            </w:pPr>
            <w:r>
              <w:rPr>
                <w:b/>
                <w:bCs/>
                <w:color w:val="FFFFFF"/>
                <w:sz w:val="20"/>
                <w:szCs w:val="20"/>
              </w:rPr>
              <w:t xml:space="preserve">Trigger Condition</w:t>
            </w:r>
          </w:p>
        </w:tc>
        <w:tc>
          <w:tcPr>
            <w:tcW w:type="dxa" w:w="2000"/>
            <w:shd w:fill="1B2B3D"/>
            <w:vAlign w:val="center"/>
          </w:tcPr>
          <w:p>
            <w:pPr>
              <w:jc w:val="center"/>
            </w:pPr>
            <w:r>
              <w:rPr>
                <w:b/>
                <w:bCs/>
                <w:color w:val="FFFFFF"/>
                <w:sz w:val="20"/>
                <w:szCs w:val="20"/>
              </w:rPr>
              <w:t xml:space="preserve">Detection</w:t>
            </w:r>
          </w:p>
        </w:tc>
        <w:tc>
          <w:tcPr>
            <w:tcW w:type="dxa" w:w="2860"/>
            <w:shd w:fill="1B2B3D"/>
            <w:vAlign w:val="center"/>
          </w:tcPr>
          <w:p>
            <w:pPr>
              <w:jc w:val="center"/>
            </w:pPr>
            <w:r>
              <w:rPr>
                <w:b/>
                <w:bCs/>
                <w:color w:val="FFFFFF"/>
                <w:sz w:val="20"/>
                <w:szCs w:val="20"/>
              </w:rPr>
              <w:t xml:space="preserve">Action</w:t>
            </w:r>
          </w:p>
        </w:tc>
      </w:tr>
      <w:tr>
        <w:tc>
          <w:tcPr>
            <w:tcW w:type="dxa" w:w="4500"/>
            <w:vAlign w:val="center"/>
          </w:tcPr>
          <w:p>
            <w:r>
              <w:rPr>
                <w:sz w:val="20"/>
                <w:szCs w:val="20"/>
              </w:rPr>
              <w:t xml:space="preserve">Stakeholder meeting attendance drops &gt;20%</w:t>
            </w:r>
          </w:p>
        </w:tc>
        <w:tc>
          <w:tcPr>
            <w:tcW w:type="dxa" w:w="2000"/>
            <w:vAlign w:val="center"/>
          </w:tcPr>
          <w:p>
            <w:r>
              <w:rPr>
                <w:sz w:val="20"/>
                <w:szCs w:val="20"/>
              </w:rPr>
              <w:t xml:space="preserve">Automated</w:t>
            </w:r>
          </w:p>
        </w:tc>
        <w:tc>
          <w:tcPr>
            <w:tcW w:type="dxa" w:w="2860"/>
            <w:vAlign w:val="center"/>
          </w:tcPr>
          <w:p>
            <w:r>
              <w:rPr>
                <w:sz w:val="20"/>
                <w:szCs w:val="20"/>
              </w:rPr>
              <w:t xml:space="preserve">PM escalation to Lead</w:t>
            </w:r>
          </w:p>
        </w:tc>
      </w:tr>
      <w:tr>
        <w:tc>
          <w:tcPr>
            <w:tcW w:type="dxa" w:w="4500"/>
            <w:vAlign w:val="center"/>
          </w:tcPr>
          <w:p>
            <w:r>
              <w:rPr>
                <w:sz w:val="20"/>
                <w:szCs w:val="20"/>
              </w:rPr>
              <w:t xml:space="preserve">Document request overdue &gt;5 business days</w:t>
            </w:r>
          </w:p>
        </w:tc>
        <w:tc>
          <w:tcPr>
            <w:tcW w:type="dxa" w:w="2000"/>
            <w:vAlign w:val="center"/>
          </w:tcPr>
          <w:p>
            <w:r>
              <w:rPr>
                <w:sz w:val="20"/>
                <w:szCs w:val="20"/>
              </w:rPr>
              <w:t xml:space="preserve">Automated</w:t>
            </w:r>
          </w:p>
        </w:tc>
        <w:tc>
          <w:tcPr>
            <w:tcW w:type="dxa" w:w="2860"/>
            <w:vAlign w:val="center"/>
          </w:tcPr>
          <w:p>
            <w:r>
              <w:rPr>
                <w:sz w:val="20"/>
                <w:szCs w:val="20"/>
              </w:rPr>
              <w:t xml:space="preserve">Direct follow-up</w:t>
            </w:r>
          </w:p>
        </w:tc>
      </w:tr>
      <w:tr>
        <w:tc>
          <w:tcPr>
            <w:tcW w:type="dxa" w:w="4500"/>
            <w:vAlign w:val="center"/>
          </w:tcPr>
          <w:p>
            <w:r>
              <w:rPr>
                <w:sz w:val="20"/>
                <w:szCs w:val="20"/>
              </w:rPr>
              <w:t xml:space="preserve">3+ conflicting stakeholder inputs identified</w:t>
            </w:r>
          </w:p>
        </w:tc>
        <w:tc>
          <w:tcPr>
            <w:tcW w:type="dxa" w:w="2000"/>
            <w:vAlign w:val="center"/>
          </w:tcPr>
          <w:p>
            <w:r>
              <w:rPr>
                <w:sz w:val="20"/>
                <w:szCs w:val="20"/>
              </w:rPr>
              <w:t xml:space="preserve">Manual</w:t>
            </w:r>
          </w:p>
        </w:tc>
        <w:tc>
          <w:tcPr>
            <w:tcW w:type="dxa" w:w="2860"/>
            <w:vAlign w:val="center"/>
          </w:tcPr>
          <w:p>
            <w:r>
              <w:rPr>
                <w:sz w:val="20"/>
                <w:szCs w:val="20"/>
              </w:rPr>
              <w:t xml:space="preserve">Alignment workshop</w:t>
            </w:r>
          </w:p>
        </w:tc>
      </w:tr>
      <w:tr>
        <w:tc>
          <w:tcPr>
            <w:tcW w:type="dxa" w:w="4500"/>
            <w:vAlign w:val="center"/>
          </w:tcPr>
          <w:p>
            <w:r>
              <w:rPr>
                <w:sz w:val="20"/>
                <w:szCs w:val="20"/>
              </w:rPr>
              <w:t xml:space="preserve">&gt;2 scope expansion requests in single week</w:t>
            </w:r>
          </w:p>
        </w:tc>
        <w:tc>
          <w:tcPr>
            <w:tcW w:type="dxa" w:w="2000"/>
            <w:vAlign w:val="center"/>
          </w:tcPr>
          <w:p>
            <w:r>
              <w:rPr>
                <w:sz w:val="20"/>
                <w:szCs w:val="20"/>
              </w:rPr>
              <w:t xml:space="preserve">Manual</w:t>
            </w:r>
          </w:p>
        </w:tc>
        <w:tc>
          <w:tcPr>
            <w:tcW w:type="dxa" w:w="2860"/>
            <w:vAlign w:val="center"/>
          </w:tcPr>
          <w:p>
            <w:r>
              <w:rPr>
                <w:sz w:val="20"/>
                <w:szCs w:val="20"/>
              </w:rPr>
              <w:t xml:space="preserve">Change board review</w:t>
            </w:r>
          </w:p>
        </w:tc>
      </w:tr>
      <w:tr>
        <w:tc>
          <w:tcPr>
            <w:tcW w:type="dxa" w:w="4500"/>
            <w:vAlign w:val="center"/>
          </w:tcPr>
          <w:p>
            <w:r>
              <w:rPr>
                <w:sz w:val="20"/>
                <w:szCs w:val="20"/>
              </w:rPr>
              <w:t xml:space="preserve">Technical blocker identified with no workaround</w:t>
            </w:r>
          </w:p>
        </w:tc>
        <w:tc>
          <w:tcPr>
            <w:tcW w:type="dxa" w:w="2000"/>
            <w:vAlign w:val="center"/>
          </w:tcPr>
          <w:p>
            <w:r>
              <w:rPr>
                <w:sz w:val="20"/>
                <w:szCs w:val="20"/>
              </w:rPr>
              <w:t xml:space="preserve">Manual</w:t>
            </w:r>
          </w:p>
        </w:tc>
        <w:tc>
          <w:tcPr>
            <w:tcW w:type="dxa" w:w="2860"/>
            <w:vAlign w:val="center"/>
          </w:tcPr>
          <w:p>
            <w:r>
              <w:rPr>
                <w:sz w:val="20"/>
                <w:szCs w:val="20"/>
              </w:rPr>
              <w:t xml:space="preserve">Immediate SME session</w:t>
            </w:r>
          </w:p>
        </w:tc>
      </w:tr>
      <w:tr>
        <w:tc>
          <w:tcPr>
            <w:tcW w:type="dxa" w:w="4500"/>
            <w:vAlign w:val="center"/>
          </w:tcPr>
          <w:p>
            <w:r>
              <w:rPr>
                <w:sz w:val="20"/>
                <w:szCs w:val="20"/>
              </w:rPr>
              <w:t xml:space="preserve">Stage Gate criteria at risk (5 days out)</w:t>
            </w:r>
          </w:p>
        </w:tc>
        <w:tc>
          <w:tcPr>
            <w:tcW w:type="dxa" w:w="2000"/>
            <w:vAlign w:val="center"/>
          </w:tcPr>
          <w:p>
            <w:r>
              <w:rPr>
                <w:sz w:val="20"/>
                <w:szCs w:val="20"/>
              </w:rPr>
              <w:t xml:space="preserve">Automated</w:t>
            </w:r>
          </w:p>
        </w:tc>
        <w:tc>
          <w:tcPr>
            <w:tcW w:type="dxa" w:w="2860"/>
            <w:vAlign w:val="center"/>
          </w:tcPr>
          <w:p>
            <w:r>
              <w:rPr>
                <w:sz w:val="20"/>
                <w:szCs w:val="20"/>
              </w:rPr>
              <w:t xml:space="preserve">Gate readiness review</w:t>
            </w:r>
          </w:p>
        </w:tc>
      </w:tr>
      <w:tr>
        <w:tc>
          <w:tcPr>
            <w:tcW w:type="dxa" w:w="4500"/>
            <w:vAlign w:val="center"/>
          </w:tcPr>
          <w:p>
            <w:r>
              <w:rPr>
                <w:sz w:val="20"/>
                <w:szCs w:val="20"/>
              </w:rPr>
              <w:t xml:space="preserve">Budget variance exceeds 10%</w:t>
            </w:r>
          </w:p>
        </w:tc>
        <w:tc>
          <w:tcPr>
            <w:tcW w:type="dxa" w:w="2000"/>
            <w:vAlign w:val="center"/>
          </w:tcPr>
          <w:p>
            <w:r>
              <w:rPr>
                <w:sz w:val="20"/>
                <w:szCs w:val="20"/>
              </w:rPr>
              <w:t xml:space="preserve">Automated</w:t>
            </w:r>
          </w:p>
        </w:tc>
        <w:tc>
          <w:tcPr>
            <w:tcW w:type="dxa" w:w="2860"/>
            <w:vAlign w:val="center"/>
          </w:tcPr>
          <w:p>
            <w:r>
              <w:rPr>
                <w:sz w:val="20"/>
                <w:szCs w:val="20"/>
              </w:rPr>
              <w:t xml:space="preserve">Financial review</w:t>
            </w:r>
          </w:p>
        </w:tc>
      </w:tr>
      <w:tr>
        <w:tc>
          <w:tcPr>
            <w:tcW w:type="dxa" w:w="4500"/>
            <w:vAlign w:val="center"/>
          </w:tcPr>
          <w:p>
            <w:r>
              <w:rPr>
                <w:sz w:val="20"/>
                <w:szCs w:val="20"/>
              </w:rPr>
              <w:t xml:space="preserve">Quality gate failure</w:t>
            </w:r>
          </w:p>
        </w:tc>
        <w:tc>
          <w:tcPr>
            <w:tcW w:type="dxa" w:w="2000"/>
            <w:vAlign w:val="center"/>
          </w:tcPr>
          <w:p>
            <w:r>
              <w:rPr>
                <w:sz w:val="20"/>
                <w:szCs w:val="20"/>
              </w:rPr>
              <w:t xml:space="preserve">Manual</w:t>
            </w:r>
          </w:p>
        </w:tc>
        <w:tc>
          <w:tcPr>
            <w:tcW w:type="dxa" w:w="2860"/>
            <w:vAlign w:val="center"/>
          </w:tcPr>
          <w:p>
            <w:r>
              <w:rPr>
                <w:sz w:val="20"/>
                <w:szCs w:val="20"/>
              </w:rPr>
              <w:t xml:space="preserve">Rework + root cause</w:t>
            </w:r>
          </w:p>
        </w:tc>
      </w:tr>
    </w:tbl>
    <w:p>
      <w:pPr>
        <w:spacing w:before="300" w:after="200"/>
      </w:pPr>
      <w:r>
        <w:rPr>
          <w:b/>
          <w:bCs/>
          <w:color w:val="2B6B7D"/>
          <w:sz w:val="26"/>
          <w:szCs w:val="26"/>
        </w:rPr>
        <w:t xml:space="preserve">5.3 Notification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1B2B3D"/>
            <w:vAlign w:val="center"/>
          </w:tcPr>
          <w:p>
            <w:pPr>
              <w:jc w:val="center"/>
            </w:pPr>
            <w:r>
              <w:rPr>
                <w:b/>
                <w:bCs/>
                <w:color w:val="FFFFFF"/>
                <w:sz w:val="20"/>
                <w:szCs w:val="20"/>
              </w:rPr>
              <w:t xml:space="preserve">Level</w:t>
            </w:r>
          </w:p>
        </w:tc>
        <w:tc>
          <w:tcPr>
            <w:tcW w:type="dxa" w:w="2000"/>
            <w:shd w:fill="1B2B3D"/>
            <w:vAlign w:val="center"/>
          </w:tcPr>
          <w:p>
            <w:pPr>
              <w:jc w:val="center"/>
            </w:pPr>
            <w:r>
              <w:rPr>
                <w:b/>
                <w:bCs/>
                <w:color w:val="FFFFFF"/>
                <w:sz w:val="20"/>
                <w:szCs w:val="20"/>
              </w:rPr>
              <w:t xml:space="preserve">Channel</w:t>
            </w:r>
          </w:p>
        </w:tc>
        <w:tc>
          <w:tcPr>
            <w:tcW w:type="dxa" w:w="2500"/>
            <w:shd w:fill="1B2B3D"/>
            <w:vAlign w:val="center"/>
          </w:tcPr>
          <w:p>
            <w:pPr>
              <w:jc w:val="center"/>
            </w:pPr>
            <w:r>
              <w:rPr>
                <w:b/>
                <w:bCs/>
                <w:color w:val="FFFFFF"/>
                <w:sz w:val="20"/>
                <w:szCs w:val="20"/>
              </w:rPr>
              <w:t xml:space="preserve">Recipients</w:t>
            </w:r>
          </w:p>
        </w:tc>
        <w:tc>
          <w:tcPr>
            <w:tcW w:type="dxa" w:w="3360"/>
            <w:shd w:fill="1B2B3D"/>
            <w:vAlign w:val="center"/>
          </w:tcPr>
          <w:p>
            <w:pPr>
              <w:jc w:val="center"/>
            </w:pPr>
            <w:r>
              <w:rPr>
                <w:b/>
                <w:bCs/>
                <w:color w:val="FFFFFF"/>
                <w:sz w:val="20"/>
                <w:szCs w:val="20"/>
              </w:rPr>
              <w:t xml:space="preserve">Response Required</w:t>
            </w:r>
          </w:p>
        </w:tc>
      </w:tr>
      <w:tr>
        <w:tc>
          <w:tcPr>
            <w:tcW w:type="dxa" w:w="1500"/>
            <w:shd w:fill="2B6B7D"/>
            <w:vAlign w:val="center"/>
          </w:tcPr>
          <w:p>
            <w:pPr>
              <w:jc w:val="center"/>
            </w:pPr>
            <w:r>
              <w:rPr>
                <w:b/>
                <w:bCs/>
                <w:color w:val="FFFFFF"/>
                <w:sz w:val="20"/>
                <w:szCs w:val="20"/>
              </w:rPr>
              <w:t xml:space="preserve">INFO</w:t>
            </w:r>
          </w:p>
        </w:tc>
        <w:tc>
          <w:tcPr>
            <w:tcW w:type="dxa" w:w="2000"/>
            <w:vAlign w:val="center"/>
          </w:tcPr>
          <w:p>
            <w:r>
              <w:rPr>
                <w:sz w:val="20"/>
                <w:szCs w:val="20"/>
              </w:rPr>
              <w:t xml:space="preserve">Dashboard only</w:t>
            </w:r>
          </w:p>
        </w:tc>
        <w:tc>
          <w:tcPr>
            <w:tcW w:type="dxa" w:w="2500"/>
            <w:vAlign w:val="center"/>
          </w:tcPr>
          <w:p>
            <w:r>
              <w:rPr>
                <w:sz w:val="20"/>
                <w:szCs w:val="20"/>
              </w:rPr>
              <w:t xml:space="preserve">Project Team</w:t>
            </w:r>
          </w:p>
        </w:tc>
        <w:tc>
          <w:tcPr>
            <w:tcW w:type="dxa" w:w="3360"/>
            <w:vAlign w:val="center"/>
          </w:tcPr>
          <w:p>
            <w:r>
              <w:rPr>
                <w:sz w:val="20"/>
                <w:szCs w:val="20"/>
              </w:rPr>
              <w:t xml:space="preserve">Awareness only</w:t>
            </w:r>
          </w:p>
        </w:tc>
      </w:tr>
      <w:tr>
        <w:tc>
          <w:tcPr>
            <w:tcW w:type="dxa" w:w="1500"/>
            <w:shd w:fill="9AAF45"/>
            <w:vAlign w:val="center"/>
          </w:tcPr>
          <w:p>
            <w:pPr>
              <w:jc w:val="center"/>
            </w:pPr>
            <w:r>
              <w:rPr>
                <w:b/>
                <w:bCs/>
                <w:color w:val="FFFFFF"/>
                <w:sz w:val="20"/>
                <w:szCs w:val="20"/>
              </w:rPr>
              <w:t xml:space="preserve">WATCH</w:t>
            </w:r>
          </w:p>
        </w:tc>
        <w:tc>
          <w:tcPr>
            <w:tcW w:type="dxa" w:w="2000"/>
            <w:vAlign w:val="center"/>
          </w:tcPr>
          <w:p>
            <w:r>
              <w:rPr>
                <w:sz w:val="20"/>
                <w:szCs w:val="20"/>
              </w:rPr>
              <w:t xml:space="preserve">Weekly report highlight</w:t>
            </w:r>
          </w:p>
        </w:tc>
        <w:tc>
          <w:tcPr>
            <w:tcW w:type="dxa" w:w="2500"/>
            <w:vAlign w:val="center"/>
          </w:tcPr>
          <w:p>
            <w:r>
              <w:rPr>
                <w:sz w:val="20"/>
                <w:szCs w:val="20"/>
              </w:rPr>
              <w:t xml:space="preserve">Project Leads</w:t>
            </w:r>
          </w:p>
        </w:tc>
        <w:tc>
          <w:tcPr>
            <w:tcW w:type="dxa" w:w="3360"/>
            <w:vAlign w:val="center"/>
          </w:tcPr>
          <w:p>
            <w:r>
              <w:rPr>
                <w:sz w:val="20"/>
                <w:szCs w:val="20"/>
              </w:rPr>
              <w:t xml:space="preserve">Monitor and plan</w:t>
            </w:r>
          </w:p>
        </w:tc>
      </w:tr>
      <w:tr>
        <w:tc>
          <w:tcPr>
            <w:tcW w:type="dxa" w:w="1500"/>
            <w:shd w:fill="E67E22"/>
            <w:vAlign w:val="center"/>
          </w:tcPr>
          <w:p>
            <w:pPr>
              <w:jc w:val="center"/>
            </w:pPr>
            <w:r>
              <w:rPr>
                <w:b/>
                <w:bCs/>
                <w:color w:val="FFFFFF"/>
                <w:sz w:val="20"/>
                <w:szCs w:val="20"/>
              </w:rPr>
              <w:t xml:space="preserve">ALERT</w:t>
            </w:r>
          </w:p>
        </w:tc>
        <w:tc>
          <w:tcPr>
            <w:tcW w:type="dxa" w:w="2000"/>
            <w:vAlign w:val="center"/>
          </w:tcPr>
          <w:p>
            <w:r>
              <w:rPr>
                <w:sz w:val="20"/>
                <w:szCs w:val="20"/>
              </w:rPr>
              <w:t xml:space="preserve">Email + Dashboard flag</w:t>
            </w:r>
          </w:p>
        </w:tc>
        <w:tc>
          <w:tcPr>
            <w:tcW w:type="dxa" w:w="2500"/>
            <w:vAlign w:val="center"/>
          </w:tcPr>
          <w:p>
            <w:r>
              <w:rPr>
                <w:sz w:val="20"/>
                <w:szCs w:val="20"/>
              </w:rPr>
              <w:t xml:space="preserve">Leads + Directors</w:t>
            </w:r>
          </w:p>
        </w:tc>
        <w:tc>
          <w:tcPr>
            <w:tcW w:type="dxa" w:w="3360"/>
            <w:vAlign w:val="center"/>
          </w:tcPr>
          <w:p>
            <w:r>
              <w:rPr>
                <w:sz w:val="20"/>
                <w:szCs w:val="20"/>
              </w:rPr>
              <w:t xml:space="preserve">Action within 48 hours</w:t>
            </w:r>
          </w:p>
        </w:tc>
      </w:tr>
      <w:tr>
        <w:tc>
          <w:tcPr>
            <w:tcW w:type="dxa" w:w="1500"/>
            <w:shd w:fill="C41E3A"/>
            <w:vAlign w:val="center"/>
          </w:tcPr>
          <w:p>
            <w:pPr>
              <w:jc w:val="center"/>
            </w:pPr>
            <w:r>
              <w:rPr>
                <w:b/>
                <w:bCs/>
                <w:color w:val="FFFFFF"/>
                <w:sz w:val="20"/>
                <w:szCs w:val="20"/>
              </w:rPr>
              <w:t xml:space="preserve">CRITICAL</w:t>
            </w:r>
          </w:p>
        </w:tc>
        <w:tc>
          <w:tcPr>
            <w:tcW w:type="dxa" w:w="2000"/>
            <w:vAlign w:val="center"/>
          </w:tcPr>
          <w:p>
            <w:r>
              <w:rPr>
                <w:sz w:val="20"/>
                <w:szCs w:val="20"/>
              </w:rPr>
              <w:t xml:space="preserve">Email + Phone + Meeting</w:t>
            </w:r>
          </w:p>
        </w:tc>
        <w:tc>
          <w:tcPr>
            <w:tcW w:type="dxa" w:w="2500"/>
            <w:vAlign w:val="center"/>
          </w:tcPr>
          <w:p>
            <w:r>
              <w:rPr>
                <w:sz w:val="20"/>
                <w:szCs w:val="20"/>
              </w:rPr>
              <w:t xml:space="preserve">Executives + Steering</w:t>
            </w:r>
          </w:p>
        </w:tc>
        <w:tc>
          <w:tcPr>
            <w:tcW w:type="dxa" w:w="3360"/>
            <w:vAlign w:val="center"/>
          </w:tcPr>
          <w:p>
            <w:r>
              <w:rPr>
                <w:sz w:val="20"/>
                <w:szCs w:val="20"/>
              </w:rPr>
              <w:t xml:space="preserve">Immediate action required</w:t>
            </w:r>
          </w:p>
        </w:tc>
      </w:tr>
    </w:tbl>
    <w:p>
      <w:pPr>
        <w:spacing w:before="300" w:after="200"/>
      </w:pPr>
      <w:r>
        <w:rPr>
          <w:b/>
          <w:bCs/>
          <w:color w:val="2B6B7D"/>
          <w:sz w:val="26"/>
          <w:szCs w:val="26"/>
        </w:rPr>
        <w:t xml:space="preserve">5.4 Automated Intervention Protocols</w:t>
      </w:r>
    </w:p>
    <w:p>
      <w:pPr>
        <w:pStyle w:val="ListParagraph"/>
        <w:numPr>
          <w:ilvl w:val="0"/>
          <w:numId w:val="1"/>
        </w:numPr>
        <w:spacing w:after="80"/>
      </w:pPr>
      <w:r>
        <w:rPr>
          <w:sz w:val="20"/>
          <w:szCs w:val="20"/>
        </w:rPr>
        <w:t xml:space="preserve">1 indicator in ALERT → Engagement Lead notified, monitoring frequency increased, RCA within 24hr</w:t>
      </w:r>
    </w:p>
    <w:p>
      <w:pPr>
        <w:pStyle w:val="ListParagraph"/>
        <w:numPr>
          <w:ilvl w:val="0"/>
          <w:numId w:val="1"/>
        </w:numPr>
        <w:spacing w:after="80"/>
      </w:pPr>
      <w:r>
        <w:rPr>
          <w:sz w:val="20"/>
          <w:szCs w:val="20"/>
        </w:rPr>
        <w:t xml:space="preserve">2+ indicators in ALERT → Executive checkpoint auto-scheduled, mitigation plan within 48hr</w:t>
      </w:r>
    </w:p>
    <w:p>
      <w:pPr>
        <w:pStyle w:val="ListParagraph"/>
        <w:numPr>
          <w:ilvl w:val="0"/>
          <w:numId w:val="1"/>
        </w:numPr>
        <w:spacing w:after="80"/>
      </w:pPr>
      <w:r>
        <w:rPr>
          <w:sz w:val="20"/>
          <w:szCs w:val="20"/>
        </w:rPr>
        <w:t xml:space="preserve">Any indicator in ESCALATE → Client escalation with formal mitigation plan, Steering review</w:t>
      </w:r>
    </w:p>
    <w:p>
      <w:pPr>
        <w:pStyle w:val="ListParagraph"/>
        <w:numPr>
          <w:ilvl w:val="0"/>
          <w:numId w:val="1"/>
        </w:numPr>
        <w:spacing w:after="80"/>
      </w:pPr>
      <w:r>
        <w:rPr>
          <w:sz w:val="20"/>
          <w:szCs w:val="20"/>
        </w:rPr>
        <w:t xml:space="preserve">Multiple ESCALATE → Formal reset workshop or pause recommendation, executive intervention</w:t>
      </w:r>
    </w:p>
    <w:p/>
    <w:p>
      <w:pPr>
        <w:spacing w:before="400" w:after="200"/>
      </w:pPr>
      <w:r>
        <w:rPr>
          <w:b/>
          <w:bCs/>
          <w:color w:val="1B2B3D"/>
          <w:sz w:val="32"/>
          <w:szCs w:val="32"/>
        </w:rPr>
        <w:t xml:space="preserve">6. CERTIFICATION SIGN-OFF FRAMEWORK</w:t>
      </w:r>
    </w:p>
    <w:p>
      <w:pPr>
        <w:spacing w:after="120"/>
      </w:pPr>
      <w:r>
        <w:rPr>
          <w:sz w:val="20"/>
          <w:szCs w:val="20"/>
        </w:rPr>
        <w:t xml:space="preserve">Formal certification is required for all phase transitions. No phase advancement occurs without documented evidence meeting all criteria and executive sign-off. All certifications logged in Evidence Ledger.</w:t>
      </w:r>
    </w:p>
    <w:p>
      <w:pPr>
        <w:spacing w:before="300" w:after="200"/>
      </w:pPr>
      <w:r>
        <w:rPr>
          <w:b/>
          <w:bCs/>
          <w:color w:val="2B6B7D"/>
          <w:sz w:val="26"/>
          <w:szCs w:val="26"/>
        </w:rPr>
        <w:t xml:space="preserve">6.1 Stage Gate 1: D1 DISCOVER → D2 DIAGNOSE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shd w:fill="1B2B3D"/>
            <w:vAlign w:val="center"/>
          </w:tcPr>
          <w:p>
            <w:pPr>
              <w:jc w:val="center"/>
            </w:pPr>
            <w:r>
              <w:rPr>
                <w:b/>
                <w:bCs/>
                <w:color w:val="FFFFFF"/>
                <w:sz w:val="20"/>
                <w:szCs w:val="20"/>
              </w:rPr>
              <w:t xml:space="preserve">Exit Criterion</w:t>
            </w:r>
          </w:p>
        </w:tc>
        <w:tc>
          <w:tcPr>
            <w:tcW w:type="dxa" w:w="2200"/>
            <w:shd w:fill="1B2B3D"/>
            <w:vAlign w:val="center"/>
          </w:tcPr>
          <w:p>
            <w:pPr>
              <w:jc w:val="center"/>
            </w:pPr>
            <w:r>
              <w:rPr>
                <w:b/>
                <w:bCs/>
                <w:color w:val="FFFFFF"/>
                <w:sz w:val="20"/>
                <w:szCs w:val="20"/>
              </w:rPr>
              <w:t xml:space="preserve">Threshold</w:t>
            </w:r>
          </w:p>
        </w:tc>
        <w:tc>
          <w:tcPr>
            <w:tcW w:type="dxa" w:w="2160"/>
            <w:shd w:fill="1B2B3D"/>
            <w:vAlign w:val="center"/>
          </w:tcPr>
          <w:p>
            <w:pPr>
              <w:jc w:val="center"/>
            </w:pPr>
            <w:r>
              <w:rPr>
                <w:b/>
                <w:bCs/>
                <w:color w:val="FFFFFF"/>
                <w:sz w:val="20"/>
                <w:szCs w:val="20"/>
              </w:rPr>
              <w:t xml:space="preserve">Status</w:t>
            </w:r>
          </w:p>
        </w:tc>
      </w:tr>
      <w:tr>
        <w:tc>
          <w:tcPr>
            <w:tcW w:type="dxa" w:w="5000"/>
            <w:vAlign w:val="center"/>
          </w:tcPr>
          <w:p>
            <w:r>
              <w:rPr>
                <w:sz w:val="20"/>
                <w:szCs w:val="20"/>
              </w:rPr>
              <w:t xml:space="preserve">Problem statement validated by stakeholders</w:t>
            </w:r>
          </w:p>
        </w:tc>
        <w:tc>
          <w:tcPr>
            <w:tcW w:type="dxa" w:w="2200"/>
            <w:vAlign w:val="center"/>
          </w:tcPr>
          <w:p>
            <w:r>
              <w:rPr>
                <w:sz w:val="20"/>
                <w:szCs w:val="20"/>
              </w:rPr>
              <w:t xml:space="preserve">3+ executive sign-offs</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360 Model data collection complete</w:t>
            </w:r>
          </w:p>
        </w:tc>
        <w:tc>
          <w:tcPr>
            <w:tcW w:type="dxa" w:w="2200"/>
            <w:vAlign w:val="center"/>
          </w:tcPr>
          <w:p>
            <w:r>
              <w:rPr>
                <w:sz w:val="20"/>
                <w:szCs w:val="20"/>
              </w:rPr>
              <w:t xml:space="preserve">100% all 6 dimensions</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KPI baseline established</w:t>
            </w:r>
          </w:p>
        </w:tc>
        <w:tc>
          <w:tcPr>
            <w:tcW w:type="dxa" w:w="2200"/>
            <w:vAlign w:val="center"/>
          </w:tcPr>
          <w:p>
            <w:r>
              <w:rPr>
                <w:sz w:val="20"/>
                <w:szCs w:val="20"/>
              </w:rPr>
              <w:t xml:space="preserve">All success metrics defined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Sentrais project initialized</w:t>
            </w:r>
          </w:p>
        </w:tc>
        <w:tc>
          <w:tcPr>
            <w:tcW w:type="dxa" w:w="2200"/>
            <w:vAlign w:val="center"/>
          </w:tcPr>
          <w:p>
            <w:r>
              <w:rPr>
                <w:sz w:val="20"/>
                <w:szCs w:val="20"/>
              </w:rPr>
              <w:t xml:space="preserve">100% setup complete</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Stakeholder Engagement Index (SEI)</w:t>
            </w:r>
          </w:p>
        </w:tc>
        <w:tc>
          <w:tcPr>
            <w:tcW w:type="dxa" w:w="2200"/>
            <w:vAlign w:val="center"/>
          </w:tcPr>
          <w:p>
            <w:r>
              <w:rPr>
                <w:sz w:val="20"/>
                <w:szCs w:val="20"/>
              </w:rPr>
              <w:t xml:space="preserve">≥75</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Evidence Quality Rating</w:t>
            </w:r>
          </w:p>
        </w:tc>
        <w:tc>
          <w:tcPr>
            <w:tcW w:type="dxa" w:w="2200"/>
            <w:vAlign w:val="center"/>
          </w:tcPr>
          <w:p>
            <w:r>
              <w:rPr>
                <w:sz w:val="20"/>
                <w:szCs w:val="20"/>
              </w:rPr>
              <w:t xml:space="preserve">≥80</w:t>
            </w:r>
          </w:p>
        </w:tc>
        <w:tc>
          <w:tcPr>
            <w:tcW w:type="dxa" w:w="2160"/>
            <w:vAlign w:val="center"/>
          </w:tcPr>
          <w:p>
            <w:pPr>
              <w:jc w:val="center"/>
            </w:pPr>
            <w:r>
              <w:rPr>
                <w:sz w:val="22"/>
                <w:szCs w:val="22"/>
              </w:rPr>
              <w:t xml:space="preserve">☐</w:t>
            </w:r>
          </w:p>
        </w:tc>
      </w:tr>
    </w:tbl>
    <w:p>
      <w:pPr>
        <w:spacing w:after="100"/>
      </w:pPr>
    </w:p>
    <w:p>
      <w:pPr>
        <w:spacing w:after="120"/>
      </w:pPr>
      <w:r>
        <w:rPr>
          <w:b/>
          <w:bCs/>
          <w:sz w:val="20"/>
          <w:szCs w:val="20"/>
        </w:rPr>
        <w:t xml:space="preserve">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bottom w:val="single" w:color="1B2B3D" w:sz="8"/>
            </w:tcBorders>
            <w:vAlign w:val="bottom"/>
          </w:tcPr>
          <w:p>
            <w:pPr>
              <w:spacing w:after="400"/>
            </w:pPr>
          </w:p>
          <w:p>
            <w:pPr>
              <w:jc w:val="center"/>
            </w:pPr>
            <w:r>
              <w:rPr>
                <w:color w:val="666666"/>
                <w:sz w:val="18"/>
                <w:szCs w:val="18"/>
              </w:rPr>
              <w:t xml:space="preserve">NOVATE Engagement Lead</w:t>
            </w:r>
          </w:p>
        </w:tc>
        <w:tc>
          <w:tcPr>
            <w:tcW w:type="dxa" w:w="2340"/>
            <w:tcBorders>
              <w:bottom w:val="single" w:color="1B2B3D" w:sz="8"/>
            </w:tcBorders>
            <w:vAlign w:val="bottom"/>
          </w:tcPr>
          <w:p>
            <w:pPr>
              <w:spacing w:after="400"/>
            </w:pPr>
          </w:p>
          <w:p>
            <w:pPr>
              <w:jc w:val="center"/>
            </w:pPr>
            <w:r>
              <w:rPr>
                <w:color w:val="666666"/>
                <w:sz w:val="18"/>
                <w:szCs w:val="18"/>
              </w:rPr>
              <w:t xml:space="preserve">NOVATE Program Director</w:t>
            </w:r>
          </w:p>
        </w:tc>
        <w:tc>
          <w:tcPr>
            <w:tcW w:type="dxa" w:w="2340"/>
            <w:tcBorders>
              <w:bottom w:val="single" w:color="1B2B3D" w:sz="8"/>
            </w:tcBorders>
            <w:vAlign w:val="bottom"/>
          </w:tcPr>
          <w:p>
            <w:pPr>
              <w:spacing w:after="400"/>
            </w:pPr>
          </w:p>
          <w:p>
            <w:pPr>
              <w:jc w:val="center"/>
            </w:pPr>
            <w:r>
              <w:rPr>
                <w:color w:val="666666"/>
                <w:sz w:val="18"/>
                <w:szCs w:val="18"/>
              </w:rPr>
              <w:t xml:space="preserve">NFL IT Project Lead</w:t>
            </w:r>
          </w:p>
        </w:tc>
        <w:tc>
          <w:tcPr>
            <w:tcW w:type="dxa" w:w="2340"/>
            <w:tcBorders>
              <w:bottom w:val="single" w:color="1B2B3D" w:sz="8"/>
            </w:tcBorders>
            <w:vAlign w:val="bottom"/>
          </w:tcPr>
          <w:p>
            <w:pPr>
              <w:spacing w:after="400"/>
            </w:pPr>
          </w:p>
          <w:p>
            <w:pPr>
              <w:jc w:val="center"/>
            </w:pPr>
            <w:r>
              <w:rPr>
                <w:color w:val="666666"/>
                <w:sz w:val="18"/>
                <w:szCs w:val="18"/>
              </w:rPr>
              <w:t xml:space="preserve">NFL Executive Sponsor</w:t>
            </w:r>
          </w:p>
        </w:tc>
      </w:tr>
    </w:tbl>
    <w:p>
      <w:pPr>
        <w:spacing w:before="300" w:after="200"/>
      </w:pPr>
      <w:r>
        <w:rPr>
          <w:b/>
          <w:bCs/>
          <w:color w:val="2B6B7D"/>
          <w:sz w:val="26"/>
          <w:szCs w:val="26"/>
        </w:rPr>
        <w:t xml:space="preserve">6.2 Stage Gate 2: D2 DIAGNOSE → D3 DESIGN (CRITICAL GATE)</w:t>
      </w:r>
    </w:p>
    <w:p>
      <w:pPr>
        <w:pBdr>
          <w:left w:val="single" w:color="C41E3A" w:sz="24"/>
        </w:pBdr>
        <w:spacing w:before="200" w:after="200"/>
        <w:ind w:left="200"/>
      </w:pPr>
      <w:r>
        <w:rPr>
          <w:sz w:val="22"/>
          <w:szCs w:val="22"/>
        </w:rPr>
        <w:t xml:space="preserve">⚠ </w:t>
      </w:r>
      <w:r>
        <w:rPr>
          <w:b/>
          <w:bCs/>
          <w:color w:val="C41E3A"/>
          <w:sz w:val="20"/>
          <w:szCs w:val="20"/>
        </w:rPr>
        <w:t xml:space="preserve">CRITICAL CHURN ZONE: This gate represents the highest risk point in the engagement. Enhanced scrutiny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shd w:fill="1B2B3D"/>
            <w:vAlign w:val="center"/>
          </w:tcPr>
          <w:p>
            <w:pPr>
              <w:jc w:val="center"/>
            </w:pPr>
            <w:r>
              <w:rPr>
                <w:b/>
                <w:bCs/>
                <w:color w:val="FFFFFF"/>
                <w:sz w:val="20"/>
                <w:szCs w:val="20"/>
              </w:rPr>
              <w:t xml:space="preserve">Exit Criterion</w:t>
            </w:r>
          </w:p>
        </w:tc>
        <w:tc>
          <w:tcPr>
            <w:tcW w:type="dxa" w:w="2200"/>
            <w:shd w:fill="1B2B3D"/>
            <w:vAlign w:val="center"/>
          </w:tcPr>
          <w:p>
            <w:pPr>
              <w:jc w:val="center"/>
            </w:pPr>
            <w:r>
              <w:rPr>
                <w:b/>
                <w:bCs/>
                <w:color w:val="FFFFFF"/>
                <w:sz w:val="20"/>
                <w:szCs w:val="20"/>
              </w:rPr>
              <w:t xml:space="preserve">Threshold</w:t>
            </w:r>
          </w:p>
        </w:tc>
        <w:tc>
          <w:tcPr>
            <w:tcW w:type="dxa" w:w="2160"/>
            <w:shd w:fill="1B2B3D"/>
            <w:vAlign w:val="center"/>
          </w:tcPr>
          <w:p>
            <w:pPr>
              <w:jc w:val="center"/>
            </w:pPr>
            <w:r>
              <w:rPr>
                <w:b/>
                <w:bCs/>
                <w:color w:val="FFFFFF"/>
                <w:sz w:val="20"/>
                <w:szCs w:val="20"/>
              </w:rPr>
              <w:t xml:space="preserve">Status</w:t>
            </w:r>
          </w:p>
        </w:tc>
      </w:tr>
      <w:tr>
        <w:tc>
          <w:tcPr>
            <w:tcW w:type="dxa" w:w="5000"/>
            <w:vAlign w:val="center"/>
          </w:tcPr>
          <w:p>
            <w:r>
              <w:rPr>
                <w:sz w:val="20"/>
                <w:szCs w:val="20"/>
              </w:rPr>
              <w:t xml:space="preserve">Workflow forensics completed</w:t>
            </w:r>
          </w:p>
        </w:tc>
        <w:tc>
          <w:tcPr>
            <w:tcW w:type="dxa" w:w="2200"/>
            <w:vAlign w:val="center"/>
          </w:tcPr>
          <w:p>
            <w:r>
              <w:rPr>
                <w:sz w:val="20"/>
                <w:szCs w:val="20"/>
              </w:rPr>
              <w:t xml:space="preserve">95%+ accuracy</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Risk register complete with mitigations</w:t>
            </w:r>
          </w:p>
        </w:tc>
        <w:tc>
          <w:tcPr>
            <w:tcW w:type="dxa" w:w="2200"/>
            <w:vAlign w:val="center"/>
          </w:tcPr>
          <w:p>
            <w:r>
              <w:rPr>
                <w:sz w:val="20"/>
                <w:szCs w:val="20"/>
              </w:rPr>
              <w:t xml:space="preserve">All HIGH risks addressed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Gap analysis documented</w:t>
            </w:r>
          </w:p>
        </w:tc>
        <w:tc>
          <w:tcPr>
            <w:tcW w:type="dxa" w:w="2200"/>
            <w:vAlign w:val="center"/>
          </w:tcPr>
          <w:p>
            <w:r>
              <w:rPr>
                <w:sz w:val="20"/>
                <w:szCs w:val="20"/>
              </w:rPr>
              <w:t xml:space="preserve">100% coverage</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Scope Stability Score (SSS)</w:t>
            </w:r>
          </w:p>
        </w:tc>
        <w:tc>
          <w:tcPr>
            <w:tcW w:type="dxa" w:w="2200"/>
            <w:vAlign w:val="center"/>
          </w:tcPr>
          <w:p>
            <w:r>
              <w:rPr>
                <w:sz w:val="20"/>
                <w:szCs w:val="20"/>
              </w:rPr>
              <w:t xml:space="preserve">≥85</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Requirements Ambiguity Score (RAS)</w:t>
            </w:r>
          </w:p>
        </w:tc>
        <w:tc>
          <w:tcPr>
            <w:tcW w:type="dxa" w:w="2200"/>
            <w:vAlign w:val="center"/>
          </w:tcPr>
          <w:p>
            <w:r>
              <w:rPr>
                <w:sz w:val="20"/>
                <w:szCs w:val="20"/>
              </w:rPr>
              <w:t xml:space="preserve">≤20</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Executive checkpoint documented</w:t>
            </w:r>
          </w:p>
        </w:tc>
        <w:tc>
          <w:tcPr>
            <w:tcW w:type="dxa" w:w="2200"/>
            <w:vAlign w:val="center"/>
          </w:tcPr>
          <w:p>
            <w:r>
              <w:rPr>
                <w:sz w:val="20"/>
                <w:szCs w:val="20"/>
              </w:rPr>
              <w:t xml:space="preserve">Completed</w:t>
            </w:r>
          </w:p>
        </w:tc>
        <w:tc>
          <w:tcPr>
            <w:tcW w:type="dxa" w:w="2160"/>
            <w:vAlign w:val="center"/>
          </w:tcPr>
          <w:p>
            <w:pPr>
              <w:jc w:val="center"/>
            </w:pPr>
            <w:r>
              <w:rPr>
                <w:sz w:val="22"/>
                <w:szCs w:val="22"/>
              </w:rPr>
              <w:t xml:space="preserve">☐</w:t>
            </w:r>
          </w:p>
        </w:tc>
      </w:tr>
    </w:tbl>
    <w:p>
      <w:pPr>
        <w:spacing w:after="100"/>
      </w:pPr>
    </w:p>
    <w:p>
      <w:pPr>
        <w:spacing w:after="120"/>
      </w:pPr>
      <w:r>
        <w:rPr>
          <w:b/>
          <w:bCs/>
          <w:sz w:val="20"/>
          <w:szCs w:val="20"/>
        </w:rPr>
        <w:t xml:space="preserve">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bottom w:val="single" w:color="1B2B3D" w:sz="8"/>
            </w:tcBorders>
            <w:vAlign w:val="bottom"/>
          </w:tcPr>
          <w:p>
            <w:pPr>
              <w:spacing w:after="400"/>
            </w:pPr>
          </w:p>
          <w:p>
            <w:pPr>
              <w:jc w:val="center"/>
            </w:pPr>
            <w:r>
              <w:rPr>
                <w:color w:val="666666"/>
                <w:sz w:val="18"/>
                <w:szCs w:val="18"/>
              </w:rPr>
              <w:t xml:space="preserve">NOVATE Engagement Lead</w:t>
            </w:r>
          </w:p>
        </w:tc>
        <w:tc>
          <w:tcPr>
            <w:tcW w:type="dxa" w:w="2340"/>
            <w:tcBorders>
              <w:bottom w:val="single" w:color="1B2B3D" w:sz="8"/>
            </w:tcBorders>
            <w:vAlign w:val="bottom"/>
          </w:tcPr>
          <w:p>
            <w:pPr>
              <w:spacing w:after="400"/>
            </w:pPr>
          </w:p>
          <w:p>
            <w:pPr>
              <w:jc w:val="center"/>
            </w:pPr>
            <w:r>
              <w:rPr>
                <w:color w:val="666666"/>
                <w:sz w:val="18"/>
                <w:szCs w:val="18"/>
              </w:rPr>
              <w:t xml:space="preserve">NOVATE Program Director</w:t>
            </w:r>
          </w:p>
        </w:tc>
        <w:tc>
          <w:tcPr>
            <w:tcW w:type="dxa" w:w="2340"/>
            <w:tcBorders>
              <w:bottom w:val="single" w:color="1B2B3D" w:sz="8"/>
            </w:tcBorders>
            <w:vAlign w:val="bottom"/>
          </w:tcPr>
          <w:p>
            <w:pPr>
              <w:spacing w:after="400"/>
            </w:pPr>
          </w:p>
          <w:p>
            <w:pPr>
              <w:jc w:val="center"/>
            </w:pPr>
            <w:r>
              <w:rPr>
                <w:color w:val="666666"/>
                <w:sz w:val="18"/>
                <w:szCs w:val="18"/>
              </w:rPr>
              <w:t xml:space="preserve">NFL IT Director</w:t>
            </w:r>
          </w:p>
        </w:tc>
        <w:tc>
          <w:tcPr>
            <w:tcW w:type="dxa" w:w="2340"/>
            <w:tcBorders>
              <w:bottom w:val="single" w:color="1B2B3D" w:sz="8"/>
            </w:tcBorders>
            <w:vAlign w:val="bottom"/>
          </w:tcPr>
          <w:p>
            <w:pPr>
              <w:spacing w:after="400"/>
            </w:pPr>
          </w:p>
          <w:p>
            <w:pPr>
              <w:jc w:val="center"/>
            </w:pPr>
            <w:r>
              <w:rPr>
                <w:color w:val="666666"/>
                <w:sz w:val="18"/>
                <w:szCs w:val="18"/>
              </w:rPr>
              <w:t xml:space="preserve">NFL Executive Sponsor</w:t>
            </w:r>
          </w:p>
        </w:tc>
      </w:tr>
    </w:tbl>
    <w:p>
      <w:pPr>
        <w:spacing w:before="300" w:after="200"/>
      </w:pPr>
      <w:r>
        <w:rPr>
          <w:b/>
          <w:bCs/>
          <w:color w:val="2B6B7D"/>
          <w:sz w:val="26"/>
          <w:szCs w:val="26"/>
        </w:rPr>
        <w:t xml:space="preserve">6.3 Stage Gate 3: D3 DESIGN → D4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shd w:fill="1B2B3D"/>
            <w:vAlign w:val="center"/>
          </w:tcPr>
          <w:p>
            <w:pPr>
              <w:jc w:val="center"/>
            </w:pPr>
            <w:r>
              <w:rPr>
                <w:b/>
                <w:bCs/>
                <w:color w:val="FFFFFF"/>
                <w:sz w:val="20"/>
                <w:szCs w:val="20"/>
              </w:rPr>
              <w:t xml:space="preserve">Exit Criterion</w:t>
            </w:r>
          </w:p>
        </w:tc>
        <w:tc>
          <w:tcPr>
            <w:tcW w:type="dxa" w:w="2200"/>
            <w:shd w:fill="1B2B3D"/>
            <w:vAlign w:val="center"/>
          </w:tcPr>
          <w:p>
            <w:pPr>
              <w:jc w:val="center"/>
            </w:pPr>
            <w:r>
              <w:rPr>
                <w:b/>
                <w:bCs/>
                <w:color w:val="FFFFFF"/>
                <w:sz w:val="20"/>
                <w:szCs w:val="20"/>
              </w:rPr>
              <w:t xml:space="preserve">Threshold</w:t>
            </w:r>
          </w:p>
        </w:tc>
        <w:tc>
          <w:tcPr>
            <w:tcW w:type="dxa" w:w="2160"/>
            <w:shd w:fill="1B2B3D"/>
            <w:vAlign w:val="center"/>
          </w:tcPr>
          <w:p>
            <w:pPr>
              <w:jc w:val="center"/>
            </w:pPr>
            <w:r>
              <w:rPr>
                <w:b/>
                <w:bCs/>
                <w:color w:val="FFFFFF"/>
                <w:sz w:val="20"/>
                <w:szCs w:val="20"/>
              </w:rPr>
              <w:t xml:space="preserve">Status</w:t>
            </w:r>
          </w:p>
        </w:tc>
      </w:tr>
      <w:tr>
        <w:tc>
          <w:tcPr>
            <w:tcW w:type="dxa" w:w="5000"/>
            <w:vAlign w:val="center"/>
          </w:tcPr>
          <w:p>
            <w:r>
              <w:rPr>
                <w:sz w:val="20"/>
                <w:szCs w:val="20"/>
              </w:rPr>
              <w:t xml:space="preserve">Solution concepts evaluated</w:t>
            </w:r>
          </w:p>
        </w:tc>
        <w:tc>
          <w:tcPr>
            <w:tcW w:type="dxa" w:w="2200"/>
            <w:vAlign w:val="center"/>
          </w:tcPr>
          <w:p>
            <w:r>
              <w:rPr>
                <w:sz w:val="20"/>
                <w:szCs w:val="20"/>
              </w:rPr>
              <w:t xml:space="preserve">3+ concepts scored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Technical Feasibility Confidence</w:t>
            </w:r>
          </w:p>
        </w:tc>
        <w:tc>
          <w:tcPr>
            <w:tcW w:type="dxa" w:w="2200"/>
            <w:vAlign w:val="center"/>
          </w:tcPr>
          <w:p>
            <w:r>
              <w:rPr>
                <w:sz w:val="20"/>
                <w:szCs w:val="20"/>
              </w:rPr>
              <w:t xml:space="preserve">≥80%</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Innovation Coefficient</w:t>
            </w:r>
          </w:p>
        </w:tc>
        <w:tc>
          <w:tcPr>
            <w:tcW w:type="dxa" w:w="2200"/>
            <w:vAlign w:val="center"/>
          </w:tcPr>
          <w:p>
            <w:r>
              <w:rPr>
                <w:sz w:val="20"/>
                <w:szCs w:val="20"/>
              </w:rPr>
              <w:t xml:space="preserve">≥60%</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Stakeholder Alignment Index (SAI)</w:t>
            </w:r>
          </w:p>
        </w:tc>
        <w:tc>
          <w:tcPr>
            <w:tcW w:type="dxa" w:w="2200"/>
            <w:vAlign w:val="center"/>
          </w:tcPr>
          <w:p>
            <w:r>
              <w:rPr>
                <w:sz w:val="20"/>
                <w:szCs w:val="20"/>
              </w:rPr>
              <w:t xml:space="preserve">≥85%</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Resource plan validated</w:t>
            </w:r>
          </w:p>
        </w:tc>
        <w:tc>
          <w:tcPr>
            <w:tcW w:type="dxa" w:w="2200"/>
            <w:vAlign w:val="center"/>
          </w:tcPr>
          <w:p>
            <w:r>
              <w:rPr>
                <w:sz w:val="20"/>
                <w:szCs w:val="20"/>
              </w:rPr>
              <w:t xml:space="preserve">100% committed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Design approvals complete</w:t>
            </w:r>
          </w:p>
        </w:tc>
        <w:tc>
          <w:tcPr>
            <w:tcW w:type="dxa" w:w="2200"/>
            <w:vAlign w:val="center"/>
          </w:tcPr>
          <w:p>
            <w:r>
              <w:rPr>
                <w:sz w:val="20"/>
                <w:szCs w:val="20"/>
              </w:rPr>
              <w:t xml:space="preserve">All sign-offs obtained</w:t>
            </w:r>
          </w:p>
        </w:tc>
        <w:tc>
          <w:tcPr>
            <w:tcW w:type="dxa" w:w="2160"/>
            <w:vAlign w:val="center"/>
          </w:tcPr>
          <w:p>
            <w:pPr>
              <w:jc w:val="center"/>
            </w:pPr>
            <w:r>
              <w:rPr>
                <w:sz w:val="22"/>
                <w:szCs w:val="22"/>
              </w:rPr>
              <w:t xml:space="preserve">☐</w:t>
            </w:r>
          </w:p>
        </w:tc>
      </w:tr>
    </w:tbl>
    <w:p>
      <w:pPr>
        <w:spacing w:after="100"/>
      </w:pPr>
    </w:p>
    <w:p>
      <w:pPr>
        <w:spacing w:after="120"/>
      </w:pPr>
      <w:r>
        <w:rPr>
          <w:b/>
          <w:bCs/>
          <w:sz w:val="20"/>
          <w:szCs w:val="20"/>
        </w:rPr>
        <w:t xml:space="preserve">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bottom w:val="single" w:color="1B2B3D" w:sz="8"/>
            </w:tcBorders>
            <w:vAlign w:val="bottom"/>
          </w:tcPr>
          <w:p>
            <w:pPr>
              <w:spacing w:after="400"/>
            </w:pPr>
          </w:p>
          <w:p>
            <w:pPr>
              <w:jc w:val="center"/>
            </w:pPr>
            <w:r>
              <w:rPr>
                <w:color w:val="666666"/>
                <w:sz w:val="18"/>
                <w:szCs w:val="18"/>
              </w:rPr>
              <w:t xml:space="preserve">NOVATE Engagement Lead</w:t>
            </w:r>
          </w:p>
        </w:tc>
        <w:tc>
          <w:tcPr>
            <w:tcW w:type="dxa" w:w="2340"/>
            <w:tcBorders>
              <w:bottom w:val="single" w:color="1B2B3D" w:sz="8"/>
            </w:tcBorders>
            <w:vAlign w:val="bottom"/>
          </w:tcPr>
          <w:p>
            <w:pPr>
              <w:spacing w:after="400"/>
            </w:pPr>
          </w:p>
          <w:p>
            <w:pPr>
              <w:jc w:val="center"/>
            </w:pPr>
            <w:r>
              <w:rPr>
                <w:color w:val="666666"/>
                <w:sz w:val="18"/>
                <w:szCs w:val="18"/>
              </w:rPr>
              <w:t xml:space="preserve">NOVATE Technical Lead</w:t>
            </w:r>
          </w:p>
        </w:tc>
        <w:tc>
          <w:tcPr>
            <w:tcW w:type="dxa" w:w="2340"/>
            <w:tcBorders>
              <w:bottom w:val="single" w:color="1B2B3D" w:sz="8"/>
            </w:tcBorders>
            <w:vAlign w:val="bottom"/>
          </w:tcPr>
          <w:p>
            <w:pPr>
              <w:spacing w:after="400"/>
            </w:pPr>
          </w:p>
          <w:p>
            <w:pPr>
              <w:jc w:val="center"/>
            </w:pPr>
            <w:r>
              <w:rPr>
                <w:color w:val="666666"/>
                <w:sz w:val="18"/>
                <w:szCs w:val="18"/>
              </w:rPr>
              <w:t xml:space="preserve">NFL IT Director</w:t>
            </w:r>
          </w:p>
        </w:tc>
        <w:tc>
          <w:tcPr>
            <w:tcW w:type="dxa" w:w="2340"/>
            <w:tcBorders>
              <w:bottom w:val="single" w:color="1B2B3D" w:sz="8"/>
            </w:tcBorders>
            <w:vAlign w:val="bottom"/>
          </w:tcPr>
          <w:p>
            <w:pPr>
              <w:spacing w:after="400"/>
            </w:pPr>
          </w:p>
          <w:p>
            <w:pPr>
              <w:jc w:val="center"/>
            </w:pPr>
            <w:r>
              <w:rPr>
                <w:color w:val="666666"/>
                <w:sz w:val="18"/>
                <w:szCs w:val="18"/>
              </w:rPr>
              <w:t xml:space="preserve">NFL Executive Sponsor</w:t>
            </w:r>
          </w:p>
        </w:tc>
      </w:tr>
    </w:tbl>
    <w:p>
      <w:pPr>
        <w:spacing w:before="300" w:after="200"/>
      </w:pPr>
      <w:r>
        <w:rPr>
          <w:b/>
          <w:bCs/>
          <w:color w:val="2B6B7D"/>
          <w:sz w:val="26"/>
          <w:szCs w:val="26"/>
        </w:rPr>
        <w:t xml:space="preserve">6.4 Stage Gate 4: D4 DEVELOP → D5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shd w:fill="1B2B3D"/>
            <w:vAlign w:val="center"/>
          </w:tcPr>
          <w:p>
            <w:pPr>
              <w:jc w:val="center"/>
            </w:pPr>
            <w:r>
              <w:rPr>
                <w:b/>
                <w:bCs/>
                <w:color w:val="FFFFFF"/>
                <w:sz w:val="20"/>
                <w:szCs w:val="20"/>
              </w:rPr>
              <w:t xml:space="preserve">Exit Criterion</w:t>
            </w:r>
          </w:p>
        </w:tc>
        <w:tc>
          <w:tcPr>
            <w:tcW w:type="dxa" w:w="2200"/>
            <w:shd w:fill="1B2B3D"/>
            <w:vAlign w:val="center"/>
          </w:tcPr>
          <w:p>
            <w:pPr>
              <w:jc w:val="center"/>
            </w:pPr>
            <w:r>
              <w:rPr>
                <w:b/>
                <w:bCs/>
                <w:color w:val="FFFFFF"/>
                <w:sz w:val="20"/>
                <w:szCs w:val="20"/>
              </w:rPr>
              <w:t xml:space="preserve">Threshold</w:t>
            </w:r>
          </w:p>
        </w:tc>
        <w:tc>
          <w:tcPr>
            <w:tcW w:type="dxa" w:w="2160"/>
            <w:shd w:fill="1B2B3D"/>
            <w:vAlign w:val="center"/>
          </w:tcPr>
          <w:p>
            <w:pPr>
              <w:jc w:val="center"/>
            </w:pPr>
            <w:r>
              <w:rPr>
                <w:b/>
                <w:bCs/>
                <w:color w:val="FFFFFF"/>
                <w:sz w:val="20"/>
                <w:szCs w:val="20"/>
              </w:rPr>
              <w:t xml:space="preserve">Status</w:t>
            </w:r>
          </w:p>
        </w:tc>
      </w:tr>
      <w:tr>
        <w:tc>
          <w:tcPr>
            <w:tcW w:type="dxa" w:w="5000"/>
            <w:vAlign w:val="center"/>
          </w:tcPr>
          <w:p>
            <w:r>
              <w:rPr>
                <w:sz w:val="20"/>
                <w:szCs w:val="20"/>
              </w:rPr>
              <w:t xml:space="preserve">Pilot stadiums executed</w:t>
            </w:r>
          </w:p>
        </w:tc>
        <w:tc>
          <w:tcPr>
            <w:tcW w:type="dxa" w:w="2200"/>
            <w:vAlign w:val="center"/>
          </w:tcPr>
          <w:p>
            <w:r>
              <w:rPr>
                <w:sz w:val="20"/>
                <w:szCs w:val="20"/>
              </w:rPr>
              <w:t xml:space="preserve">3 stadiums complete</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Stage Gate Pass Rate</w:t>
            </w:r>
          </w:p>
        </w:tc>
        <w:tc>
          <w:tcPr>
            <w:tcW w:type="dxa" w:w="2200"/>
            <w:vAlign w:val="center"/>
          </w:tcPr>
          <w:p>
            <w:r>
              <w:rPr>
                <w:sz w:val="20"/>
                <w:szCs w:val="20"/>
              </w:rPr>
              <w:t xml:space="preserve">≥70%</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Client Satisfaction Score</w:t>
            </w:r>
          </w:p>
        </w:tc>
        <w:tc>
          <w:tcPr>
            <w:tcW w:type="dxa" w:w="2200"/>
            <w:vAlign w:val="center"/>
          </w:tcPr>
          <w:p>
            <w:r>
              <w:rPr>
                <w:sz w:val="20"/>
                <w:szCs w:val="20"/>
              </w:rPr>
              <w:t xml:space="preserve">≥80</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Critical defects</w:t>
            </w:r>
          </w:p>
        </w:tc>
        <w:tc>
          <w:tcPr>
            <w:tcW w:type="dxa" w:w="2200"/>
            <w:vAlign w:val="center"/>
          </w:tcPr>
          <w:p>
            <w:r>
              <w:rPr>
                <w:sz w:val="20"/>
                <w:szCs w:val="20"/>
              </w:rPr>
              <w:t xml:space="preserve">&lt;5%</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Go/No-Go decision documented</w:t>
            </w:r>
          </w:p>
        </w:tc>
        <w:tc>
          <w:tcPr>
            <w:tcW w:type="dxa" w:w="2200"/>
            <w:vAlign w:val="center"/>
          </w:tcPr>
          <w:p>
            <w:r>
              <w:rPr>
                <w:sz w:val="20"/>
                <w:szCs w:val="20"/>
              </w:rPr>
              <w:t xml:space="preserve">Evidence-based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UAT sign-off complete</w:t>
            </w:r>
          </w:p>
        </w:tc>
        <w:tc>
          <w:tcPr>
            <w:tcW w:type="dxa" w:w="2200"/>
            <w:vAlign w:val="center"/>
          </w:tcPr>
          <w:p>
            <w:r>
              <w:rPr>
                <w:sz w:val="20"/>
                <w:szCs w:val="20"/>
              </w:rPr>
              <w:t xml:space="preserve">All users approved</w:t>
            </w:r>
          </w:p>
        </w:tc>
        <w:tc>
          <w:tcPr>
            <w:tcW w:type="dxa" w:w="2160"/>
            <w:vAlign w:val="center"/>
          </w:tcPr>
          <w:p>
            <w:pPr>
              <w:jc w:val="center"/>
            </w:pPr>
            <w:r>
              <w:rPr>
                <w:sz w:val="22"/>
                <w:szCs w:val="22"/>
              </w:rPr>
              <w:t xml:space="preserve">☐</w:t>
            </w:r>
          </w:p>
        </w:tc>
      </w:tr>
    </w:tbl>
    <w:p>
      <w:pPr>
        <w:spacing w:after="100"/>
      </w:pPr>
    </w:p>
    <w:p>
      <w:pPr>
        <w:spacing w:after="120"/>
      </w:pPr>
      <w:r>
        <w:rPr>
          <w:b/>
          <w:bCs/>
          <w:sz w:val="20"/>
          <w:szCs w:val="20"/>
        </w:rPr>
        <w:t xml:space="preserve">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bottom w:val="single" w:color="1B2B3D" w:sz="8"/>
            </w:tcBorders>
            <w:vAlign w:val="bottom"/>
          </w:tcPr>
          <w:p>
            <w:pPr>
              <w:spacing w:after="400"/>
            </w:pPr>
          </w:p>
          <w:p>
            <w:pPr>
              <w:jc w:val="center"/>
            </w:pPr>
            <w:r>
              <w:rPr>
                <w:color w:val="666666"/>
                <w:sz w:val="18"/>
                <w:szCs w:val="18"/>
              </w:rPr>
              <w:t xml:space="preserve">NOVATE Engagement Lead</w:t>
            </w:r>
          </w:p>
        </w:tc>
        <w:tc>
          <w:tcPr>
            <w:tcW w:type="dxa" w:w="2340"/>
            <w:tcBorders>
              <w:bottom w:val="single" w:color="1B2B3D" w:sz="8"/>
            </w:tcBorders>
            <w:vAlign w:val="bottom"/>
          </w:tcPr>
          <w:p>
            <w:pPr>
              <w:spacing w:after="400"/>
            </w:pPr>
          </w:p>
          <w:p>
            <w:pPr>
              <w:jc w:val="center"/>
            </w:pPr>
            <w:r>
              <w:rPr>
                <w:color w:val="666666"/>
                <w:sz w:val="18"/>
                <w:szCs w:val="18"/>
              </w:rPr>
              <w:t xml:space="preserve">NOVATE QA Lead</w:t>
            </w:r>
          </w:p>
        </w:tc>
        <w:tc>
          <w:tcPr>
            <w:tcW w:type="dxa" w:w="2340"/>
            <w:tcBorders>
              <w:bottom w:val="single" w:color="1B2B3D" w:sz="8"/>
            </w:tcBorders>
            <w:vAlign w:val="bottom"/>
          </w:tcPr>
          <w:p>
            <w:pPr>
              <w:spacing w:after="400"/>
            </w:pPr>
          </w:p>
          <w:p>
            <w:pPr>
              <w:jc w:val="center"/>
            </w:pPr>
            <w:r>
              <w:rPr>
                <w:color w:val="666666"/>
                <w:sz w:val="18"/>
                <w:szCs w:val="18"/>
              </w:rPr>
              <w:t xml:space="preserve">NFL IT Director</w:t>
            </w:r>
          </w:p>
        </w:tc>
        <w:tc>
          <w:tcPr>
            <w:tcW w:type="dxa" w:w="2340"/>
            <w:tcBorders>
              <w:bottom w:val="single" w:color="1B2B3D" w:sz="8"/>
            </w:tcBorders>
            <w:vAlign w:val="bottom"/>
          </w:tcPr>
          <w:p>
            <w:pPr>
              <w:spacing w:after="400"/>
            </w:pPr>
          </w:p>
          <w:p>
            <w:pPr>
              <w:jc w:val="center"/>
            </w:pPr>
            <w:r>
              <w:rPr>
                <w:color w:val="666666"/>
                <w:sz w:val="18"/>
                <w:szCs w:val="18"/>
              </w:rPr>
              <w:t xml:space="preserve">NFL GDA Lead</w:t>
            </w:r>
          </w:p>
        </w:tc>
      </w:tr>
    </w:tbl>
    <w:p>
      <w:pPr>
        <w:spacing w:before="300" w:after="200"/>
      </w:pPr>
      <w:r>
        <w:rPr>
          <w:b/>
          <w:bCs/>
          <w:color w:val="2B6B7D"/>
          <w:sz w:val="26"/>
          <w:szCs w:val="26"/>
        </w:rPr>
        <w:t xml:space="preserve">6.5 Stage Gate 5: D5 DEPLOY → OPERATIONAL (Final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shd w:fill="1B2B3D"/>
            <w:vAlign w:val="center"/>
          </w:tcPr>
          <w:p>
            <w:pPr>
              <w:jc w:val="center"/>
            </w:pPr>
            <w:r>
              <w:rPr>
                <w:b/>
                <w:bCs/>
                <w:color w:val="FFFFFF"/>
                <w:sz w:val="20"/>
                <w:szCs w:val="20"/>
              </w:rPr>
              <w:t xml:space="preserve">Exit Criterion</w:t>
            </w:r>
          </w:p>
        </w:tc>
        <w:tc>
          <w:tcPr>
            <w:tcW w:type="dxa" w:w="2200"/>
            <w:shd w:fill="1B2B3D"/>
            <w:vAlign w:val="center"/>
          </w:tcPr>
          <w:p>
            <w:pPr>
              <w:jc w:val="center"/>
            </w:pPr>
            <w:r>
              <w:rPr>
                <w:b/>
                <w:bCs/>
                <w:color w:val="FFFFFF"/>
                <w:sz w:val="20"/>
                <w:szCs w:val="20"/>
              </w:rPr>
              <w:t xml:space="preserve">Threshold</w:t>
            </w:r>
          </w:p>
        </w:tc>
        <w:tc>
          <w:tcPr>
            <w:tcW w:type="dxa" w:w="2160"/>
            <w:shd w:fill="1B2B3D"/>
            <w:vAlign w:val="center"/>
          </w:tcPr>
          <w:p>
            <w:pPr>
              <w:jc w:val="center"/>
            </w:pPr>
            <w:r>
              <w:rPr>
                <w:b/>
                <w:bCs/>
                <w:color w:val="FFFFFF"/>
                <w:sz w:val="20"/>
                <w:szCs w:val="20"/>
              </w:rPr>
              <w:t xml:space="preserve">Status</w:t>
            </w:r>
          </w:p>
        </w:tc>
      </w:tr>
      <w:tr>
        <w:tc>
          <w:tcPr>
            <w:tcW w:type="dxa" w:w="5000"/>
            <w:vAlign w:val="center"/>
          </w:tcPr>
          <w:p>
            <w:r>
              <w:rPr>
                <w:sz w:val="20"/>
                <w:szCs w:val="20"/>
              </w:rPr>
              <w:t xml:space="preserve">Integration testing complete</w:t>
            </w:r>
          </w:p>
        </w:tc>
        <w:tc>
          <w:tcPr>
            <w:tcW w:type="dxa" w:w="2200"/>
            <w:vAlign w:val="center"/>
          </w:tcPr>
          <w:p>
            <w:r>
              <w:rPr>
                <w:sz w:val="20"/>
                <w:szCs w:val="20"/>
              </w:rPr>
              <w:t xml:space="preserve">&lt;5% critical defects</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User adoption rate</w:t>
            </w:r>
          </w:p>
        </w:tc>
        <w:tc>
          <w:tcPr>
            <w:tcW w:type="dxa" w:w="2200"/>
            <w:vAlign w:val="center"/>
          </w:tcPr>
          <w:p>
            <w:r>
              <w:rPr>
                <w:sz w:val="20"/>
                <w:szCs w:val="20"/>
              </w:rPr>
              <w:t xml:space="preserve">≥60% within 30 days</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Operational runbooks complete</w:t>
            </w:r>
          </w:p>
        </w:tc>
        <w:tc>
          <w:tcPr>
            <w:tcW w:type="dxa" w:w="2200"/>
            <w:vAlign w:val="center"/>
          </w:tcPr>
          <w:p>
            <w:r>
              <w:rPr>
                <w:sz w:val="20"/>
                <w:szCs w:val="20"/>
              </w:rPr>
              <w:t xml:space="preserve">100% documented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Knowledge transfer validated</w:t>
            </w:r>
          </w:p>
        </w:tc>
        <w:tc>
          <w:tcPr>
            <w:tcW w:type="dxa" w:w="2200"/>
            <w:vAlign w:val="center"/>
          </w:tcPr>
          <w:p>
            <w:r>
              <w:rPr>
                <w:sz w:val="20"/>
                <w:szCs w:val="20"/>
              </w:rPr>
              <w:t xml:space="preserve">All teams certified</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Time-to-Value</w:t>
            </w:r>
          </w:p>
        </w:tc>
        <w:tc>
          <w:tcPr>
            <w:tcW w:type="dxa" w:w="2200"/>
            <w:vAlign w:val="center"/>
          </w:tcPr>
          <w:p>
            <w:r>
              <w:rPr>
                <w:sz w:val="20"/>
                <w:szCs w:val="20"/>
              </w:rPr>
              <w:t xml:space="preserve">Within ±15% projection</w:t>
            </w:r>
          </w:p>
        </w:tc>
        <w:tc>
          <w:tcPr>
            <w:tcW w:type="dxa" w:w="2160"/>
            <w:vAlign w:val="center"/>
          </w:tcPr>
          <w:p>
            <w:pPr>
              <w:jc w:val="center"/>
            </w:pPr>
            <w:r>
              <w:rPr>
                <w:sz w:val="22"/>
                <w:szCs w:val="22"/>
              </w:rPr>
              <w:t xml:space="preserve">☐</w:t>
            </w:r>
          </w:p>
        </w:tc>
      </w:tr>
      <w:tr>
        <w:tc>
          <w:tcPr>
            <w:tcW w:type="dxa" w:w="5000"/>
            <w:vAlign w:val="center"/>
          </w:tcPr>
          <w:p>
            <w:r>
              <w:rPr>
                <w:sz w:val="20"/>
                <w:szCs w:val="20"/>
              </w:rPr>
              <w:t xml:space="preserve">Preseason readiness confirmed</w:t>
            </w:r>
          </w:p>
        </w:tc>
        <w:tc>
          <w:tcPr>
            <w:tcW w:type="dxa" w:w="2200"/>
            <w:vAlign w:val="center"/>
          </w:tcPr>
          <w:p>
            <w:r>
              <w:rPr>
                <w:sz w:val="20"/>
                <w:szCs w:val="20"/>
              </w:rPr>
              <w:t xml:space="preserve">Systems operational</w:t>
            </w:r>
          </w:p>
        </w:tc>
        <w:tc>
          <w:tcPr>
            <w:tcW w:type="dxa" w:w="2160"/>
            <w:vAlign w:val="center"/>
          </w:tcPr>
          <w:p>
            <w:pPr>
              <w:jc w:val="center"/>
            </w:pPr>
            <w:r>
              <w:rPr>
                <w:sz w:val="22"/>
                <w:szCs w:val="22"/>
              </w:rPr>
              <w:t xml:space="preserve">☐</w:t>
            </w:r>
          </w:p>
        </w:tc>
      </w:tr>
    </w:tbl>
    <w:p>
      <w:pPr>
        <w:spacing w:after="100"/>
      </w:pPr>
    </w:p>
    <w:p>
      <w:pPr>
        <w:spacing w:after="120"/>
      </w:pPr>
      <w:r>
        <w:rPr>
          <w:b/>
          <w:bCs/>
          <w:sz w:val="20"/>
          <w:szCs w:val="20"/>
        </w:rPr>
        <w:t xml:space="preserve">Required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bottom w:val="single" w:color="1B2B3D" w:sz="8"/>
            </w:tcBorders>
            <w:vAlign w:val="bottom"/>
          </w:tcPr>
          <w:p>
            <w:pPr>
              <w:spacing w:after="400"/>
            </w:pPr>
          </w:p>
          <w:p>
            <w:pPr>
              <w:jc w:val="center"/>
            </w:pPr>
            <w:r>
              <w:rPr>
                <w:color w:val="666666"/>
                <w:sz w:val="18"/>
                <w:szCs w:val="18"/>
              </w:rPr>
              <w:t xml:space="preserve">NOVATE Program Director</w:t>
            </w:r>
          </w:p>
        </w:tc>
        <w:tc>
          <w:tcPr>
            <w:tcW w:type="dxa" w:w="2340"/>
            <w:tcBorders>
              <w:bottom w:val="single" w:color="1B2B3D" w:sz="8"/>
            </w:tcBorders>
            <w:vAlign w:val="bottom"/>
          </w:tcPr>
          <w:p>
            <w:pPr>
              <w:spacing w:after="400"/>
            </w:pPr>
          </w:p>
          <w:p>
            <w:pPr>
              <w:jc w:val="center"/>
            </w:pPr>
            <w:r>
              <w:rPr>
                <w:color w:val="666666"/>
                <w:sz w:val="18"/>
                <w:szCs w:val="18"/>
              </w:rPr>
              <w:t xml:space="preserve">NOVATE CEO (Tye)</w:t>
            </w:r>
          </w:p>
        </w:tc>
        <w:tc>
          <w:tcPr>
            <w:tcW w:type="dxa" w:w="2340"/>
            <w:tcBorders>
              <w:bottom w:val="single" w:color="1B2B3D" w:sz="8"/>
            </w:tcBorders>
            <w:vAlign w:val="bottom"/>
          </w:tcPr>
          <w:p>
            <w:pPr>
              <w:spacing w:after="400"/>
            </w:pPr>
          </w:p>
          <w:p>
            <w:pPr>
              <w:jc w:val="center"/>
            </w:pPr>
            <w:r>
              <w:rPr>
                <w:color w:val="666666"/>
                <w:sz w:val="18"/>
                <w:szCs w:val="18"/>
              </w:rPr>
              <w:t xml:space="preserve">NFL VP IT</w:t>
            </w:r>
          </w:p>
        </w:tc>
        <w:tc>
          <w:tcPr>
            <w:tcW w:type="dxa" w:w="2340"/>
            <w:tcBorders>
              <w:bottom w:val="single" w:color="1B2B3D" w:sz="8"/>
            </w:tcBorders>
            <w:vAlign w:val="bottom"/>
          </w:tcPr>
          <w:p>
            <w:pPr>
              <w:spacing w:after="400"/>
            </w:pPr>
          </w:p>
          <w:p>
            <w:pPr>
              <w:jc w:val="center"/>
            </w:pPr>
            <w:r>
              <w:rPr>
                <w:color w:val="666666"/>
                <w:sz w:val="18"/>
                <w:szCs w:val="18"/>
              </w:rPr>
              <w:t xml:space="preserve">NFL Executive Sponsor</w:t>
            </w:r>
          </w:p>
        </w:tc>
      </w:tr>
    </w:tbl>
    <w:p/>
    <w:p>
      <w:pPr>
        <w:spacing w:before="400" w:after="200"/>
      </w:pPr>
      <w:r>
        <w:rPr>
          <w:b/>
          <w:bCs/>
          <w:color w:val="1B2B3D"/>
          <w:sz w:val="32"/>
          <w:szCs w:val="32"/>
        </w:rPr>
        <w:t xml:space="preserve">7. SIPE DOCUMENTATION STANDARDS</w:t>
      </w:r>
    </w:p>
    <w:p>
      <w:pPr>
        <w:spacing w:after="120"/>
      </w:pPr>
      <w:r>
        <w:rPr>
          <w:sz w:val="20"/>
          <w:szCs w:val="20"/>
        </w:rPr>
        <w:t xml:space="preserve">As NOVATE's first full SIPE deployment, this engagement establishes standardized documentation practices for all future engagements.</w:t>
      </w:r>
    </w:p>
    <w:p>
      <w:pPr>
        <w:spacing w:before="300" w:after="200"/>
      </w:pPr>
      <w:r>
        <w:rPr>
          <w:b/>
          <w:bCs/>
          <w:color w:val="2B6B7D"/>
          <w:sz w:val="26"/>
          <w:szCs w:val="26"/>
        </w:rPr>
        <w:t xml:space="preserve">7.1 Document Identification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B2B3D"/>
            <w:vAlign w:val="center"/>
          </w:tcPr>
          <w:p>
            <w:pPr>
              <w:jc w:val="center"/>
            </w:pPr>
            <w:r>
              <w:rPr>
                <w:b/>
                <w:bCs/>
                <w:color w:val="FFFFFF"/>
                <w:sz w:val="20"/>
                <w:szCs w:val="20"/>
              </w:rPr>
              <w:t xml:space="preserve">Document Type</w:t>
            </w:r>
          </w:p>
        </w:tc>
        <w:tc>
          <w:tcPr>
            <w:tcW w:type="dxa" w:w="4000"/>
            <w:shd w:fill="1B2B3D"/>
            <w:vAlign w:val="center"/>
          </w:tcPr>
          <w:p>
            <w:pPr>
              <w:jc w:val="center"/>
            </w:pPr>
            <w:r>
              <w:rPr>
                <w:b/>
                <w:bCs/>
                <w:color w:val="FFFFFF"/>
                <w:sz w:val="20"/>
                <w:szCs w:val="20"/>
              </w:rPr>
              <w:t xml:space="preserve">ID Format</w:t>
            </w:r>
          </w:p>
        </w:tc>
        <w:tc>
          <w:tcPr>
            <w:tcW w:type="dxa" w:w="2860"/>
            <w:shd w:fill="1B2B3D"/>
            <w:vAlign w:val="center"/>
          </w:tcPr>
          <w:p>
            <w:pPr>
              <w:jc w:val="center"/>
            </w:pPr>
            <w:r>
              <w:rPr>
                <w:b/>
                <w:bCs/>
                <w:color w:val="FFFFFF"/>
                <w:sz w:val="20"/>
                <w:szCs w:val="20"/>
              </w:rPr>
              <w:t xml:space="preserve">Example</w:t>
            </w:r>
          </w:p>
        </w:tc>
      </w:tr>
      <w:tr>
        <w:tc>
          <w:tcPr>
            <w:tcW w:type="dxa" w:w="2500"/>
            <w:vAlign w:val="center"/>
          </w:tcPr>
          <w:p>
            <w:r>
              <w:rPr>
                <w:sz w:val="20"/>
                <w:szCs w:val="20"/>
              </w:rPr>
              <w:t xml:space="preserve">Core Documents</w:t>
            </w:r>
          </w:p>
        </w:tc>
        <w:tc>
          <w:tcPr>
            <w:tcW w:type="dxa" w:w="4000"/>
            <w:vAlign w:val="center"/>
          </w:tcPr>
          <w:p>
            <w:r>
              <w:rPr>
                <w:sz w:val="20"/>
                <w:szCs w:val="20"/>
              </w:rPr>
              <w:t xml:space="preserve">SIPE-[CLIENT]-[PROJECT]-[TYPE]-v[X.Y]</w:t>
            </w:r>
          </w:p>
        </w:tc>
        <w:tc>
          <w:tcPr>
            <w:tcW w:type="dxa" w:w="2860"/>
            <w:vAlign w:val="center"/>
          </w:tcPr>
          <w:p>
            <w:r>
              <w:rPr>
                <w:sz w:val="20"/>
                <w:szCs w:val="20"/>
              </w:rPr>
              <w:t xml:space="preserve">SIPE-NFL-EVERGAME-PROPOSAL-v1.0</w:t>
            </w:r>
          </w:p>
        </w:tc>
      </w:tr>
      <w:tr>
        <w:tc>
          <w:tcPr>
            <w:tcW w:type="dxa" w:w="2500"/>
            <w:vAlign w:val="center"/>
          </w:tcPr>
          <w:p>
            <w:r>
              <w:rPr>
                <w:sz w:val="20"/>
                <w:szCs w:val="20"/>
              </w:rPr>
              <w:t xml:space="preserve">Issues</w:t>
            </w:r>
          </w:p>
        </w:tc>
        <w:tc>
          <w:tcPr>
            <w:tcW w:type="dxa" w:w="4000"/>
            <w:vAlign w:val="center"/>
          </w:tcPr>
          <w:p>
            <w:r>
              <w:rPr>
                <w:sz w:val="20"/>
                <w:szCs w:val="20"/>
              </w:rPr>
              <w:t xml:space="preserve">ISS-[CLIENT]-[PHASE]-[###]</w:t>
            </w:r>
          </w:p>
        </w:tc>
        <w:tc>
          <w:tcPr>
            <w:tcW w:type="dxa" w:w="2860"/>
            <w:vAlign w:val="center"/>
          </w:tcPr>
          <w:p>
            <w:r>
              <w:rPr>
                <w:sz w:val="20"/>
                <w:szCs w:val="20"/>
              </w:rPr>
              <w:t xml:space="preserve">ISS-NFL-D2-001</w:t>
            </w:r>
          </w:p>
        </w:tc>
      </w:tr>
      <w:tr>
        <w:tc>
          <w:tcPr>
            <w:tcW w:type="dxa" w:w="2500"/>
            <w:vAlign w:val="center"/>
          </w:tcPr>
          <w:p>
            <w:r>
              <w:rPr>
                <w:sz w:val="20"/>
                <w:szCs w:val="20"/>
              </w:rPr>
              <w:t xml:space="preserve">Change Requests</w:t>
            </w:r>
          </w:p>
        </w:tc>
        <w:tc>
          <w:tcPr>
            <w:tcW w:type="dxa" w:w="4000"/>
            <w:vAlign w:val="center"/>
          </w:tcPr>
          <w:p>
            <w:r>
              <w:rPr>
                <w:sz w:val="20"/>
                <w:szCs w:val="20"/>
              </w:rPr>
              <w:t xml:space="preserve">CR-[CLIENT]-[###]</w:t>
            </w:r>
          </w:p>
        </w:tc>
        <w:tc>
          <w:tcPr>
            <w:tcW w:type="dxa" w:w="2860"/>
            <w:vAlign w:val="center"/>
          </w:tcPr>
          <w:p>
            <w:r>
              <w:rPr>
                <w:sz w:val="20"/>
                <w:szCs w:val="20"/>
              </w:rPr>
              <w:t xml:space="preserve">CR-NFL-015</w:t>
            </w:r>
          </w:p>
        </w:tc>
      </w:tr>
      <w:tr>
        <w:tc>
          <w:tcPr>
            <w:tcW w:type="dxa" w:w="2500"/>
            <w:vAlign w:val="center"/>
          </w:tcPr>
          <w:p>
            <w:r>
              <w:rPr>
                <w:sz w:val="20"/>
                <w:szCs w:val="20"/>
              </w:rPr>
              <w:t xml:space="preserve">Evidence Entries</w:t>
            </w:r>
          </w:p>
        </w:tc>
        <w:tc>
          <w:tcPr>
            <w:tcW w:type="dxa" w:w="4000"/>
            <w:vAlign w:val="center"/>
          </w:tcPr>
          <w:p>
            <w:r>
              <w:rPr>
                <w:sz w:val="20"/>
                <w:szCs w:val="20"/>
              </w:rPr>
              <w:t xml:space="preserve">[TYPE]-[CLIENT]-[PHASE]-[###]</w:t>
            </w:r>
          </w:p>
        </w:tc>
        <w:tc>
          <w:tcPr>
            <w:tcW w:type="dxa" w:w="2860"/>
            <w:vAlign w:val="center"/>
          </w:tcPr>
          <w:p>
            <w:r>
              <w:rPr>
                <w:sz w:val="20"/>
                <w:szCs w:val="20"/>
              </w:rPr>
              <w:t xml:space="preserve">INT-NFL-D1-003 (Interview)</w:t>
            </w:r>
          </w:p>
        </w:tc>
      </w:tr>
      <w:tr>
        <w:tc>
          <w:tcPr>
            <w:tcW w:type="dxa" w:w="2500"/>
            <w:vAlign w:val="center"/>
          </w:tcPr>
          <w:p>
            <w:r>
              <w:rPr>
                <w:sz w:val="20"/>
                <w:szCs w:val="20"/>
              </w:rPr>
              <w:t xml:space="preserve">Document Requests</w:t>
            </w:r>
          </w:p>
        </w:tc>
        <w:tc>
          <w:tcPr>
            <w:tcW w:type="dxa" w:w="4000"/>
            <w:vAlign w:val="center"/>
          </w:tcPr>
          <w:p>
            <w:r>
              <w:rPr>
                <w:sz w:val="20"/>
                <w:szCs w:val="20"/>
              </w:rPr>
              <w:t xml:space="preserve">DRF-[CLIENT]-[PHASE]-[###]</w:t>
            </w:r>
          </w:p>
        </w:tc>
        <w:tc>
          <w:tcPr>
            <w:tcW w:type="dxa" w:w="2860"/>
            <w:vAlign w:val="center"/>
          </w:tcPr>
          <w:p>
            <w:r>
              <w:rPr>
                <w:sz w:val="20"/>
                <w:szCs w:val="20"/>
              </w:rPr>
              <w:t xml:space="preserve">DRF-NFL-D1-007</w:t>
            </w:r>
          </w:p>
        </w:tc>
      </w:tr>
      <w:tr>
        <w:tc>
          <w:tcPr>
            <w:tcW w:type="dxa" w:w="2500"/>
            <w:vAlign w:val="center"/>
          </w:tcPr>
          <w:p>
            <w:r>
              <w:rPr>
                <w:sz w:val="20"/>
                <w:szCs w:val="20"/>
              </w:rPr>
              <w:t xml:space="preserve">Decision Records</w:t>
            </w:r>
          </w:p>
        </w:tc>
        <w:tc>
          <w:tcPr>
            <w:tcW w:type="dxa" w:w="4000"/>
            <w:vAlign w:val="center"/>
          </w:tcPr>
          <w:p>
            <w:r>
              <w:rPr>
                <w:sz w:val="20"/>
                <w:szCs w:val="20"/>
              </w:rPr>
              <w:t xml:space="preserve">DEC-[CLIENT]-[###]</w:t>
            </w:r>
          </w:p>
        </w:tc>
        <w:tc>
          <w:tcPr>
            <w:tcW w:type="dxa" w:w="2860"/>
            <w:vAlign w:val="center"/>
          </w:tcPr>
          <w:p>
            <w:r>
              <w:rPr>
                <w:sz w:val="20"/>
                <w:szCs w:val="20"/>
              </w:rPr>
              <w:t xml:space="preserve">DEC-NFL-042</w:t>
            </w:r>
          </w:p>
        </w:tc>
      </w:tr>
    </w:tbl>
    <w:p>
      <w:pPr>
        <w:spacing w:before="300" w:after="200"/>
      </w:pPr>
      <w:r>
        <w:rPr>
          <w:b/>
          <w:bCs/>
          <w:color w:val="2B6B7D"/>
          <w:sz w:val="26"/>
          <w:szCs w:val="26"/>
        </w:rPr>
        <w:t xml:space="preserve">7.2 Evidence Ledger Entry Requirements</w:t>
      </w:r>
    </w:p>
    <w:p>
      <w:pPr>
        <w:spacing w:after="120"/>
      </w:pPr>
      <w:r>
        <w:rPr>
          <w:sz w:val="20"/>
          <w:szCs w:val="20"/>
        </w:rPr>
        <w:t xml:space="preserve">All Evidence Ledger entries must be submitted within 24 hours and include:</w:t>
      </w:r>
    </w:p>
    <w:p>
      <w:pPr>
        <w:pStyle w:val="ListParagraph"/>
        <w:numPr>
          <w:ilvl w:val="0"/>
          <w:numId w:val="1"/>
        </w:numPr>
        <w:spacing w:after="80"/>
      </w:pPr>
      <w:r>
        <w:rPr>
          <w:sz w:val="20"/>
          <w:szCs w:val="20"/>
        </w:rPr>
        <w:t xml:space="preserve">Entry ID (per format above)</w:t>
      </w:r>
    </w:p>
    <w:p>
      <w:pPr>
        <w:pStyle w:val="ListParagraph"/>
        <w:numPr>
          <w:ilvl w:val="0"/>
          <w:numId w:val="1"/>
        </w:numPr>
        <w:spacing w:after="80"/>
      </w:pPr>
      <w:r>
        <w:rPr>
          <w:sz w:val="20"/>
          <w:szCs w:val="20"/>
        </w:rPr>
        <w:t xml:space="preserve">Entry Type: INT (Interview), DOC (Document), DEC (Decision), OBS (Observation), ISS (Issue), MTG (Meeting)</w:t>
      </w:r>
    </w:p>
    <w:p>
      <w:pPr>
        <w:pStyle w:val="ListParagraph"/>
        <w:numPr>
          <w:ilvl w:val="0"/>
          <w:numId w:val="1"/>
        </w:numPr>
        <w:spacing w:after="80"/>
      </w:pPr>
      <w:r>
        <w:rPr>
          <w:sz w:val="20"/>
          <w:szCs w:val="20"/>
        </w:rPr>
        <w:t xml:space="preserve">360 Dimension: Strategic, Operational, Technical, Cultural, Financial, Ecosystem</w:t>
      </w:r>
    </w:p>
    <w:p>
      <w:pPr>
        <w:pStyle w:val="ListParagraph"/>
        <w:numPr>
          <w:ilvl w:val="0"/>
          <w:numId w:val="1"/>
        </w:numPr>
        <w:spacing w:after="80"/>
      </w:pPr>
      <w:r>
        <w:rPr>
          <w:sz w:val="20"/>
          <w:szCs w:val="20"/>
        </w:rPr>
        <w:t xml:space="preserve">Date/Time (ISO 8601 format)</w:t>
      </w:r>
    </w:p>
    <w:p>
      <w:pPr>
        <w:pStyle w:val="ListParagraph"/>
        <w:numPr>
          <w:ilvl w:val="0"/>
          <w:numId w:val="1"/>
        </w:numPr>
        <w:spacing w:after="80"/>
      </w:pPr>
      <w:r>
        <w:rPr>
          <w:sz w:val="20"/>
          <w:szCs w:val="20"/>
        </w:rPr>
        <w:t xml:space="preserve">Author and Source</w:t>
      </w:r>
    </w:p>
    <w:p>
      <w:pPr>
        <w:pStyle w:val="ListParagraph"/>
        <w:numPr>
          <w:ilvl w:val="0"/>
          <w:numId w:val="1"/>
        </w:numPr>
        <w:spacing w:after="80"/>
      </w:pPr>
      <w:r>
        <w:rPr>
          <w:sz w:val="20"/>
          <w:szCs w:val="20"/>
        </w:rPr>
        <w:t xml:space="preserve">Summary (≤100 words)</w:t>
      </w:r>
    </w:p>
    <w:p>
      <w:pPr>
        <w:pStyle w:val="ListParagraph"/>
        <w:numPr>
          <w:ilvl w:val="0"/>
          <w:numId w:val="1"/>
        </w:numPr>
        <w:spacing w:after="80"/>
      </w:pPr>
      <w:r>
        <w:rPr>
          <w:sz w:val="20"/>
          <w:szCs w:val="20"/>
        </w:rPr>
        <w:t xml:space="preserve">Key Findings (bullet points)</w:t>
      </w:r>
    </w:p>
    <w:p>
      <w:pPr>
        <w:pStyle w:val="ListParagraph"/>
        <w:numPr>
          <w:ilvl w:val="0"/>
          <w:numId w:val="1"/>
        </w:numPr>
        <w:spacing w:after="80"/>
      </w:pPr>
      <w:r>
        <w:rPr>
          <w:sz w:val="20"/>
          <w:szCs w:val="20"/>
        </w:rPr>
        <w:t xml:space="preserve">Attachments (file references)</w:t>
      </w:r>
    </w:p>
    <w:p>
      <w:pPr>
        <w:pStyle w:val="ListParagraph"/>
        <w:numPr>
          <w:ilvl w:val="0"/>
          <w:numId w:val="1"/>
        </w:numPr>
        <w:spacing w:after="80"/>
      </w:pPr>
      <w:r>
        <w:rPr>
          <w:sz w:val="20"/>
          <w:szCs w:val="20"/>
        </w:rPr>
        <w:t xml:space="preserve">Follow-Up Items (action items with owners and dates)</w:t>
      </w:r>
    </w:p>
    <w:p>
      <w:pPr>
        <w:spacing w:before="300" w:after="200"/>
      </w:pPr>
      <w:r>
        <w:rPr>
          <w:b/>
          <w:bCs/>
          <w:color w:val="2B6B7D"/>
          <w:sz w:val="26"/>
          <w:szCs w:val="26"/>
        </w:rPr>
        <w:t xml:space="preserve">7.3 Version Control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B2B3D"/>
            <w:vAlign w:val="center"/>
          </w:tcPr>
          <w:p>
            <w:pPr>
              <w:jc w:val="center"/>
            </w:pPr>
            <w:r>
              <w:rPr>
                <w:b/>
                <w:bCs/>
                <w:color w:val="FFFFFF"/>
                <w:sz w:val="20"/>
                <w:szCs w:val="20"/>
              </w:rPr>
              <w:t xml:space="preserve">Version Type</w:t>
            </w:r>
          </w:p>
        </w:tc>
        <w:tc>
          <w:tcPr>
            <w:tcW w:type="dxa" w:w="1500"/>
            <w:shd w:fill="1B2B3D"/>
            <w:vAlign w:val="center"/>
          </w:tcPr>
          <w:p>
            <w:pPr>
              <w:jc w:val="center"/>
            </w:pPr>
            <w:r>
              <w:rPr>
                <w:b/>
                <w:bCs/>
                <w:color w:val="FFFFFF"/>
                <w:sz w:val="20"/>
                <w:szCs w:val="20"/>
              </w:rPr>
              <w:t xml:space="preserve">Increment</w:t>
            </w:r>
          </w:p>
        </w:tc>
        <w:tc>
          <w:tcPr>
            <w:tcW w:type="dxa" w:w="3500"/>
            <w:shd w:fill="1B2B3D"/>
            <w:vAlign w:val="center"/>
          </w:tcPr>
          <w:p>
            <w:pPr>
              <w:jc w:val="center"/>
            </w:pPr>
            <w:r>
              <w:rPr>
                <w:b/>
                <w:bCs/>
                <w:color w:val="FFFFFF"/>
                <w:sz w:val="20"/>
                <w:szCs w:val="20"/>
              </w:rPr>
              <w:t xml:space="preserve">Description</w:t>
            </w:r>
          </w:p>
        </w:tc>
        <w:tc>
          <w:tcPr>
            <w:tcW w:type="dxa" w:w="2360"/>
            <w:shd w:fill="1B2B3D"/>
            <w:vAlign w:val="center"/>
          </w:tcPr>
          <w:p>
            <w:pPr>
              <w:jc w:val="center"/>
            </w:pPr>
            <w:r>
              <w:rPr>
                <w:b/>
                <w:bCs/>
                <w:color w:val="FFFFFF"/>
                <w:sz w:val="20"/>
                <w:szCs w:val="20"/>
              </w:rPr>
              <w:t xml:space="preserve">Approval</w:t>
            </w:r>
          </w:p>
        </w:tc>
      </w:tr>
      <w:tr>
        <w:tc>
          <w:tcPr>
            <w:tcW w:type="dxa" w:w="2000"/>
            <w:vAlign w:val="center"/>
          </w:tcPr>
          <w:p>
            <w:r>
              <w:rPr>
                <w:sz w:val="20"/>
                <w:szCs w:val="20"/>
              </w:rPr>
              <w:t xml:space="preserve">MAJOR</w:t>
            </w:r>
          </w:p>
        </w:tc>
        <w:tc>
          <w:tcPr>
            <w:tcW w:type="dxa" w:w="1500"/>
            <w:vAlign w:val="center"/>
          </w:tcPr>
          <w:p>
            <w:r>
              <w:rPr>
                <w:sz w:val="20"/>
                <w:szCs w:val="20"/>
              </w:rPr>
              <w:t xml:space="preserve">X.0</w:t>
            </w:r>
          </w:p>
        </w:tc>
        <w:tc>
          <w:tcPr>
            <w:tcW w:type="dxa" w:w="3500"/>
            <w:vAlign w:val="center"/>
          </w:tcPr>
          <w:p>
            <w:r>
              <w:rPr>
                <w:sz w:val="20"/>
                <w:szCs w:val="20"/>
              </w:rPr>
              <w:t xml:space="preserve">Breaking changes, methodology shifts, architecture redesign</w:t>
            </w:r>
          </w:p>
        </w:tc>
        <w:tc>
          <w:tcPr>
            <w:tcW w:type="dxa" w:w="2360"/>
            <w:vAlign w:val="center"/>
          </w:tcPr>
          <w:p>
            <w:r>
              <w:rPr>
                <w:sz w:val="20"/>
                <w:szCs w:val="20"/>
              </w:rPr>
              <w:t xml:space="preserve">Program Director</w:t>
            </w:r>
          </w:p>
        </w:tc>
      </w:tr>
      <w:tr>
        <w:tc>
          <w:tcPr>
            <w:tcW w:type="dxa" w:w="2000"/>
            <w:vAlign w:val="center"/>
          </w:tcPr>
          <w:p>
            <w:r>
              <w:rPr>
                <w:sz w:val="20"/>
                <w:szCs w:val="20"/>
              </w:rPr>
              <w:t xml:space="preserve">MINOR</w:t>
            </w:r>
          </w:p>
        </w:tc>
        <w:tc>
          <w:tcPr>
            <w:tcW w:type="dxa" w:w="1500"/>
            <w:vAlign w:val="center"/>
          </w:tcPr>
          <w:p>
            <w:r>
              <w:rPr>
                <w:sz w:val="20"/>
                <w:szCs w:val="20"/>
              </w:rPr>
              <w:t xml:space="preserve">X.Y</w:t>
            </w:r>
          </w:p>
        </w:tc>
        <w:tc>
          <w:tcPr>
            <w:tcW w:type="dxa" w:w="3500"/>
            <w:vAlign w:val="center"/>
          </w:tcPr>
          <w:p>
            <w:r>
              <w:rPr>
                <w:sz w:val="20"/>
                <w:szCs w:val="20"/>
              </w:rPr>
              <w:t xml:space="preserve">Feature additions, new sections, enhanced capabilities</w:t>
            </w:r>
          </w:p>
        </w:tc>
        <w:tc>
          <w:tcPr>
            <w:tcW w:type="dxa" w:w="2360"/>
            <w:vAlign w:val="center"/>
          </w:tcPr>
          <w:p>
            <w:r>
              <w:rPr>
                <w:sz w:val="20"/>
                <w:szCs w:val="20"/>
              </w:rPr>
              <w:t xml:space="preserve">Engagement Lead</w:t>
            </w:r>
          </w:p>
        </w:tc>
      </w:tr>
      <w:tr>
        <w:tc>
          <w:tcPr>
            <w:tcW w:type="dxa" w:w="2000"/>
            <w:vAlign w:val="center"/>
          </w:tcPr>
          <w:p>
            <w:r>
              <w:rPr>
                <w:sz w:val="20"/>
                <w:szCs w:val="20"/>
              </w:rPr>
              <w:t xml:space="preserve">PATCH</w:t>
            </w:r>
          </w:p>
        </w:tc>
        <w:tc>
          <w:tcPr>
            <w:tcW w:type="dxa" w:w="1500"/>
            <w:vAlign w:val="center"/>
          </w:tcPr>
          <w:p>
            <w:r>
              <w:rPr>
                <w:sz w:val="20"/>
                <w:szCs w:val="20"/>
              </w:rPr>
              <w:t xml:space="preserve">X.Y.Z</w:t>
            </w:r>
          </w:p>
        </w:tc>
        <w:tc>
          <w:tcPr>
            <w:tcW w:type="dxa" w:w="3500"/>
            <w:vAlign w:val="center"/>
          </w:tcPr>
          <w:p>
            <w:r>
              <w:rPr>
                <w:sz w:val="20"/>
                <w:szCs w:val="20"/>
              </w:rPr>
              <w:t xml:space="preserve">Bug fixes, clarifications, typo corrections</w:t>
            </w:r>
          </w:p>
        </w:tc>
        <w:tc>
          <w:tcPr>
            <w:tcW w:type="dxa" w:w="2360"/>
            <w:vAlign w:val="center"/>
          </w:tcPr>
          <w:p>
            <w:r>
              <w:rPr>
                <w:sz w:val="20"/>
                <w:szCs w:val="20"/>
              </w:rPr>
              <w:t xml:space="preserve">Document Owner</w:t>
            </w:r>
          </w:p>
        </w:tc>
      </w:tr>
    </w:tbl>
    <w:p>
      <w:pPr>
        <w:spacing w:before="300" w:after="200"/>
      </w:pPr>
      <w:r>
        <w:rPr>
          <w:b/>
          <w:bCs/>
          <w:color w:val="2B6B7D"/>
          <w:sz w:val="26"/>
          <w:szCs w:val="26"/>
        </w:rPr>
        <w:t xml:space="preserve">7.4 Classification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B2B3D"/>
            <w:vAlign w:val="center"/>
          </w:tcPr>
          <w:p>
            <w:pPr>
              <w:jc w:val="center"/>
            </w:pPr>
            <w:r>
              <w:rPr>
                <w:b/>
                <w:bCs/>
                <w:color w:val="FFFFFF"/>
                <w:sz w:val="20"/>
                <w:szCs w:val="20"/>
              </w:rPr>
              <w:t xml:space="preserve">Level</w:t>
            </w:r>
          </w:p>
        </w:tc>
        <w:tc>
          <w:tcPr>
            <w:tcW w:type="dxa" w:w="4500"/>
            <w:shd w:fill="1B2B3D"/>
            <w:vAlign w:val="center"/>
          </w:tcPr>
          <w:p>
            <w:pPr>
              <w:jc w:val="center"/>
            </w:pPr>
            <w:r>
              <w:rPr>
                <w:b/>
                <w:bCs/>
                <w:color w:val="FFFFFF"/>
                <w:sz w:val="20"/>
                <w:szCs w:val="20"/>
              </w:rPr>
              <w:t xml:space="preserve">Description</w:t>
            </w:r>
          </w:p>
        </w:tc>
        <w:tc>
          <w:tcPr>
            <w:tcW w:type="dxa" w:w="2860"/>
            <w:shd w:fill="1B2B3D"/>
            <w:vAlign w:val="center"/>
          </w:tcPr>
          <w:p>
            <w:pPr>
              <w:jc w:val="center"/>
            </w:pPr>
            <w:r>
              <w:rPr>
                <w:b/>
                <w:bCs/>
                <w:color w:val="FFFFFF"/>
                <w:sz w:val="20"/>
                <w:szCs w:val="20"/>
              </w:rPr>
              <w:t xml:space="preserve">Access</w:t>
            </w:r>
          </w:p>
        </w:tc>
      </w:tr>
      <w:tr>
        <w:tc>
          <w:tcPr>
            <w:tcW w:type="dxa" w:w="2000"/>
            <w:shd w:fill="C41E3A"/>
            <w:vAlign w:val="center"/>
          </w:tcPr>
          <w:p>
            <w:pPr>
              <w:jc w:val="center"/>
            </w:pPr>
            <w:r>
              <w:rPr>
                <w:b/>
                <w:bCs/>
                <w:color w:val="FFFFFF"/>
                <w:sz w:val="20"/>
                <w:szCs w:val="20"/>
              </w:rPr>
              <w:t xml:space="preserve">RESTRICTED</w:t>
            </w:r>
          </w:p>
        </w:tc>
        <w:tc>
          <w:tcPr>
            <w:tcW w:type="dxa" w:w="4500"/>
            <w:vAlign w:val="center"/>
          </w:tcPr>
          <w:p>
            <w:r>
              <w:rPr>
                <w:sz w:val="20"/>
                <w:szCs w:val="20"/>
              </w:rPr>
              <w:t xml:space="preserve">Highly sensitive: core IP, competitive intelligence, security</w:t>
            </w:r>
          </w:p>
        </w:tc>
        <w:tc>
          <w:tcPr>
            <w:tcW w:type="dxa" w:w="2860"/>
            <w:vAlign w:val="center"/>
          </w:tcPr>
          <w:p>
            <w:r>
              <w:rPr>
                <w:sz w:val="20"/>
                <w:szCs w:val="20"/>
              </w:rPr>
              <w:t xml:space="preserve">Named individuals only</w:t>
            </w:r>
          </w:p>
        </w:tc>
      </w:tr>
      <w:tr>
        <w:tc>
          <w:tcPr>
            <w:tcW w:type="dxa" w:w="2000"/>
            <w:shd w:fill="E67E22"/>
            <w:vAlign w:val="center"/>
          </w:tcPr>
          <w:p>
            <w:pPr>
              <w:jc w:val="center"/>
            </w:pPr>
            <w:r>
              <w:rPr>
                <w:b/>
                <w:bCs/>
                <w:color w:val="FFFFFF"/>
                <w:sz w:val="20"/>
                <w:szCs w:val="20"/>
              </w:rPr>
              <w:t xml:space="preserve">CONFIDENTIAL</w:t>
            </w:r>
          </w:p>
        </w:tc>
        <w:tc>
          <w:tcPr>
            <w:tcW w:type="dxa" w:w="4500"/>
            <w:vAlign w:val="center"/>
          </w:tcPr>
          <w:p>
            <w:r>
              <w:rPr>
                <w:sz w:val="20"/>
                <w:szCs w:val="20"/>
              </w:rPr>
              <w:t xml:space="preserve">Client-specific: engagement details, deliverables, contracts</w:t>
            </w:r>
          </w:p>
        </w:tc>
        <w:tc>
          <w:tcPr>
            <w:tcW w:type="dxa" w:w="2860"/>
            <w:vAlign w:val="center"/>
          </w:tcPr>
          <w:p>
            <w:r>
              <w:rPr>
                <w:sz w:val="20"/>
                <w:szCs w:val="20"/>
              </w:rPr>
              <w:t xml:space="preserve">Client + NOVATE team</w:t>
            </w:r>
          </w:p>
        </w:tc>
      </w:tr>
      <w:tr>
        <w:tc>
          <w:tcPr>
            <w:tcW w:type="dxa" w:w="2000"/>
            <w:shd w:fill="9AAF45"/>
            <w:vAlign w:val="center"/>
          </w:tcPr>
          <w:p>
            <w:pPr>
              <w:jc w:val="center"/>
            </w:pPr>
            <w:r>
              <w:rPr>
                <w:b/>
                <w:bCs/>
                <w:color w:val="FFFFFF"/>
                <w:sz w:val="20"/>
                <w:szCs w:val="20"/>
              </w:rPr>
              <w:t xml:space="preserve">INTERNAL</w:t>
            </w:r>
          </w:p>
        </w:tc>
        <w:tc>
          <w:tcPr>
            <w:tcW w:type="dxa" w:w="4500"/>
            <w:vAlign w:val="center"/>
          </w:tcPr>
          <w:p>
            <w:r>
              <w:rPr>
                <w:sz w:val="20"/>
                <w:szCs w:val="20"/>
              </w:rPr>
              <w:t xml:space="preserve">NOVATE operational: playbooks, processes, templates</w:t>
            </w:r>
          </w:p>
        </w:tc>
        <w:tc>
          <w:tcPr>
            <w:tcW w:type="dxa" w:w="2860"/>
            <w:vAlign w:val="center"/>
          </w:tcPr>
          <w:p>
            <w:r>
              <w:rPr>
                <w:sz w:val="20"/>
                <w:szCs w:val="20"/>
              </w:rPr>
              <w:t xml:space="preserve">NOVATE employees</w:t>
            </w:r>
          </w:p>
        </w:tc>
      </w:tr>
      <w:tr>
        <w:tc>
          <w:tcPr>
            <w:tcW w:type="dxa" w:w="2000"/>
            <w:shd w:fill="2B6B7D"/>
            <w:vAlign w:val="center"/>
          </w:tcPr>
          <w:p>
            <w:pPr>
              <w:jc w:val="center"/>
            </w:pPr>
            <w:r>
              <w:rPr>
                <w:b/>
                <w:bCs/>
                <w:color w:val="FFFFFF"/>
                <w:sz w:val="20"/>
                <w:szCs w:val="20"/>
              </w:rPr>
              <w:t xml:space="preserve">PUBLIC</w:t>
            </w:r>
          </w:p>
        </w:tc>
        <w:tc>
          <w:tcPr>
            <w:tcW w:type="dxa" w:w="4500"/>
            <w:vAlign w:val="center"/>
          </w:tcPr>
          <w:p>
            <w:r>
              <w:rPr>
                <w:sz w:val="20"/>
                <w:szCs w:val="20"/>
              </w:rPr>
              <w:t xml:space="preserve">Marketing materials, published case studies</w:t>
            </w:r>
          </w:p>
        </w:tc>
        <w:tc>
          <w:tcPr>
            <w:tcW w:type="dxa" w:w="2860"/>
            <w:vAlign w:val="center"/>
          </w:tcPr>
          <w:p>
            <w:r>
              <w:rPr>
                <w:sz w:val="20"/>
                <w:szCs w:val="20"/>
              </w:rPr>
              <w:t xml:space="preserve">Unrestricted</w:t>
            </w:r>
          </w:p>
        </w:tc>
      </w:tr>
    </w:tbl>
    <w:p/>
    <w:p>
      <w:pPr>
        <w:spacing w:before="400" w:after="200"/>
      </w:pPr>
      <w:r>
        <w:rPr>
          <w:b/>
          <w:bCs/>
          <w:color w:val="1B2B3D"/>
          <w:sz w:val="32"/>
          <w:szCs w:val="32"/>
        </w:rPr>
        <w:t xml:space="preserve">8. FRAMEWORK ACKNOWLEDGMENT &amp; AUTHORIZATION</w:t>
      </w:r>
    </w:p>
    <w:p>
      <w:pPr>
        <w:spacing w:before="300" w:after="200"/>
      </w:pPr>
      <w:r>
        <w:rPr>
          <w:b/>
          <w:bCs/>
          <w:color w:val="2B6B7D"/>
          <w:sz w:val="26"/>
          <w:szCs w:val="26"/>
        </w:rPr>
        <w:t xml:space="preserve">8.1 Summary of Commitments</w:t>
      </w:r>
    </w:p>
    <w:p>
      <w:pPr>
        <w:spacing w:after="120"/>
      </w:pPr>
      <w:r>
        <w:rPr>
          <w:b/>
          <w:bCs/>
          <w:sz w:val="20"/>
          <w:szCs w:val="20"/>
        </w:rPr>
        <w:t xml:space="preserve">By signing this framework, both parties acknowledge and commit to:</w:t>
      </w:r>
    </w:p>
    <w:p>
      <w:pPr>
        <w:spacing w:after="120"/>
      </w:pPr>
      <w:r>
        <w:rPr>
          <w:b/>
          <w:bCs/>
          <w:sz w:val="20"/>
          <w:szCs w:val="20"/>
        </w:rPr>
        <w:t xml:space="preserve">NFL Commitments:</w:t>
      </w:r>
    </w:p>
    <w:p>
      <w:pPr>
        <w:pStyle w:val="ListParagraph"/>
        <w:numPr>
          <w:ilvl w:val="0"/>
          <w:numId w:val="1"/>
        </w:numPr>
        <w:spacing w:after="80"/>
      </w:pPr>
      <w:r>
        <w:rPr>
          <w:sz w:val="20"/>
          <w:szCs w:val="20"/>
        </w:rPr>
        <w:t xml:space="preserve">Executive sponsor availability and decision-making per SLAs</w:t>
      </w:r>
    </w:p>
    <w:p>
      <w:pPr>
        <w:pStyle w:val="ListParagraph"/>
        <w:numPr>
          <w:ilvl w:val="0"/>
          <w:numId w:val="1"/>
        </w:numPr>
        <w:spacing w:after="80"/>
      </w:pPr>
      <w:r>
        <w:rPr>
          <w:sz w:val="20"/>
          <w:szCs w:val="20"/>
        </w:rPr>
        <w:t xml:space="preserve">Stakeholder participation as specified in Section 2</w:t>
      </w:r>
    </w:p>
    <w:p>
      <w:pPr>
        <w:pStyle w:val="ListParagraph"/>
        <w:numPr>
          <w:ilvl w:val="0"/>
          <w:numId w:val="1"/>
        </w:numPr>
        <w:spacing w:after="80"/>
      </w:pPr>
      <w:r>
        <w:rPr>
          <w:sz w:val="20"/>
          <w:szCs w:val="20"/>
        </w:rPr>
        <w:t xml:space="preserve">Timely provision of documentation and data access</w:t>
      </w:r>
    </w:p>
    <w:p>
      <w:pPr>
        <w:pStyle w:val="ListParagraph"/>
        <w:numPr>
          <w:ilvl w:val="0"/>
          <w:numId w:val="1"/>
        </w:numPr>
        <w:spacing w:after="80"/>
      </w:pPr>
      <w:r>
        <w:rPr>
          <w:sz w:val="20"/>
          <w:szCs w:val="20"/>
        </w:rPr>
        <w:t xml:space="preserve">Prompt response to escalations and issue resolution</w:t>
      </w:r>
    </w:p>
    <w:p>
      <w:pPr>
        <w:pStyle w:val="ListParagraph"/>
        <w:numPr>
          <w:ilvl w:val="0"/>
          <w:numId w:val="1"/>
        </w:numPr>
        <w:spacing w:after="80"/>
      </w:pPr>
      <w:r>
        <w:rPr>
          <w:sz w:val="20"/>
          <w:szCs w:val="20"/>
        </w:rPr>
        <w:t xml:space="preserve">Stage Gate certification participation</w:t>
      </w:r>
    </w:p>
    <w:p>
      <w:pPr>
        <w:spacing w:after="120"/>
      </w:pPr>
      <w:r>
        <w:rPr>
          <w:b/>
          <w:bCs/>
          <w:sz w:val="20"/>
          <w:szCs w:val="20"/>
        </w:rPr>
        <w:t xml:space="preserve">NOVATE Commitments:</w:t>
      </w:r>
    </w:p>
    <w:p>
      <w:pPr>
        <w:pStyle w:val="ListParagraph"/>
        <w:numPr>
          <w:ilvl w:val="0"/>
          <w:numId w:val="1"/>
        </w:numPr>
        <w:spacing w:after="80"/>
      </w:pPr>
      <w:r>
        <w:rPr>
          <w:sz w:val="20"/>
          <w:szCs w:val="20"/>
        </w:rPr>
        <w:t xml:space="preserve">100% SIPE methodology adherence</w:t>
      </w:r>
    </w:p>
    <w:p>
      <w:pPr>
        <w:pStyle w:val="ListParagraph"/>
        <w:numPr>
          <w:ilvl w:val="0"/>
          <w:numId w:val="1"/>
        </w:numPr>
        <w:spacing w:after="80"/>
      </w:pPr>
      <w:r>
        <w:rPr>
          <w:sz w:val="20"/>
          <w:szCs w:val="20"/>
        </w:rPr>
        <w:t xml:space="preserve">Communication standards per Section 3</w:t>
      </w:r>
    </w:p>
    <w:p>
      <w:pPr>
        <w:pStyle w:val="ListParagraph"/>
        <w:numPr>
          <w:ilvl w:val="0"/>
          <w:numId w:val="1"/>
        </w:numPr>
        <w:spacing w:after="80"/>
      </w:pPr>
      <w:r>
        <w:rPr>
          <w:sz w:val="20"/>
          <w:szCs w:val="20"/>
        </w:rPr>
        <w:t xml:space="preserve">Proactive risk identification and early warning notification</w:t>
      </w:r>
    </w:p>
    <w:p>
      <w:pPr>
        <w:pStyle w:val="ListParagraph"/>
        <w:numPr>
          <w:ilvl w:val="0"/>
          <w:numId w:val="1"/>
        </w:numPr>
        <w:spacing w:after="80"/>
      </w:pPr>
      <w:r>
        <w:rPr>
          <w:sz w:val="20"/>
          <w:szCs w:val="20"/>
        </w:rPr>
        <w:t xml:space="preserve">Evidence-based deliverables with forensic documentation</w:t>
      </w:r>
    </w:p>
    <w:p>
      <w:pPr>
        <w:pStyle w:val="ListParagraph"/>
        <w:numPr>
          <w:ilvl w:val="0"/>
          <w:numId w:val="1"/>
        </w:numPr>
        <w:spacing w:after="80"/>
      </w:pPr>
      <w:r>
        <w:rPr>
          <w:sz w:val="20"/>
          <w:szCs w:val="20"/>
        </w:rPr>
        <w:t xml:space="preserve">Milestone adherence within stated tolerances</w:t>
      </w:r>
    </w:p>
    <w:p>
      <w:pPr>
        <w:spacing w:before="300" w:after="200"/>
      </w:pPr>
      <w:r>
        <w:rPr>
          <w:b/>
          <w:bCs/>
          <w:color w:val="2B6B7D"/>
          <w:sz w:val="26"/>
          <w:szCs w:val="26"/>
        </w:rPr>
        <w:t xml:space="preserve">8.2 Framework Authorization</w:t>
      </w:r>
    </w:p>
    <w:p>
      <w:pPr>
        <w:spacing w:after="120"/>
      </w:pPr>
      <w:r>
        <w:rPr>
          <w:sz w:val="20"/>
          <w:szCs w:val="20"/>
        </w:rPr>
        <w:t xml:space="preserve">This SIPE Engagement Accountability Framework is hereby acknowledged and accepted by both parties. This document establishes binding accountability standards for the NFL EVERGAME Phase II engagement.</w:t>
      </w:r>
    </w:p>
    <w:p>
      <w:pPr>
        <w:spacing w:after="400"/>
      </w:pPr>
    </w:p>
    <w:tbl>
      <w:tblPr>
        <w:tblW w:type="dxa" w:w="9360"/>
        <w:tblBorders>
          <w:top w:val="none"/>
          <w:left w:val="none"/>
          <w:bottom w:val="none"/>
          <w:right w:val="none"/>
          <w:insideH w:val="none"/>
          <w:insideV w:val="none"/>
        </w:tblBorders>
      </w:tblPr>
      <w:tblGrid>
        <w:gridCol w:w="100"/>
        <w:gridCol w:w="100"/>
      </w:tblGrid>
      <w:tr>
        <w:tc>
          <w:tcPr>
            <w:tcW w:type="dxa" w:w="4500"/>
          </w:tcPr>
          <w:p>
            <w:pPr>
              <w:spacing w:after="300"/>
            </w:pPr>
            <w:r>
              <w:rPr>
                <w:b/>
                <w:bCs/>
                <w:color w:val="1B2B3D"/>
                <w:sz w:val="22"/>
                <w:szCs w:val="22"/>
              </w:rPr>
              <w:t xml:space="preserve">FOR NOVATE LABS:</w:t>
            </w:r>
          </w:p>
        </w:tc>
        <w:tc>
          <w:tcPr>
            <w:tcW w:type="dxa" w:w="4860"/>
          </w:tcPr>
          <w:p>
            <w:pPr>
              <w:spacing w:after="300"/>
            </w:pPr>
            <w:r>
              <w:rPr>
                <w:b/>
                <w:bCs/>
                <w:color w:val="1B2B3D"/>
                <w:sz w:val="22"/>
                <w:szCs w:val="22"/>
              </w:rPr>
              <w:t xml:space="preserve">FOR NFL:</w:t>
            </w:r>
          </w:p>
        </w:tc>
      </w:tr>
      <w:tr>
        <w:tc>
          <w:tcPr>
            <w:tcW w:type="dxa" w:w="4500"/>
          </w:tcPr>
          <w:p>
            <w:pPr>
              <w:spacing w:after="500"/>
            </w:pPr>
          </w:p>
          <w:p>
            <w:pPr>
              <w:spacing w:after="50"/>
            </w:pPr>
            <w:r>
              <w:rPr>
                <w:sz w:val="20"/>
                <w:szCs w:val="20"/>
              </w:rPr>
              <w:t xml:space="preserve">________________________________</w:t>
            </w:r>
          </w:p>
          <w:p>
            <w:pPr>
              <w:spacing w:after="100"/>
            </w:pPr>
            <w:r>
              <w:rPr>
                <w:sz w:val="18"/>
                <w:szCs w:val="18"/>
              </w:rPr>
              <w:t xml:space="preserve">Tye, CEO</w:t>
            </w:r>
          </w:p>
          <w:p>
            <w:r>
              <w:rPr>
                <w:color w:val="666666"/>
                <w:sz w:val="18"/>
                <w:szCs w:val="18"/>
              </w:rPr>
              <w:t xml:space="preserve">Date: ____________________</w:t>
            </w:r>
          </w:p>
        </w:tc>
        <w:tc>
          <w:tcPr>
            <w:tcW w:type="dxa" w:w="4860"/>
          </w:tcPr>
          <w:p>
            <w:pPr>
              <w:spacing w:after="500"/>
            </w:pPr>
          </w:p>
          <w:p>
            <w:pPr>
              <w:spacing w:after="50"/>
            </w:pPr>
            <w:r>
              <w:rPr>
                <w:sz w:val="20"/>
                <w:szCs w:val="20"/>
              </w:rPr>
              <w:t xml:space="preserve">________________________________</w:t>
            </w:r>
          </w:p>
          <w:p>
            <w:pPr>
              <w:spacing w:after="100"/>
            </w:pPr>
            <w:r>
              <w:rPr>
                <w:sz w:val="18"/>
                <w:szCs w:val="18"/>
              </w:rPr>
              <w:t xml:space="preserve">Executive Sponsor, VP IT</w:t>
            </w:r>
          </w:p>
          <w:p>
            <w:r>
              <w:rPr>
                <w:color w:val="666666"/>
                <w:sz w:val="18"/>
                <w:szCs w:val="18"/>
              </w:rPr>
              <w:t xml:space="preserve">Date: ____________________</w:t>
            </w:r>
          </w:p>
        </w:tc>
      </w:tr>
      <w:tr>
        <w:tc>
          <w:tcPr>
            <w:tcW w:type="dxa" w:w="4500"/>
          </w:tcPr>
          <w:p>
            <w:pPr>
              <w:spacing w:after="500"/>
            </w:pPr>
          </w:p>
          <w:p>
            <w:pPr>
              <w:spacing w:after="50"/>
            </w:pPr>
            <w:r>
              <w:rPr>
                <w:sz w:val="20"/>
                <w:szCs w:val="20"/>
              </w:rPr>
              <w:t xml:space="preserve">________________________________</w:t>
            </w:r>
          </w:p>
          <w:p>
            <w:pPr>
              <w:spacing w:after="100"/>
            </w:pPr>
            <w:r>
              <w:rPr>
                <w:sz w:val="18"/>
                <w:szCs w:val="18"/>
              </w:rPr>
              <w:t xml:space="preserve">Program Director</w:t>
            </w:r>
          </w:p>
          <w:p>
            <w:r>
              <w:rPr>
                <w:color w:val="666666"/>
                <w:sz w:val="18"/>
                <w:szCs w:val="18"/>
              </w:rPr>
              <w:t xml:space="preserve">Date: ____________________</w:t>
            </w:r>
          </w:p>
        </w:tc>
        <w:tc>
          <w:tcPr>
            <w:tcW w:type="dxa" w:w="4860"/>
          </w:tcPr>
          <w:p>
            <w:pPr>
              <w:spacing w:after="500"/>
            </w:pPr>
          </w:p>
          <w:p>
            <w:pPr>
              <w:spacing w:after="50"/>
            </w:pPr>
            <w:r>
              <w:rPr>
                <w:sz w:val="20"/>
                <w:szCs w:val="20"/>
              </w:rPr>
              <w:t xml:space="preserve">________________________________</w:t>
            </w:r>
          </w:p>
          <w:p>
            <w:pPr>
              <w:spacing w:after="100"/>
            </w:pPr>
            <w:r>
              <w:rPr>
                <w:sz w:val="18"/>
                <w:szCs w:val="18"/>
              </w:rPr>
              <w:t xml:space="preserve">IT Director, Game Day Operations</w:t>
            </w:r>
          </w:p>
          <w:p>
            <w:r>
              <w:rPr>
                <w:color w:val="666666"/>
                <w:sz w:val="18"/>
                <w:szCs w:val="18"/>
              </w:rPr>
              <w:t xml:space="preserve">Date: ____________________</w:t>
            </w:r>
          </w:p>
        </w:tc>
      </w:tr>
    </w:tbl>
    <w:p/>
    <w:p>
      <w:pPr>
        <w:spacing w:before="400" w:after="200"/>
      </w:pPr>
      <w:r>
        <w:rPr>
          <w:b/>
          <w:bCs/>
          <w:color w:val="1B2B3D"/>
          <w:sz w:val="32"/>
          <w:szCs w:val="32"/>
        </w:rPr>
        <w:t xml:space="preserve">APPENDIX A: KPI CALCULATION FORMULAS</w:t>
      </w:r>
    </w:p>
    <w:p>
      <w:pPr>
        <w:spacing w:before="300" w:after="200"/>
      </w:pPr>
      <w:r>
        <w:rPr>
          <w:b/>
          <w:bCs/>
          <w:color w:val="2B6B7D"/>
          <w:sz w:val="26"/>
          <w:szCs w:val="26"/>
        </w:rPr>
        <w:t xml:space="preserve">A.1 Stakeholder Engagement Index (SEI)</w:t>
      </w:r>
    </w:p>
    <w:p>
      <w:pPr>
        <w:spacing w:after="120"/>
      </w:pPr>
      <w:r>
        <w:rPr>
          <w:sz w:val="20"/>
          <w:szCs w:val="20"/>
        </w:rPr>
        <w:t xml:space="preserve">SEI = (Meeting Attendance Rate × 0.4) + (Response Time Score × 0.3) + (Decision Velocity Score × 0.3)</w:t>
      </w:r>
    </w:p>
    <w:p>
      <w:pPr>
        <w:pStyle w:val="ListParagraph"/>
        <w:numPr>
          <w:ilvl w:val="0"/>
          <w:numId w:val="1"/>
        </w:numPr>
        <w:spacing w:after="80"/>
      </w:pPr>
      <w:r>
        <w:rPr>
          <w:sz w:val="20"/>
          <w:szCs w:val="20"/>
        </w:rPr>
        <w:t xml:space="preserve">Meeting Attendance Rate = (Meetings Attended ÷ Meetings Invited) × 100</w:t>
      </w:r>
    </w:p>
    <w:p>
      <w:pPr>
        <w:pStyle w:val="ListParagraph"/>
        <w:numPr>
          <w:ilvl w:val="0"/>
          <w:numId w:val="1"/>
        </w:numPr>
        <w:spacing w:after="80"/>
      </w:pPr>
      <w:r>
        <w:rPr>
          <w:sz w:val="20"/>
          <w:szCs w:val="20"/>
        </w:rPr>
        <w:t xml:space="preserve">Response Time Score = 100 - (Avg Response Hours ÷ 48 × 100)</w:t>
      </w:r>
    </w:p>
    <w:p>
      <w:pPr>
        <w:pStyle w:val="ListParagraph"/>
        <w:numPr>
          <w:ilvl w:val="0"/>
          <w:numId w:val="1"/>
        </w:numPr>
        <w:spacing w:after="80"/>
      </w:pPr>
      <w:r>
        <w:rPr>
          <w:sz w:val="20"/>
          <w:szCs w:val="20"/>
        </w:rPr>
        <w:t xml:space="preserve">Decision Velocity Score = (Decisions On Time ÷ Total Decisions) × 100</w:t>
      </w:r>
    </w:p>
    <w:p>
      <w:pPr>
        <w:spacing w:before="300" w:after="200"/>
      </w:pPr>
      <w:r>
        <w:rPr>
          <w:b/>
          <w:bCs/>
          <w:color w:val="2B6B7D"/>
          <w:sz w:val="26"/>
          <w:szCs w:val="26"/>
        </w:rPr>
        <w:t xml:space="preserve">A.2 Scope Stability Score (SSS)</w:t>
      </w:r>
    </w:p>
    <w:p>
      <w:pPr>
        <w:spacing w:after="120"/>
      </w:pPr>
      <w:r>
        <w:rPr>
          <w:sz w:val="20"/>
          <w:szCs w:val="20"/>
        </w:rPr>
        <w:t xml:space="preserve">SSS = 100 - Scope Change Impact</w:t>
      </w:r>
    </w:p>
    <w:p>
      <w:pPr>
        <w:pStyle w:val="ListParagraph"/>
        <w:numPr>
          <w:ilvl w:val="0"/>
          <w:numId w:val="1"/>
        </w:numPr>
        <w:spacing w:after="80"/>
      </w:pPr>
      <w:r>
        <w:rPr>
          <w:sz w:val="20"/>
          <w:szCs w:val="20"/>
        </w:rPr>
        <w:t xml:space="preserve">Scope Change Impact = Σ(Change Magnitude × Change Frequency)</w:t>
      </w:r>
    </w:p>
    <w:p>
      <w:pPr>
        <w:pStyle w:val="ListParagraph"/>
        <w:numPr>
          <w:ilvl w:val="0"/>
          <w:numId w:val="1"/>
        </w:numPr>
        <w:spacing w:after="80"/>
      </w:pPr>
      <w:r>
        <w:rPr>
          <w:sz w:val="20"/>
          <w:szCs w:val="20"/>
        </w:rPr>
        <w:t xml:space="preserve">Change Magnitude: MINOR (1), MODERATE (3), MAJOR (5)</w:t>
      </w:r>
    </w:p>
    <w:p>
      <w:pPr>
        <w:spacing w:before="300" w:after="200"/>
      </w:pPr>
      <w:r>
        <w:rPr>
          <w:b/>
          <w:bCs/>
          <w:color w:val="2B6B7D"/>
          <w:sz w:val="26"/>
          <w:szCs w:val="26"/>
        </w:rPr>
        <w:t xml:space="preserve">A.3 Requirements Ambiguity Score (RAS)</w:t>
      </w:r>
    </w:p>
    <w:p>
      <w:pPr>
        <w:spacing w:after="120"/>
      </w:pPr>
      <w:r>
        <w:rPr>
          <w:sz w:val="20"/>
          <w:szCs w:val="20"/>
        </w:rPr>
        <w:t xml:space="preserve">RAS = (Unclear Requirements ÷ Total Requirements) × 100 + Conflict Penalty</w:t>
      </w:r>
    </w:p>
    <w:p>
      <w:pPr>
        <w:pStyle w:val="ListParagraph"/>
        <w:numPr>
          <w:ilvl w:val="0"/>
          <w:numId w:val="1"/>
        </w:numPr>
        <w:spacing w:after="80"/>
      </w:pPr>
      <w:r>
        <w:rPr>
          <w:sz w:val="20"/>
          <w:szCs w:val="20"/>
        </w:rPr>
        <w:t xml:space="preserve">Conflict Penalty = Number of conflicting requirements × 5</w:t>
      </w:r>
    </w:p>
    <w:p>
      <w:pPr>
        <w:spacing w:before="300" w:after="200"/>
      </w:pPr>
      <w:r>
        <w:rPr>
          <w:b/>
          <w:bCs/>
          <w:color w:val="2B6B7D"/>
          <w:sz w:val="26"/>
          <w:szCs w:val="26"/>
        </w:rPr>
        <w:t xml:space="preserve">A.4 Churn Risk Score (CRS)</w:t>
      </w:r>
    </w:p>
    <w:p>
      <w:pPr>
        <w:spacing w:after="120"/>
      </w:pPr>
      <w:r>
        <w:rPr>
          <w:sz w:val="20"/>
          <w:szCs w:val="20"/>
        </w:rPr>
        <w:t xml:space="preserve">CRS = (RAS × 0.3) + (Alignment Gap × 0.25) + (Feasibility Concern × 0.25) + (Resource Variance × 0.2)</w:t>
      </w:r>
    </w:p>
    <w:p>
      <w:pPr>
        <w:pStyle w:val="ListParagraph"/>
        <w:numPr>
          <w:ilvl w:val="0"/>
          <w:numId w:val="1"/>
        </w:numPr>
        <w:spacing w:after="80"/>
      </w:pPr>
      <w:r>
        <w:rPr>
          <w:sz w:val="20"/>
          <w:szCs w:val="20"/>
        </w:rPr>
        <w:t xml:space="preserve">Low Risk: CRS &lt; 30</w:t>
      </w:r>
    </w:p>
    <w:p>
      <w:pPr>
        <w:pStyle w:val="ListParagraph"/>
        <w:numPr>
          <w:ilvl w:val="0"/>
          <w:numId w:val="1"/>
        </w:numPr>
        <w:spacing w:after="80"/>
      </w:pPr>
      <w:r>
        <w:rPr>
          <w:sz w:val="20"/>
          <w:szCs w:val="20"/>
        </w:rPr>
        <w:t xml:space="preserve">Medium Risk: 30 ≤ CRS &lt; 60</w:t>
      </w:r>
    </w:p>
    <w:p>
      <w:pPr>
        <w:pStyle w:val="ListParagraph"/>
        <w:numPr>
          <w:ilvl w:val="0"/>
          <w:numId w:val="1"/>
        </w:numPr>
        <w:spacing w:after="80"/>
      </w:pPr>
      <w:r>
        <w:rPr>
          <w:sz w:val="20"/>
          <w:szCs w:val="20"/>
        </w:rPr>
        <w:t xml:space="preserve">High Risk: CRS ≥ 60 (Immediate intervention required)</w:t>
      </w:r>
    </w:p>
    <w:p>
      <w:pPr>
        <w:spacing w:before="300" w:after="200"/>
      </w:pPr>
      <w:r>
        <w:rPr>
          <w:b/>
          <w:bCs/>
          <w:color w:val="2B6B7D"/>
          <w:sz w:val="26"/>
          <w:szCs w:val="26"/>
        </w:rPr>
        <w:t xml:space="preserve">A.5 Evidence Quality Rating</w:t>
      </w:r>
    </w:p>
    <w:p>
      <w:pPr>
        <w:spacing w:after="120"/>
      </w:pPr>
      <w:r>
        <w:rPr>
          <w:sz w:val="20"/>
          <w:szCs w:val="20"/>
        </w:rPr>
        <w:t xml:space="preserve">Evidence Quality = Dimension Coverage (25) + Source Validation (25) + Timeliness (25) + Tagging Accuracy (25)</w:t>
      </w:r>
    </w:p>
    <w:p/>
    <w:p>
      <w:pPr>
        <w:spacing w:before="400" w:after="200"/>
      </w:pPr>
      <w:r>
        <w:rPr>
          <w:b/>
          <w:bCs/>
          <w:color w:val="1B2B3D"/>
          <w:sz w:val="32"/>
          <w:szCs w:val="32"/>
        </w:rPr>
        <w:t xml:space="preserve">APPENDIX B: ESCALATION CONTACT DIRECTORY</w:t>
      </w:r>
    </w:p>
    <w:p>
      <w:pPr>
        <w:spacing w:before="300" w:after="200"/>
      </w:pPr>
      <w:r>
        <w:rPr>
          <w:b/>
          <w:bCs/>
          <w:color w:val="2B6B7D"/>
          <w:sz w:val="26"/>
          <w:szCs w:val="26"/>
        </w:rPr>
        <w:t xml:space="preserve">B.1 NOVATE Escalation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2B3D"/>
            <w:vAlign w:val="center"/>
          </w:tcPr>
          <w:p>
            <w:pPr>
              <w:jc w:val="center"/>
            </w:pPr>
            <w:r>
              <w:rPr>
                <w:b/>
                <w:bCs/>
                <w:color w:val="FFFFFF"/>
                <w:sz w:val="20"/>
                <w:szCs w:val="20"/>
              </w:rPr>
              <w:t xml:space="preserve">Role</w:t>
            </w:r>
          </w:p>
        </w:tc>
        <w:tc>
          <w:tcPr>
            <w:tcW w:type="dxa" w:w="2500"/>
            <w:shd w:fill="1B2B3D"/>
            <w:vAlign w:val="center"/>
          </w:tcPr>
          <w:p>
            <w:pPr>
              <w:jc w:val="center"/>
            </w:pPr>
            <w:r>
              <w:rPr>
                <w:b/>
                <w:bCs/>
                <w:color w:val="FFFFFF"/>
                <w:sz w:val="20"/>
                <w:szCs w:val="20"/>
              </w:rPr>
              <w:t xml:space="preserve">Name</w:t>
            </w:r>
          </w:p>
        </w:tc>
        <w:tc>
          <w:tcPr>
            <w:tcW w:type="dxa" w:w="3860"/>
            <w:shd w:fill="1B2B3D"/>
            <w:vAlign w:val="center"/>
          </w:tcPr>
          <w:p>
            <w:pPr>
              <w:jc w:val="center"/>
            </w:pPr>
            <w:r>
              <w:rPr>
                <w:b/>
                <w:bCs/>
                <w:color w:val="FFFFFF"/>
                <w:sz w:val="20"/>
                <w:szCs w:val="20"/>
              </w:rPr>
              <w:t xml:space="preserve">Email</w:t>
            </w:r>
          </w:p>
        </w:tc>
      </w:tr>
      <w:tr>
        <w:tc>
          <w:tcPr>
            <w:tcW w:type="dxa" w:w="3000"/>
            <w:vAlign w:val="center"/>
          </w:tcPr>
          <w:p>
            <w:r>
              <w:rPr>
                <w:sz w:val="20"/>
                <w:szCs w:val="20"/>
              </w:rPr>
              <w:t xml:space="preserve">CEO</w:t>
            </w:r>
          </w:p>
        </w:tc>
        <w:tc>
          <w:tcPr>
            <w:tcW w:type="dxa" w:w="2500"/>
            <w:vAlign w:val="center"/>
          </w:tcPr>
          <w:p>
            <w:r>
              <w:rPr>
                <w:sz w:val="20"/>
                <w:szCs w:val="20"/>
              </w:rPr>
              <w:t xml:space="preserve">Tye</w:t>
            </w:r>
          </w:p>
        </w:tc>
        <w:tc>
          <w:tcPr>
            <w:tcW w:type="dxa" w:w="3860"/>
            <w:vAlign w:val="center"/>
          </w:tcPr>
          <w:p>
            <w:r>
              <w:rPr>
                <w:sz w:val="20"/>
                <w:szCs w:val="20"/>
              </w:rPr>
              <w:t xml:space="preserve">[To be completed]</w:t>
            </w:r>
          </w:p>
        </w:tc>
      </w:tr>
      <w:tr>
        <w:tc>
          <w:tcPr>
            <w:tcW w:type="dxa" w:w="3000"/>
            <w:vAlign w:val="center"/>
          </w:tcPr>
          <w:p>
            <w:r>
              <w:rPr>
                <w:sz w:val="20"/>
                <w:szCs w:val="20"/>
              </w:rPr>
              <w:t xml:space="preserve">Program Director</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Engagement Lead</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Technical Lead</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Project Manager</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bl>
    <w:p>
      <w:pPr>
        <w:spacing w:before="300" w:after="200"/>
      </w:pPr>
      <w:r>
        <w:rPr>
          <w:b/>
          <w:bCs/>
          <w:color w:val="2B6B7D"/>
          <w:sz w:val="26"/>
          <w:szCs w:val="26"/>
        </w:rPr>
        <w:t xml:space="preserve">B.2 NFL Escalation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2B3D"/>
            <w:vAlign w:val="center"/>
          </w:tcPr>
          <w:p>
            <w:pPr>
              <w:jc w:val="center"/>
            </w:pPr>
            <w:r>
              <w:rPr>
                <w:b/>
                <w:bCs/>
                <w:color w:val="FFFFFF"/>
                <w:sz w:val="20"/>
                <w:szCs w:val="20"/>
              </w:rPr>
              <w:t xml:space="preserve">Role</w:t>
            </w:r>
          </w:p>
        </w:tc>
        <w:tc>
          <w:tcPr>
            <w:tcW w:type="dxa" w:w="2500"/>
            <w:shd w:fill="1B2B3D"/>
            <w:vAlign w:val="center"/>
          </w:tcPr>
          <w:p>
            <w:pPr>
              <w:jc w:val="center"/>
            </w:pPr>
            <w:r>
              <w:rPr>
                <w:b/>
                <w:bCs/>
                <w:color w:val="FFFFFF"/>
                <w:sz w:val="20"/>
                <w:szCs w:val="20"/>
              </w:rPr>
              <w:t xml:space="preserve">Name</w:t>
            </w:r>
          </w:p>
        </w:tc>
        <w:tc>
          <w:tcPr>
            <w:tcW w:type="dxa" w:w="3860"/>
            <w:shd w:fill="1B2B3D"/>
            <w:vAlign w:val="center"/>
          </w:tcPr>
          <w:p>
            <w:pPr>
              <w:jc w:val="center"/>
            </w:pPr>
            <w:r>
              <w:rPr>
                <w:b/>
                <w:bCs/>
                <w:color w:val="FFFFFF"/>
                <w:sz w:val="20"/>
                <w:szCs w:val="20"/>
              </w:rPr>
              <w:t xml:space="preserve">Email</w:t>
            </w:r>
          </w:p>
        </w:tc>
      </w:tr>
      <w:tr>
        <w:tc>
          <w:tcPr>
            <w:tcW w:type="dxa" w:w="3000"/>
            <w:vAlign w:val="center"/>
          </w:tcPr>
          <w:p>
            <w:r>
              <w:rPr>
                <w:sz w:val="20"/>
                <w:szCs w:val="20"/>
              </w:rPr>
              <w:t xml:space="preserve">Executive Sponsor</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VP IT</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IT Director</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IT Project Lead</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r>
        <w:tc>
          <w:tcPr>
            <w:tcW w:type="dxa" w:w="3000"/>
            <w:vAlign w:val="center"/>
          </w:tcPr>
          <w:p>
            <w:r>
              <w:rPr>
                <w:sz w:val="20"/>
                <w:szCs w:val="20"/>
              </w:rPr>
              <w:t xml:space="preserve">GDA Lead</w:t>
            </w:r>
          </w:p>
        </w:tc>
        <w:tc>
          <w:tcPr>
            <w:tcW w:type="dxa" w:w="2500"/>
            <w:vAlign w:val="center"/>
          </w:tcPr>
          <w:p>
            <w:r>
              <w:rPr>
                <w:sz w:val="20"/>
                <w:szCs w:val="20"/>
              </w:rPr>
              <w:t xml:space="preserve">[To be assigned]</w:t>
            </w:r>
          </w:p>
        </w:tc>
        <w:tc>
          <w:tcPr>
            <w:tcW w:type="dxa" w:w="3860"/>
            <w:vAlign w:val="center"/>
          </w:tcPr>
          <w:p>
            <w:r>
              <w:rPr>
                <w:sz w:val="20"/>
                <w:szCs w:val="20"/>
              </w:rPr>
              <w:t xml:space="preserve">[To be completed]</w:t>
            </w:r>
          </w:p>
        </w:tc>
      </w:tr>
    </w:tbl>
    <w:p>
      <w:pPr>
        <w:spacing w:after="800"/>
      </w:pPr>
    </w:p>
    <w:p>
      <w:pPr>
        <w:spacing w:before="400"/>
      </w:pPr>
      <w:r>
        <w:rPr>
          <w:b/>
          <w:bCs/>
          <w:color w:val="1B2B3D"/>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F5F5F5"/>
            <w:vAlign w:val="center"/>
          </w:tcPr>
          <w:p>
            <w:r>
              <w:rPr>
                <w:sz w:val="20"/>
                <w:szCs w:val="20"/>
              </w:rPr>
              <w:t xml:space="preserve">Document ID:</w:t>
            </w:r>
          </w:p>
        </w:tc>
        <w:tc>
          <w:tcPr>
            <w:tcW w:type="dxa" w:w="7360"/>
            <w:vAlign w:val="center"/>
          </w:tcPr>
          <w:p>
            <w:r>
              <w:rPr>
                <w:sz w:val="20"/>
                <w:szCs w:val="20"/>
              </w:rPr>
              <w:t xml:space="preserve">SIPE-NFL-EVERGAME-ACCT-v1.0</w:t>
            </w:r>
          </w:p>
        </w:tc>
      </w:tr>
      <w:tr>
        <w:tc>
          <w:tcPr>
            <w:tcW w:type="dxa" w:w="2000"/>
            <w:shd w:fill="F5F5F5"/>
            <w:vAlign w:val="center"/>
          </w:tcPr>
          <w:p>
            <w:r>
              <w:rPr>
                <w:sz w:val="20"/>
                <w:szCs w:val="20"/>
              </w:rPr>
              <w:t xml:space="preserve">Version:</w:t>
            </w:r>
          </w:p>
        </w:tc>
        <w:tc>
          <w:tcPr>
            <w:tcW w:type="dxa" w:w="7360"/>
            <w:vAlign w:val="center"/>
          </w:tcPr>
          <w:p>
            <w:r>
              <w:rPr>
                <w:sz w:val="20"/>
                <w:szCs w:val="20"/>
              </w:rPr>
              <w:t xml:space="preserve">1.0</w:t>
            </w:r>
          </w:p>
        </w:tc>
      </w:tr>
      <w:tr>
        <w:tc>
          <w:tcPr>
            <w:tcW w:type="dxa" w:w="2000"/>
            <w:shd w:fill="F5F5F5"/>
            <w:vAlign w:val="center"/>
          </w:tcPr>
          <w:p>
            <w:r>
              <w:rPr>
                <w:sz w:val="20"/>
                <w:szCs w:val="20"/>
              </w:rPr>
              <w:t xml:space="preserve">Release Date:</w:t>
            </w:r>
          </w:p>
        </w:tc>
        <w:tc>
          <w:tcPr>
            <w:tcW w:type="dxa" w:w="7360"/>
            <w:vAlign w:val="center"/>
          </w:tcPr>
          <w:p>
            <w:r>
              <w:rPr>
                <w:sz w:val="20"/>
                <w:szCs w:val="20"/>
              </w:rPr>
              <w:t xml:space="preserve">January 2026</w:t>
            </w:r>
          </w:p>
        </w:tc>
      </w:tr>
      <w:tr>
        <w:tc>
          <w:tcPr>
            <w:tcW w:type="dxa" w:w="2000"/>
            <w:shd w:fill="F5F5F5"/>
            <w:vAlign w:val="center"/>
          </w:tcPr>
          <w:p>
            <w:r>
              <w:rPr>
                <w:sz w:val="20"/>
                <w:szCs w:val="20"/>
              </w:rPr>
              <w:t xml:space="preserve">Classification:</w:t>
            </w:r>
          </w:p>
        </w:tc>
        <w:tc>
          <w:tcPr>
            <w:tcW w:type="dxa" w:w="7360"/>
            <w:vAlign w:val="center"/>
          </w:tcPr>
          <w:p>
            <w:r>
              <w:rPr>
                <w:sz w:val="20"/>
                <w:szCs w:val="20"/>
              </w:rPr>
              <w:t xml:space="preserve">NOVATE PROPRIETARY - CONFIDENTIAL</w:t>
            </w:r>
          </w:p>
        </w:tc>
      </w:tr>
      <w:tr>
        <w:tc>
          <w:tcPr>
            <w:tcW w:type="dxa" w:w="2000"/>
            <w:shd w:fill="F5F5F5"/>
            <w:vAlign w:val="center"/>
          </w:tcPr>
          <w:p>
            <w:r>
              <w:rPr>
                <w:sz w:val="20"/>
                <w:szCs w:val="20"/>
              </w:rPr>
              <w:t xml:space="preserve">SIPE Reference:</w:t>
            </w:r>
          </w:p>
        </w:tc>
        <w:tc>
          <w:tcPr>
            <w:tcW w:type="dxa" w:w="7360"/>
            <w:vAlign w:val="center"/>
          </w:tcPr>
          <w:p>
            <w:r>
              <w:rPr>
                <w:sz w:val="20"/>
                <w:szCs w:val="20"/>
              </w:rPr>
              <w:t xml:space="preserve">SIPE Core Architecture v1.0, Sections 2-4, 8-9</w:t>
            </w:r>
          </w:p>
        </w:tc>
      </w:tr>
      <w:tr>
        <w:tc>
          <w:tcPr>
            <w:tcW w:type="dxa" w:w="2000"/>
            <w:shd w:fill="F5F5F5"/>
            <w:vAlign w:val="center"/>
          </w:tcPr>
          <w:p>
            <w:r>
              <w:rPr>
                <w:sz w:val="20"/>
                <w:szCs w:val="20"/>
              </w:rPr>
              <w:t xml:space="preserve">Next Review:</w:t>
            </w:r>
          </w:p>
        </w:tc>
        <w:tc>
          <w:tcPr>
            <w:tcW w:type="dxa" w:w="7360"/>
            <w:vAlign w:val="center"/>
          </w:tcPr>
          <w:p>
            <w:r>
              <w:rPr>
                <w:sz w:val="20"/>
                <w:szCs w:val="20"/>
              </w:rPr>
              <w:t xml:space="preserve">Post-engagement or upon SIPE v1.1 release</w:t>
            </w:r>
          </w:p>
        </w:tc>
      </w:tr>
    </w:tbl>
    <w:p>
      <w:pPr>
        <w:spacing w:after="400"/>
      </w:pPr>
    </w:p>
    <w:p>
      <w:pPr>
        <w:spacing w:after="120"/>
      </w:pPr>
      <w:r>
        <w:rPr>
          <w:b/>
          <w:bCs/>
          <w:color w:val="1B2B3D"/>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NOVATE PROPRIETARY - CLIENT CONFIDENTIAL | SIPE-NFL-EVERGAME-ACCT-v1.0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5B5" w:sz="8"/>
      </w:pBdr>
      <w:jc w:val="right"/>
    </w:pPr>
    <w:r>
      <w:rPr>
        <w:b/>
        <w:bCs/>
        <w:color w:val="1B2B3D"/>
        <w:sz w:val="18"/>
        <w:szCs w:val="18"/>
      </w:rPr>
      <w:t xml:space="preserve">NFL EVERGAME Phase II | </w:t>
    </w:r>
    <w:r>
      <w:rPr>
        <w:color w:val="2B6B7D"/>
        <w:sz w:val="18"/>
        <w:szCs w:val="18"/>
      </w:rPr>
      <w:t xml:space="preserve">SIPE Engagement Accountability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2026-01-08T23:50:49.552Z</dcterms:created>
  <dcterms:modified xsi:type="dcterms:W3CDTF">2026-01-08T23:50:49.553Z</dcterms:modified>
</cp:coreProperties>
</file>

<file path=docProps/custom.xml><?xml version="1.0" encoding="utf-8"?>
<Properties xmlns="http://schemas.openxmlformats.org/officeDocument/2006/custom-properties" xmlns:vt="http://schemas.openxmlformats.org/officeDocument/2006/docPropsVTypes"/>
</file>