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Arial" w:cs="Arial" w:eastAsia="Arial" w:hAnsi="Arial"/>
          <w:b/>
          <w:bCs/>
          <w:color w:val="0A1628"/>
          <w:sz w:val="52"/>
          <w:szCs w:val="52"/>
        </w:rPr>
        <w:t xml:space="preserve">SENTRAIS</w:t>
      </w:r>
    </w:p>
    <w:p>
      <w:pPr>
        <w:pBdr>
          <w:bottom w:val="single" w:color="0A1628" w:sz="6"/>
        </w:pBdr>
        <w:spacing w:before="200"/>
      </w:pPr>
    </w:p>
    <w:p>
      <w:pPr>
        <w:spacing w:before="300"/>
      </w:pPr>
      <w:r>
        <w:rPr>
          <w:rFonts w:ascii="Arial" w:cs="Arial" w:eastAsia="Arial" w:hAnsi="Arial"/>
          <w:b/>
          <w:bCs/>
          <w:color w:val="0A1628"/>
          <w:sz w:val="40"/>
          <w:szCs w:val="40"/>
        </w:rPr>
        <w:t xml:space="preserve">SIPE v1.0 → FORGE v3.0</w:t>
      </w:r>
    </w:p>
    <w:p>
      <w:pPr>
        <w:spacing w:before="100"/>
      </w:pPr>
      <w:r>
        <w:rPr>
          <w:rFonts w:ascii="Arial" w:cs="Arial" w:eastAsia="Arial" w:hAnsi="Arial"/>
          <w:color w:val="1A5276"/>
          <w:sz w:val="24"/>
          <w:szCs w:val="24"/>
        </w:rPr>
        <w:t xml:space="preserve">Comparative Analysis &amp; Functionality Audit</w:t>
      </w:r>
    </w:p>
    <w:p>
      <w:pPr>
        <w:spacing w:before="80"/>
      </w:pPr>
      <w:r>
        <w:rPr>
          <w:rFonts w:ascii="Arial" w:cs="Arial" w:eastAsia="Arial" w:hAnsi="Arial"/>
          <w:i/>
          <w:iCs/>
          <w:color w:val="148F77"/>
          <w:sz w:val="20"/>
          <w:szCs w:val="20"/>
        </w:rPr>
        <w:t xml:space="preserve">Every SIPE Capability Mapped, Absorbed, or Flagged</w:t>
      </w:r>
    </w:p>
    <w:p>
      <w:pPr>
        <w:spacing w:before="600"/>
      </w:pPr>
      <w:r>
        <w:rPr>
          <w:rFonts w:ascii="Arial" w:cs="Arial" w:eastAsia="Arial" w:hAnsi="Arial"/>
          <w:b/>
          <w:bCs/>
          <w:color w:val="C0392B"/>
          <w:sz w:val="20"/>
          <w:szCs w:val="20"/>
        </w:rPr>
        <w:t xml:space="preserve">Classification: RESTRICTED</w:t>
      </w:r>
    </w:p>
    <w:p>
      <w:pPr>
        <w:spacing w:before="400"/>
      </w:pPr>
      <w:r>
        <w:rPr>
          <w:rFonts w:ascii="Arial" w:cs="Arial" w:eastAsia="Arial" w:hAnsi="Arial"/>
          <w:color w:val="1C2833"/>
          <w:sz w:val="18"/>
          <w:szCs w:val="18"/>
        </w:rPr>
        <w:t xml:space="preserve">February 8, 2026  |  Version 1.0</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A1628"/>
          <w:sz w:val="32"/>
          <w:szCs w:val="32"/>
        </w:rPr>
        <w:t xml:space="preserve">1. Executive Summary</w:t>
      </w:r>
    </w:p>
    <w:p>
      <w:pPr>
        <w:spacing w:after="120" w:line="276"/>
      </w:pPr>
      <w:r>
        <w:rPr>
          <w:rFonts w:ascii="Arial" w:cs="Arial" w:eastAsia="Arial" w:hAnsi="Arial"/>
          <w:color w:val="1C2833"/>
          <w:sz w:val="20"/>
          <w:szCs w:val="20"/>
        </w:rPr>
        <w:t xml:space="preserve">SIPE v1.0 was a 1,008-line architecture document delivering an internal intelligence engine focused on churn prevention, playbook automation, and delivery team optimization. FORGE v3.0 absorbs all SIPE functionality and extends it into a complete master strategy and client delivery operating system. This analysis maps every SIPE capability to its FORGE equivalent, identifies what was enhanced, what was absorbed without change, and what requires attention.</w:t>
      </w:r>
    </w:p>
    <w:p>
      <w:pPr>
        <w:spacing w:after="120" w:line="276"/>
      </w:pPr>
      <w:r>
        <w:rPr>
          <w:rFonts w:ascii="Arial" w:cs="Arial" w:eastAsia="Arial" w:hAnsi="Arial"/>
          <w:b/>
          <w:bCs/>
          <w:color w:val="1C2833"/>
          <w:sz w:val="20"/>
          <w:szCs w:val="20"/>
        </w:rPr>
        <w:t xml:space="preserve">Verdict: </w:t>
      </w:r>
      <w:r>
        <w:rPr>
          <w:rFonts w:ascii="Arial" w:cs="Arial" w:eastAsia="Arial" w:hAnsi="Arial"/>
          <w:color w:val="1C2833"/>
          <w:sz w:val="20"/>
          <w:szCs w:val="20"/>
        </w:rPr>
        <w:t xml:space="preserve">93% of SIPE v1.0 functionality is fully accounted for in FORGE v3.0. Five specific items require attention, detailed in Section 5.</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Items</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Absorbed</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Enhanced</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Engine Architecture (4 components)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 of 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Output Engines (3 stakeholder types)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 of 3</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KPI Framework (4 categories, 16 KPIs)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16</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Expanded</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Stage Gate System (6 gates)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6</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EVOLVED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Compressed to 5</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Self-Learning Engine (4 mechanisms)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 of 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Methodology Synthesis (7 frameworks)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7</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7 of 7</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Specialized Modules (4 modules)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 of 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Technical Implementation (3 sections)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 of 3</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Playbook System (72-matrix)</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72</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EVOLVED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Restructured</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Security &amp; IP (3 sections)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 of 3</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Training Curriculum (4 modules)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Via Training Agent</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COVERED</w:t>
            </w:r>
          </w:p>
        </w:tc>
      </w:tr>
      <w:tr>
        <w:tc>
          <w:tcPr>
            <w:tcW w:type="dxa" w:w="31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API Specifications (8 endpoints)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8</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Not explicit</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Implied via agents</w:t>
            </w:r>
          </w:p>
        </w:tc>
        <w:tc>
          <w:tcPr>
            <w:tcW w:type="dxa" w:w="15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GAP</w:t>
            </w:r>
          </w:p>
        </w:tc>
      </w:tr>
    </w:tbl>
    <w:p>
      <w:r>
        <w:br w:type="page"/>
      </w:r>
    </w:p>
    <w:p>
      <w:pPr>
        <w:pStyle w:val="Heading1"/>
        <w:spacing w:before="400" w:after="200"/>
      </w:pPr>
      <w:r>
        <w:rPr>
          <w:rFonts w:ascii="Arial" w:cs="Arial" w:eastAsia="Arial" w:hAnsi="Arial"/>
          <w:b/>
          <w:bCs/>
          <w:color w:val="0A1628"/>
          <w:sz w:val="32"/>
          <w:szCs w:val="32"/>
        </w:rPr>
        <w:t xml:space="preserve">2. Architecture Component Mapping</w:t>
      </w:r>
    </w:p>
    <w:p>
      <w:pPr>
        <w:spacing w:after="120" w:line="276"/>
      </w:pPr>
      <w:r>
        <w:rPr>
          <w:rFonts w:ascii="Arial" w:cs="Arial" w:eastAsia="Arial" w:hAnsi="Arial"/>
          <w:color w:val="1C2833"/>
          <w:sz w:val="20"/>
          <w:szCs w:val="20"/>
        </w:rPr>
        <w:t xml:space="preserve">SIPE v1.0 defined a three-layer architecture (Foundation, Intelligence, Presentation) with four core components. FORGE v3.0 restructured this into a three-layer model (Core OS, Edge Apps, NIN Multiplier) mapped to the Hayes 2026 tech stack and Sentrais Frame zones. Every SIPE component has a direct FORGE equivalent.</w:t>
      </w:r>
    </w:p>
    <w:p>
      <w:pPr>
        <w:pStyle w:val="Heading2"/>
        <w:spacing w:before="300" w:after="150"/>
      </w:pPr>
      <w:r>
        <w:rPr>
          <w:rFonts w:ascii="Arial" w:cs="Arial" w:eastAsia="Arial" w:hAnsi="Arial"/>
          <w:b/>
          <w:bCs/>
          <w:color w:val="1A5276"/>
          <w:sz w:val="26"/>
          <w:szCs w:val="26"/>
        </w:rPr>
        <w:t xml:space="preserve">2.1 Layer Architecture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v1.0 Layer</w:t>
            </w:r>
          </w:p>
        </w:tc>
        <w:tc>
          <w:tcPr>
            <w:tcW w:type="dxa" w:w="2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FORGE v3.0 Layer</w:t>
            </w:r>
          </w:p>
        </w:tc>
        <w:tc>
          <w:tcPr>
            <w:tcW w:type="dxa" w:w="19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Foundation Layer (Sentrais Data Core &amp; Evidence Ledger)</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Layer 1: Core OS (Data ingestion, readiness scoring, Evidence Ledger, version control)</w:t>
            </w:r>
          </w:p>
        </w:tc>
        <w:tc>
          <w:tcPr>
            <w:tcW w:type="dxa" w:w="19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Added financial ledger, source of truth</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Intelligence Layer (Self-Learning &amp; Playbook Automation)</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Layer 3: NIN Multiplier (Agent orchestration, predictive analytics, self-learning)</w:t>
            </w:r>
          </w:p>
        </w:tc>
        <w:tc>
          <w:tcPr>
            <w:tcW w:type="dxa" w:w="19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22 agents replace monolithic engine</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Presentation Layer (Stakeholder Dashboards)</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Layer 2: Edge Apps (Client dashboards, NIN Analyzer, template rendering)</w:t>
            </w:r>
          </w:p>
        </w:tc>
        <w:tc>
          <w:tcPr>
            <w:tcW w:type="dxa" w:w="19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Added design production, Figma API</w:t>
            </w:r>
          </w:p>
        </w:tc>
      </w:tr>
    </w:tbl>
    <w:p>
      <w:pPr>
        <w:spacing w:before="200"/>
      </w:pPr>
    </w:p>
    <w:p>
      <w:pPr>
        <w:pStyle w:val="Heading2"/>
        <w:spacing w:before="300" w:after="150"/>
      </w:pPr>
      <w:r>
        <w:rPr>
          <w:rFonts w:ascii="Arial" w:cs="Arial" w:eastAsia="Arial" w:hAnsi="Arial"/>
          <w:b/>
          <w:bCs/>
          <w:color w:val="1A5276"/>
          <w:sz w:val="26"/>
          <w:szCs w:val="26"/>
        </w:rPr>
        <w:t xml:space="preserve">2.2 Core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60"/>
        <w:gridCol w:w="2600"/>
      </w:tblGrid>
      <w:tr>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Component</w:t>
            </w:r>
          </w:p>
        </w:tc>
        <w:tc>
          <w:tcPr>
            <w:tcW w:type="dxa" w:w="2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FORGE Equivalent</w:t>
            </w:r>
          </w:p>
        </w:tc>
        <w:tc>
          <w:tcPr>
            <w:tcW w:type="dxa" w:w="19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What Changed</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EIC (Engagement Intelligence Core)</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Risk Agent + Portfolio Agent + Client Success Agent + Financial Agent</w:t>
            </w:r>
          </w:p>
        </w:tc>
        <w:tc>
          <w:tcPr>
            <w:tcW w:type="dxa" w:w="19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Monolithic core split into specialized agents with distinct authority tiers</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PAE (Playbook Automation Engine)</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15 Strategic Playbooks (Sec 5) + Delivery Agent + Agile PM Agent + Waterfall PM Agent</w:t>
            </w:r>
          </w:p>
        </w:tc>
        <w:tc>
          <w:tcPr>
            <w:tcW w:type="dxa" w:w="19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72-playbook matrix replaced by 15 discipline playbooks. Zone x Model x Phase taxonomy retained in FORGE taxonomy.</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ELVC (Evidence Ledger &amp; Version Control)</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Evidence Ledger (immutable, BigQuery-backed) + Version Control via FORGE governance</w:t>
            </w:r>
          </w:p>
        </w:tc>
        <w:tc>
          <w:tcPr>
            <w:tcW w:type="dxa" w:w="19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Same function. Now GCP-native with BigQuery + Firestore. Immutability enforced at infrastructure level.</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SIPL (Security &amp; IP Protection Layer)</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IP Agent + Security Agent + Sec 13 (Security, IP &amp; Risk Exposure Framework)</w:t>
            </w:r>
          </w:p>
        </w:tc>
        <w:tc>
          <w:tcPr>
            <w:tcW w:type="dxa" w:w="19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Zero-knowledge architecture preserved. Added Sentrais risk exposure management at every gate. IP Agent auto-blocks exposure.</w:t>
            </w:r>
          </w:p>
        </w:tc>
      </w:tr>
    </w:tbl>
    <w:p>
      <w:r>
        <w:br w:type="page"/>
      </w:r>
    </w:p>
    <w:p>
      <w:pPr>
        <w:pStyle w:val="Heading1"/>
        <w:spacing w:before="400" w:after="200"/>
      </w:pPr>
      <w:r>
        <w:rPr>
          <w:rFonts w:ascii="Arial" w:cs="Arial" w:eastAsia="Arial" w:hAnsi="Arial"/>
          <w:b/>
          <w:bCs/>
          <w:color w:val="0A1628"/>
          <w:sz w:val="32"/>
          <w:szCs w:val="32"/>
        </w:rPr>
        <w:t xml:space="preserve">3. Stakeholder Output Engine Mapping</w:t>
      </w:r>
    </w:p>
    <w:p>
      <w:pPr>
        <w:spacing w:after="120" w:line="276"/>
      </w:pPr>
      <w:r>
        <w:rPr>
          <w:rFonts w:ascii="Arial" w:cs="Arial" w:eastAsia="Arial" w:hAnsi="Arial"/>
          <w:color w:val="1C2833"/>
          <w:sz w:val="20"/>
          <w:szCs w:val="20"/>
        </w:rPr>
        <w:t xml:space="preserve">SIPE v1.0 defined three stakeholder output engines: COE (Client), IDTOE (Internal Delivery), and ATOE (Architecture). FORGE v3.0 absorbs all three and adds two new output channels: the Design Agent production pipeline and the Client Microsite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560"/>
        <w:gridCol w:w="1600"/>
      </w:tblGrid>
      <w:tr>
        <w:tc>
          <w:tcPr>
            <w:tcW w:type="dxa" w:w="1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Engine</w:t>
            </w:r>
          </w:p>
        </w:tc>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FORGE Equivalent</w:t>
            </w:r>
          </w:p>
        </w:tc>
        <w:tc>
          <w:tcPr>
            <w:tcW w:type="dxa" w:w="2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COE (Client Output)</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Communications Agent + Client Success Agent + Design Agent + Client Microsite</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NIN Analyzer, Source of Truth Reports, Scorecards, Risk Heatmaps</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Added Deloitte-grade design, live microsites, real-time data</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IDTOE (Internal Delivery)</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Delivery Agent + Agile PM Agent + Operations Agent + Learning Agent</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Execution Playbooks, Health Dashboards, Continuous Learning</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22 agents replace single engine. Real-time agent check-ins replace manual standups.</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ATOE (Architecture)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Architecture Agent + Data Engineering Agent + Security Agent</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Efficiency Reports, Security Assessments, Vendor Independence Roadmaps</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Same outputs. Zero-knowledge protection preserved via IP Agent.</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N/A (New in FORGE)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Design Agent (Sec 7)</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Executive Reports, Scorecards, Presentations, Infographics, SOW/Contracts</w:t>
            </w:r>
          </w:p>
        </w:tc>
        <w:tc>
          <w:tcPr>
            <w:tcW w:type="dxa" w:w="15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tcPr>
          <w:p>
            <w:pPr>
              <w:jc w:val="center"/>
            </w:pPr>
            <w:r>
              <w:rPr>
                <w:rFonts w:ascii="Arial" w:cs="Arial" w:eastAsia="Arial" w:hAnsi="Arial"/>
                <w:b/>
                <w:bCs/>
                <w:color w:val="1C2833"/>
                <w:sz w:val="18"/>
                <w:szCs w:val="18"/>
              </w:rPr>
              <w:t xml:space="preserve">NEW</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Deloitte Digital-grade production system. Not in SIPE.</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N/A (New in FORGE)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Competitive Intelligence Agent (Sec 14)</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Monthly briefings, pricing benchmarks, positioning analysis</w:t>
            </w:r>
          </w:p>
        </w:tc>
        <w:tc>
          <w:tcPr>
            <w:tcW w:type="dxa" w:w="15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tcPr>
          <w:p>
            <w:pPr>
              <w:jc w:val="center"/>
            </w:pPr>
            <w:r>
              <w:rPr>
                <w:rFonts w:ascii="Arial" w:cs="Arial" w:eastAsia="Arial" w:hAnsi="Arial"/>
                <w:b/>
                <w:bCs/>
                <w:color w:val="1C2833"/>
                <w:sz w:val="18"/>
                <w:szCs w:val="18"/>
              </w:rPr>
              <w:t xml:space="preserve">NEW</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Tracks McKinsey, BCG, ServiceNow, SAP. Not in SIPE.</w:t>
            </w:r>
          </w:p>
        </w:tc>
      </w:tr>
    </w:tbl>
    <w:p>
      <w:r>
        <w:br w:type="page"/>
      </w:r>
    </w:p>
    <w:p>
      <w:pPr>
        <w:pStyle w:val="Heading1"/>
        <w:spacing w:before="400" w:after="200"/>
      </w:pPr>
      <w:r>
        <w:rPr>
          <w:rFonts w:ascii="Arial" w:cs="Arial" w:eastAsia="Arial" w:hAnsi="Arial"/>
          <w:b/>
          <w:bCs/>
          <w:color w:val="0A1628"/>
          <w:sz w:val="32"/>
          <w:szCs w:val="32"/>
        </w:rPr>
        <w:t xml:space="preserve">4. KPI Framework &amp; Stage Gate Mapping</w:t>
      </w:r>
    </w:p>
    <w:p>
      <w:pPr>
        <w:pStyle w:val="Heading2"/>
        <w:spacing w:before="300" w:after="150"/>
      </w:pPr>
      <w:r>
        <w:rPr>
          <w:rFonts w:ascii="Arial" w:cs="Arial" w:eastAsia="Arial" w:hAnsi="Arial"/>
          <w:b/>
          <w:bCs/>
          <w:color w:val="1A5276"/>
          <w:sz w:val="26"/>
          <w:szCs w:val="26"/>
        </w:rPr>
        <w:t xml:space="preserve">4.1 KPI Category Migration</w:t>
      </w:r>
    </w:p>
    <w:p>
      <w:pPr>
        <w:spacing w:after="120" w:line="276"/>
      </w:pPr>
      <w:r>
        <w:rPr>
          <w:rFonts w:ascii="Arial" w:cs="Arial" w:eastAsia="Arial" w:hAnsi="Arial"/>
          <w:color w:val="1C2833"/>
          <w:sz w:val="20"/>
          <w:szCs w:val="20"/>
        </w:rPr>
        <w:t xml:space="preserve">SIPE v1.0 defined 16 KPIs across four categories with explicit calculation formulas (Appendix B). FORGE v3.0 references KPI tracking through agents but does not reproduce the individual KPI definitions or calculation methodologies at the same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KPI</w:t>
            </w:r>
          </w:p>
        </w:tc>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FORGE Coverage</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Progression Velocity</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NIN phase time caps (Sec 3.3)</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FORGE adds hard time caps per phase (2/4/4/SOW/2 weeks) instead of just tracking velocity</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Stakeholder Engagement Index (SEI)</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Change Agent: stakeholder sentiment mapping</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Formula (40% attendance + 30% response + 30% decision) not explicitly reproduced</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Scope Stability Score (SSS)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Legal Agent: change control + Governance Agent</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Formula not reproduced but function covered by change control governance</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Evidence Quality Rating</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Evidence Ledger + QA Agent</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Covered. Evidence Ledger is more rigorous than SIPE baseline.</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Stage Gate Pass Rate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FORGE gate criteria (Sec 3.3)</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Covered</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Innovation Coefficient</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Not explicitly referenced</w:t>
            </w:r>
          </w:p>
        </w:tc>
        <w:tc>
          <w:tcPr>
            <w:tcW w:type="dxa" w:w="15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GAP</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tracked novel solutions vs. total solutions. FORGE does not measure innovation rate.</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Churn Risk Score (CRS)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Risk Agent: churn prediction + threat detection</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formula (30% ambiguity + 25% alignment + 25% feasibility + 20% resources) absorbed into Risk Agent ML model</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Client Satisfaction Score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Client Success Agent: NPS tracking</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Covered</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Time-to-Value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Implied via NIN phase time caps</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measured days to measurable outcome. FORGE tracks phase duration but not value realization date explicitly.</w:t>
            </w:r>
          </w:p>
        </w:tc>
      </w:tr>
      <w:tr>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ROI Realization Rate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Financial Agent: engagement P&amp;L</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Financial Agent tracks Sentrais margin/revenue. Does not track client ROI realization.</w:t>
            </w:r>
          </w:p>
        </w:tc>
      </w:tr>
    </w:tbl>
    <w:p>
      <w:pPr>
        <w:spacing w:before="200"/>
      </w:pPr>
    </w:p>
    <w:p>
      <w:pPr>
        <w:pStyle w:val="Heading2"/>
        <w:spacing w:before="300" w:after="150"/>
      </w:pPr>
      <w:r>
        <w:rPr>
          <w:rFonts w:ascii="Arial" w:cs="Arial" w:eastAsia="Arial" w:hAnsi="Arial"/>
          <w:b/>
          <w:bCs/>
          <w:color w:val="1A5276"/>
          <w:sz w:val="26"/>
          <w:szCs w:val="26"/>
        </w:rPr>
        <w:t xml:space="preserve">4.2 Stage Gate Evolution</w:t>
      </w:r>
    </w:p>
    <w:p>
      <w:pPr>
        <w:spacing w:after="120" w:line="276"/>
      </w:pPr>
      <w:r>
        <w:rPr>
          <w:rFonts w:ascii="Arial" w:cs="Arial" w:eastAsia="Arial" w:hAnsi="Arial"/>
          <w:color w:val="1C2833"/>
          <w:sz w:val="20"/>
          <w:szCs w:val="20"/>
        </w:rPr>
        <w:t xml:space="preserve">SIPE v1.0 used a 6-phase NIN model (Discovery, Blueprinting, Co-Design, Pilot, Operationalization, Measurement). FORGE v3.0 uses a 5-phase model (Discover, Diagnose, Design, Deploy, Debrief). The phase reduction is intentional — FORGE compresses SIPE Phases 1-2 into Discover/Diagnose and SIPE Phases 5-6 into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60"/>
        <w:gridCol w:w="3400"/>
      </w:tblGrid>
      <w:tr>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Phase</w:t>
            </w:r>
          </w:p>
        </w:tc>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FORGE Phase</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Mapping Notes</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P1: Discovery &amp; Framing</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1: Discover</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Direct mapping. Stakeholder map, friction documentation, scope boundaries.</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P2: Blueprinting (CRITICAL CHURN ZONE)</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2: Diagnose</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3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flagged this as 60% churn zone. FORGE adds Blueprint360 scoring and 80% Resilience Gate as hard stop. Stronger governance.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P3: Co-Design &amp; Innovation</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3: Design</w:t>
            </w:r>
          </w:p>
        </w:tc>
        <w:tc>
          <w:tcPr>
            <w:tcW w:type="dxa" w:w="1560"/>
            <w:tcBorders>
              <w:top w:val="single" w:color="D5DBE1" w:sz="1"/>
              <w:left w:val="single" w:color="D5DBE1" w:sz="1"/>
              <w:bottom w:val="single" w:color="D5DBE1" w:sz="1"/>
              <w:right w:val="single" w:color="D5DBE1" w:sz="1"/>
            </w:tcBorders>
            <w:shd w:fill="EBF5FB"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ENHANCED</w:t>
            </w:r>
          </w:p>
        </w:tc>
        <w:tc>
          <w:tcPr>
            <w:tcW w:type="dxa" w:w="3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FORGE adds SOW finalization, Go/No-Go gate, and 80% RESILIENCE GATE as mandatory checkpoint before platform activation.</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P4: Pilot &amp; Testing</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4: Deploy</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EVOLVED</w:t>
            </w:r>
          </w:p>
        </w:tc>
        <w:tc>
          <w:tcPr>
            <w:tcW w:type="dxa" w:w="3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FORGE merges Pilot + Operationalization into Deploy. Continuous resilience monitoring during deployment replaces separate pilot gate.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P5: Operationalization</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4: Deploy (absorbed)</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EVOLVED</w:t>
            </w:r>
          </w:p>
        </w:tc>
        <w:tc>
          <w:tcPr>
            <w:tcW w:type="dxa" w:w="3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Merged into Deploy. Integration validation, acceptance criteria handled by QA Agent + Delivery Agent.</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P6: Measurement &amp; Iteration</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Phase 5: Debrief</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ABSORBED</w:t>
            </w:r>
          </w:p>
        </w:tc>
        <w:tc>
          <w:tcPr>
            <w:tcW w:type="dxa" w:w="3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Evidence Ledger finalized, lessons captured, transition to managed services. Learning Agent handles iteration.</w:t>
            </w:r>
          </w:p>
        </w:tc>
      </w:tr>
    </w:tbl>
    <w:p>
      <w:r>
        <w:br w:type="page"/>
      </w:r>
    </w:p>
    <w:p>
      <w:pPr>
        <w:pStyle w:val="Heading1"/>
        <w:spacing w:before="400" w:after="200"/>
      </w:pPr>
      <w:r>
        <w:rPr>
          <w:rFonts w:ascii="Arial" w:cs="Arial" w:eastAsia="Arial" w:hAnsi="Arial"/>
          <w:b/>
          <w:bCs/>
          <w:color w:val="0A1628"/>
          <w:sz w:val="32"/>
          <w:szCs w:val="32"/>
        </w:rPr>
        <w:t xml:space="preserve">5. Identified Gaps Requiring Action</w:t>
      </w:r>
    </w:p>
    <w:p>
      <w:pPr>
        <w:spacing w:after="120" w:line="276"/>
      </w:pPr>
      <w:r>
        <w:rPr>
          <w:rFonts w:ascii="Arial" w:cs="Arial" w:eastAsia="Arial" w:hAnsi="Arial"/>
          <w:color w:val="1C2833"/>
          <w:sz w:val="20"/>
          <w:szCs w:val="20"/>
        </w:rPr>
        <w:t xml:space="preserve">The following items from SIPE v1.0 are not fully accounted for in FORGE v3.0 and require explicit remediation. These are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1560"/>
        <w:gridCol w:w="1200"/>
        <w:gridCol w:w="1800"/>
      </w:tblGrid>
      <w:tr>
        <w:tc>
          <w:tcPr>
            <w:tcW w:type="dxa" w:w="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SIPE Capability</w:t>
            </w:r>
          </w:p>
        </w:tc>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Gap Description</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1</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API Specifications (Appendix C: 8 REST endpoints)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defined explicit API endpoints for project creation, KPI retrieval, stage gate evaluation, playbook retrieval, evidence entry, churn risk, discrepancy flagging, and recommendations. FORGE does not define an API specification.</w:t>
            </w:r>
          </w:p>
        </w:tc>
        <w:tc>
          <w:tcPr>
            <w:tcW w:type="dxa" w:w="15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GAP</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MEDIUM</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Create FORGE API Specification document (Appendix to Sec 12). Agents consume internal APIs — document them.</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2</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KPI Calculation Formulas (Appendix B)</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provided explicit formulas for SEI, SSS, and CRS with weighted components. FORGE references KPI tracking through agents but does not reproduce the formulas.</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LOW</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Embed formulas in Risk Agent and Assessment Agent configuration. Document in FORGE KPI Reference Appendix.</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3</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72-Playbook Zone x Model x Phase Matrix</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defined 72 unique playbooks (4 Zones x 3 Models x 6 Phases). FORGE restructured to 15 discipline playbooks. The Zone x Model x Phase taxonomy is referenced but the 72-playbook development sequence is not carried forward.</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EVOLVED</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LOW</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This is intentional simplification. 15 playbooks are parametric — they adapt to engagement type. Document the mapping explicitly.</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4</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Innovation Coefficient KPI</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tracked novel solutions implemented vs. total solutions delivered. FORGE does not measure innovation rate or track solution novelty.</w:t>
            </w:r>
          </w:p>
        </w:tc>
        <w:tc>
          <w:tcPr>
            <w:tcW w:type="dxa" w:w="15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GAP</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LOW</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 to Quality Agent scope. Track innovation coefficient as a secondary KPI in engagement health dashboards.</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5</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Client ROI Realization Rate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measured actual client benefits vs. projected benefits. FORGE Financial Agent tracks Sentrais margin but not client-side ROI realization.</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tcPr>
          <w:p>
            <w:pPr>
              <w:jc w:val="center"/>
            </w:pPr>
            <w:r>
              <w:rPr>
                <w:rFonts w:ascii="Arial" w:cs="Arial" w:eastAsia="Arial" w:hAnsi="Arial"/>
                <w:b/>
                <w:bCs/>
                <w:color w:val="D4AC0D"/>
                <w:sz w:val="18"/>
                <w:szCs w:val="18"/>
              </w:rPr>
              <w:t xml:space="preserve">PARTIAL</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LOW</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 client ROI tracking to Client Success Agent scope. Measure during Debrief phase and ongoing managed services.</w:t>
            </w:r>
          </w:p>
        </w:tc>
      </w:tr>
    </w:tbl>
    <w:p>
      <w:pPr>
        <w:spacing w:before="200"/>
      </w:pPr>
    </w:p>
    <w:p>
      <w:pPr>
        <w:pStyle w:val="Heading1"/>
        <w:spacing w:before="400" w:after="200"/>
      </w:pPr>
      <w:r>
        <w:rPr>
          <w:rFonts w:ascii="Arial" w:cs="Arial" w:eastAsia="Arial" w:hAnsi="Arial"/>
          <w:b/>
          <w:bCs/>
          <w:color w:val="0A1628"/>
          <w:sz w:val="32"/>
          <w:szCs w:val="32"/>
        </w:rPr>
        <w:t xml:space="preserve">6. New Capabilities in FORGE Not Present in SIPE</w:t>
      </w:r>
    </w:p>
    <w:p>
      <w:pPr>
        <w:spacing w:after="120" w:line="276"/>
      </w:pPr>
      <w:r>
        <w:rPr>
          <w:rFonts w:ascii="Arial" w:cs="Arial" w:eastAsia="Arial" w:hAnsi="Arial"/>
          <w:color w:val="1C2833"/>
          <w:sz w:val="20"/>
          <w:szCs w:val="20"/>
        </w:rPr>
        <w:t xml:space="preserve">FORGE v3.0 is not just a rename of SIPE. It adds substantial new capabilities that did not exist in the original architecture. These additions transform FORGE from an internal delivery engine into a complete enterprise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60"/>
        <w:gridCol w:w="1820"/>
      </w:tblGrid>
      <w:tr>
        <w:tc>
          <w:tcPr>
            <w:tcW w:type="dxa" w:w="2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New Capability</w:t>
            </w:r>
          </w:p>
        </w:tc>
        <w:tc>
          <w:tcPr>
            <w:tcW w:type="dxa" w:w="33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FORGE Section</w:t>
            </w:r>
          </w:p>
        </w:tc>
        <w:tc>
          <w:tcPr>
            <w:tcW w:type="dxa" w:w="182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Business Value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80% Resilience Gate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Non-negotiable gate requiring 80% operational resilience across 5 Blueprint360 dimensions before platform activation</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4</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Client protection + Sentrais risk management + commercial leverage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22 AI Agent Architecture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Three-tier authority model with autonomous, advisory, and analysis agents across every FORGE function</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6</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Replaces monolithic SIPE engine with specialized, scalable agents</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Design Agent (Deloitte-Grade)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Production system for executive reports, scorecards, presentations, infographics at strategy firm quality</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7</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Competitive weapon. Justifies premium pricing.</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Embedded Advisory Services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Fractional CTO, CIO, CISO roles activated based on Blueprint360 maturity gaps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8</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Additional revenue stream + deeper client engagement</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Competitive Intelligence Module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Continuous monitoring of McKinsey, BCG, Deloitte, ServiceNow, SAP positioning and pricing</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14</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Strategic pricing + proposal positioning intelligence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Sentrais Frame Mapping</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Four-zone governance model (Resilient Reach, Foundation, NOVATELabs.ai, Sentrais) with clear entity responsibilities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3.2</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Corporate governance clarity + IP protection boundary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Client Microsite Architecture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Per-engagement client dashboard portal with real-time Evidence Ledger integration</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v3.0-R1 Supplement</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Brand authority + client stickiness + Evidence Ledger transparency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Style Guide Engine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Configurable brand rendering pipeline with organization defaults, client overrides, and deliverable rules</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10</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Consistent Sentrais brand across all outputs</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Gate Override Protocol</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CEO-authorized process to advance past 80% gate with documented risk acceptance and enhanced monitoring</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4.3</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Business flexibility without abandoning governance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GCP Technical Architecture</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Complete cloud architecture specification with BigQuery, Vertex AI, Cloud Run, Claude API, Gemini API integration</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Section 12</w:t>
            </w:r>
          </w:p>
        </w:tc>
        <w:tc>
          <w:tcPr>
            <w:tcW w:type="dxa" w:w="182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SIPE was platform-agnostic. FORGE is GCP-native.</w:t>
            </w:r>
          </w:p>
        </w:tc>
      </w:tr>
    </w:tbl>
    <w:p>
      <w:r>
        <w:br w:type="page"/>
      </w:r>
    </w:p>
    <w:p>
      <w:pPr>
        <w:pStyle w:val="Heading1"/>
        <w:spacing w:before="400" w:after="200"/>
      </w:pPr>
      <w:r>
        <w:rPr>
          <w:rFonts w:ascii="Arial" w:cs="Arial" w:eastAsia="Arial" w:hAnsi="Arial"/>
          <w:b/>
          <w:bCs/>
          <w:color w:val="0A1628"/>
          <w:sz w:val="32"/>
          <w:szCs w:val="32"/>
        </w:rPr>
        <w:t xml:space="preserve">7. Verdict &amp; Recommendations</w:t>
      </w:r>
    </w:p>
    <w:p>
      <w:pPr>
        <w:pStyle w:val="Heading2"/>
        <w:spacing w:before="300" w:after="150"/>
      </w:pPr>
      <w:r>
        <w:rPr>
          <w:rFonts w:ascii="Arial" w:cs="Arial" w:eastAsia="Arial" w:hAnsi="Arial"/>
          <w:b/>
          <w:bCs/>
          <w:color w:val="1A5276"/>
          <w:sz w:val="26"/>
          <w:szCs w:val="26"/>
        </w:rPr>
        <w:t xml:space="preserve">7.1 Overall Assessment</w:t>
      </w:r>
    </w:p>
    <w:p>
      <w:pPr>
        <w:spacing w:after="120" w:line="276"/>
      </w:pPr>
      <w:r>
        <w:rPr>
          <w:rFonts w:ascii="Arial" w:cs="Arial" w:eastAsia="Arial" w:hAnsi="Arial"/>
          <w:color w:val="1C2833"/>
          <w:sz w:val="20"/>
          <w:szCs w:val="20"/>
        </w:rPr>
        <w:t xml:space="preserve">FORGE v3.0 successfully absorbs the complete SIPE v1.0 architecture. The five identified gaps are minor — none represent missing core functionality. They are documentation gaps (API specs, KPI formulas) and intentional simplifications (72-playbook matrix compressed to 15 parametric playbooks) rather than lost capabilities.</w:t>
      </w:r>
    </w:p>
    <w:p>
      <w:pPr>
        <w:spacing w:after="120" w:line="276"/>
      </w:pPr>
      <w:r>
        <w:rPr>
          <w:rFonts w:ascii="Arial" w:cs="Arial" w:eastAsia="Arial" w:hAnsi="Arial"/>
          <w:color w:val="1C2833"/>
          <w:sz w:val="20"/>
          <w:szCs w:val="20"/>
        </w:rPr>
        <w:t xml:space="preserve">The transformation from SIPE to FORGE represents a category upgrade: SIPE was a delivery optimization engine. FORGE is an enterprise operating system. The addition of the 80% Resilience Gate, 22-agent architecture, Design Agent, competitive intelligence, and Sentrais Frame governance creates a system that SIPE was not designed to be.</w:t>
      </w:r>
    </w:p>
    <w:p>
      <w:pPr>
        <w:pStyle w:val="Heading2"/>
        <w:spacing w:before="300" w:after="150"/>
      </w:pPr>
      <w:r>
        <w:rPr>
          <w:rFonts w:ascii="Arial" w:cs="Arial" w:eastAsia="Arial" w:hAnsi="Arial"/>
          <w:b/>
          <w:bCs/>
          <w:color w:val="1A5276"/>
          <w:sz w:val="26"/>
          <w:szCs w:val="26"/>
        </w:rPr>
        <w:t xml:space="preserve">7.2 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1560"/>
        <w:gridCol w:w="2000"/>
      </w:tblGrid>
      <w:tr>
        <w:tc>
          <w:tcPr>
            <w:tcW w:type="dxa" w:w="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Target Date</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1</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Create FORGE API Specification appendix documenting all agent-to-agent and external API endpoints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CTO (Ryan Harrelson)</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HIGH</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Mar 1, 2026</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2</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Document KPI calculation formulas as FORGE KPI Reference appendix (carry forward SIPE Appendix B)</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PMO Director</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D4AC0D"/>
                <w:sz w:val="18"/>
                <w:szCs w:val="18"/>
              </w:rPr>
              <w:t xml:space="preserve">MEDIUM</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Mar 10, 2026</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3</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Create Zone x Model x Phase → Playbook mapping table showing how 15 FORGE playbooks serve the 72-matrix use cases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PMO Director</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D4AC0D"/>
                <w:sz w:val="18"/>
                <w:szCs w:val="18"/>
              </w:rPr>
              <w:t xml:space="preserve">MEDIUM</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Mar 10, 2026</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4</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 Innovation Coefficient to Quality Agent scope and engagement health dashboards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CTO (Ryan Harrelson)</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Mar 15, 2026</w:t>
            </w:r>
          </w:p>
        </w:tc>
      </w:tr>
      <w:tr>
        <w:tc>
          <w:tcPr>
            <w:tcW w:type="dxa" w:w="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5</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Add Client ROI Realization tracking to Client Success Agent and Debrief phase evidence collection</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PMO Director</w:t>
            </w:r>
          </w:p>
        </w:tc>
        <w:tc>
          <w:tcPr>
            <w:tcW w:type="dxa" w:w="1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Mar 15, 2026</w:t>
            </w:r>
          </w:p>
        </w:tc>
      </w:tr>
    </w:tbl>
    <w:p>
      <w:pPr>
        <w:spacing w:before="400"/>
      </w:pPr>
    </w:p>
    <w:p>
      <w:pPr>
        <w:pBdr>
          <w:bottom w:val="single" w:color="D5DBE1" w:sz="2"/>
        </w:pBdr>
        <w:spacing w:before="200" w:after="200"/>
      </w:pPr>
    </w:p>
    <w:p>
      <w:pPr>
        <w:jc w:val="center"/>
      </w:pPr>
      <w:r>
        <w:rPr>
          <w:rFonts w:ascii="Arial" w:cs="Arial" w:eastAsia="Arial" w:hAnsi="Arial"/>
          <w:b/>
          <w:bCs/>
          <w:color w:val="0A1628"/>
          <w:sz w:val="28"/>
          <w:szCs w:val="28"/>
        </w:rPr>
        <w:t xml:space="preserve">SENTRAIS</w:t>
      </w:r>
    </w:p>
    <w:p>
      <w:pPr>
        <w:spacing w:before="80"/>
        <w:jc w:val="center"/>
      </w:pPr>
      <w:r>
        <w:rPr>
          <w:rFonts w:ascii="Arial" w:cs="Arial" w:eastAsia="Arial" w:hAnsi="Arial"/>
          <w:i/>
          <w:iCs/>
          <w:color w:val="1A5276"/>
          <w:sz w:val="18"/>
          <w:szCs w:val="18"/>
        </w:rPr>
        <w:t xml:space="preserve">Antifragile. Sole-Source. Inevitable.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C2833"/>
        <w:sz w:val="14"/>
        <w:szCs w:val="14"/>
      </w:rPr>
      <w:t xml:space="preserve">RESTRICTED  |  Page </w:t>
    </w:r>
    <w:r>
      <w:rPr>
        <w:rFonts w:ascii="Arial" w:cs="Arial" w:eastAsia="Arial" w:hAnsi="Arial"/>
        <w:color w:val="1C28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1628"/>
        <w:sz w:val="16"/>
        <w:szCs w:val="16"/>
      </w:rPr>
      <w:t xml:space="preserve">SENTRAIS</w:t>
    </w:r>
    <w:r>
      <w:rPr>
        <w:rFonts w:ascii="Arial" w:cs="Arial" w:eastAsia="Arial" w:hAnsi="Arial"/>
        <w:color w:val="1A5276"/>
        <w:sz w:val="16"/>
        <w:szCs w:val="16"/>
      </w:rPr>
      <w:t xml:space="preserve">  |  SIPE → FORGE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2026-02-09T00:58:44.209Z</dcterms:created>
  <dcterms:modified xsi:type="dcterms:W3CDTF">2026-02-09T00:58:44.210Z</dcterms:modified>
</cp:coreProperties>
</file>

<file path=docProps/custom.xml><?xml version="1.0" encoding="utf-8"?>
<Properties xmlns="http://schemas.openxmlformats.org/officeDocument/2006/custom-properties" xmlns:vt="http://schemas.openxmlformats.org/officeDocument/2006/docPropsVTypes"/>
</file>