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jc w:val="left"/>
      </w:pPr>
      <w:r>
        <w:rPr>
          <w:rFonts w:ascii="Arial" w:cs="Arial" w:eastAsia="Arial" w:hAnsi="Arial"/>
          <w:b/>
          <w:bCs/>
          <w:color w:val="94A3B8"/>
          <w:spacing w:val="200"/>
          <w:sz w:val="20"/>
          <w:szCs w:val="20"/>
        </w:rPr>
        <w:t xml:space="preserve">SENTRAIS</w:t>
      </w:r>
    </w:p>
    <w:p>
      <w:pPr>
        <w:spacing w:after="200"/>
        <w:jc w:val="left"/>
      </w:pPr>
      <w:r>
        <w:rPr>
          <w:rFonts w:ascii="Arial" w:cs="Arial" w:eastAsia="Arial" w:hAnsi="Arial"/>
          <w:b/>
          <w:bCs/>
          <w:color w:val="00D4AA"/>
          <w:spacing w:val="100"/>
          <w:sz w:val="20"/>
          <w:szCs w:val="20"/>
        </w:rPr>
        <w:t xml:space="preserve">CORE OS + BLUEPRINT360</w:t>
      </w:r>
    </w:p>
    <w:p>
      <w:pPr>
        <w:pBdr>
          <w:bottom w:val="single" w:color="2E75B6" w:sz="6" w:space="8"/>
        </w:pBdr>
        <w:spacing w:after="120"/>
        <w:jc w:val="left"/>
      </w:pPr>
      <w:r>
        <w:rPr>
          <w:rFonts w:ascii="Arial" w:cs="Arial" w:eastAsia="Arial" w:hAnsi="Arial"/>
          <w:b/>
          <w:bCs/>
          <w:color w:val="0F1A2E"/>
          <w:sz w:val="52"/>
          <w:szCs w:val="52"/>
        </w:rPr>
        <w:t xml:space="preserve">Ingestion Pipeline</w:t>
      </w:r>
    </w:p>
    <w:p>
      <w:pPr>
        <w:spacing w:after="40"/>
        <w:jc w:val="left"/>
      </w:pPr>
      <w:r>
        <w:rPr>
          <w:rFonts w:ascii="Arial" w:cs="Arial" w:eastAsia="Arial" w:hAnsi="Arial"/>
          <w:color w:val="2E75B6"/>
          <w:sz w:val="36"/>
          <w:szCs w:val="36"/>
        </w:rPr>
        <w:t xml:space="preserve">Technical Requirements Document</w:t>
      </w:r>
    </w:p>
    <w:p>
      <w:pPr>
        <w:spacing w:after="80"/>
      </w:pPr>
    </w:p>
    <w:p>
      <w:pPr>
        <w:spacing w:after="60"/>
      </w:pPr>
      <w:r>
        <w:rPr>
          <w:rFonts w:ascii="Arial" w:cs="Arial" w:eastAsia="Arial" w:hAnsi="Arial"/>
          <w:color w:val="64748B"/>
          <w:sz w:val="20"/>
          <w:szCs w:val="20"/>
        </w:rPr>
        <w:t xml:space="preserve">API Data Models  |  5-Stage Processing Logic  |  Source Registry UX  |  Validation Framework</w:t>
      </w:r>
    </w:p>
    <w:p>
      <w:pPr>
        <w:spacing w:after="80"/>
      </w:pPr>
    </w:p>
    <w:p>
      <w:pPr>
        <w:spacing w:after="80"/>
      </w:pPr>
    </w:p>
    <w:p>
      <w:pPr>
        <w:spacing w:after="80"/>
      </w:pPr>
    </w:p>
    <w:p>
      <w:pPr>
        <w:spacing w:after="80"/>
      </w:pPr>
    </w:p>
    <w:p>
      <w:pPr>
        <w:spacing w:after="80"/>
      </w:pPr>
    </w:p>
    <w:p>
      <w:pPr>
        <w:spacing w:after="80"/>
      </w:pPr>
    </w:p>
    <w:p>
      <w:pPr>
        <w:spacing w:after="80"/>
      </w:pPr>
    </w:p>
    <w:p>
      <w:pPr>
        <w:spacing w:after="60"/>
      </w:pPr>
      <w:r>
        <w:rPr>
          <w:rFonts w:ascii="Arial" w:cs="Arial" w:eastAsia="Arial" w:hAnsi="Arial"/>
          <w:color w:val="94A3B8"/>
          <w:sz w:val="18"/>
          <w:szCs w:val="18"/>
        </w:rPr>
        <w:t xml:space="preserve">Classification: Confidential | Internal | Engineering</w:t>
      </w:r>
    </w:p>
    <w:p>
      <w:pPr>
        <w:spacing w:after="60"/>
      </w:pPr>
      <w:r>
        <w:rPr>
          <w:rFonts w:ascii="Arial" w:cs="Arial" w:eastAsia="Arial" w:hAnsi="Arial"/>
          <w:color w:val="94A3B8"/>
          <w:sz w:val="18"/>
          <w:szCs w:val="18"/>
        </w:rPr>
        <w:t xml:space="preserve">Version: 1.0 | March 2026</w:t>
      </w:r>
    </w:p>
    <w:p>
      <w:pPr>
        <w:spacing w:after="60"/>
      </w:pPr>
      <w:r>
        <w:rPr>
          <w:rFonts w:ascii="Arial" w:cs="Arial" w:eastAsia="Arial" w:hAnsi="Arial"/>
          <w:i/>
          <w:iCs/>
          <w:color w:val="94A3B8"/>
          <w:sz w:val="18"/>
          <w:szCs w:val="18"/>
        </w:rPr>
        <w:t xml:space="preserve">Powered by Sentrais Intelligence OS</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F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Overview</w:t>
      </w:r>
    </w:p>
    <w:p>
      <w:pPr>
        <w:spacing w:after="160"/>
      </w:pPr>
      <w:r>
        <w:rPr>
          <w:rFonts w:ascii="Arial" w:cs="Arial" w:eastAsia="Arial" w:hAnsi="Arial"/>
          <w:color w:val="1A202C"/>
          <w:sz w:val="22"/>
          <w:szCs w:val="22"/>
        </w:rPr>
        <w:t xml:space="preserve">This document is the comprehensive technical requirements specification for the Sentrais Blueprint360 Ingestion Pipeline. It defines the complete data model, API contracts, 5-stage processing logic, source registry upload forms and validation UX for all 9 source categories, and the data quality scoring framework that gates downstream processing.</w:t>
      </w:r>
    </w:p>
    <w:p>
      <w:pPr>
        <w:spacing w:after="160"/>
      </w:pPr>
      <w:r>
        <w:rPr>
          <w:rFonts w:ascii="Arial" w:cs="Arial" w:eastAsia="Arial" w:hAnsi="Arial"/>
          <w:color w:val="1A202C"/>
          <w:sz w:val="22"/>
          <w:szCs w:val="22"/>
        </w:rPr>
        <w:t xml:space="preserve">The Ingestion Pipeline is the entry point for all organizational data flowing into the Sentrais Core OS. It normalizes, validates, classifies, and stages data for downstream consumption by the Blueprint Engine, Maturity Scoring Engine, Risk &amp; Gap Analysis Engine, and Evidence Ledger.</w:t>
      </w:r>
    </w:p>
    <w:p>
      <w:pPr>
        <w:spacing w:after="160"/>
      </w:pPr>
      <w:r>
        <w:rPr>
          <w:rFonts w:ascii="Arial" w:cs="Arial" w:eastAsia="Arial" w:hAnsi="Arial"/>
          <w:color w:val="1A202C"/>
          <w:sz w:val="22"/>
          <w:szCs w:val="22"/>
        </w:rPr>
        <w:t xml:space="preserve">This specification serves as the authoritative reference for engineering implementation, QA validation, and design handoff. All requirements trace directly to the Blueprint360 Technical Build Spec v1.0 (Section 3) and UI/UX Design Specification v1.0 (Screen 2: Ingestion Pipeline, Section 8).</w:t>
      </w:r>
    </w:p>
    <w:p>
      <w:pPr>
        <w:pStyle w:val="Heading2"/>
      </w:pPr>
      <w:r>
        <w:t xml:space="preserve">1.1 Scope</w:t>
      </w:r>
    </w:p>
    <w:p>
      <w:pPr>
        <w:spacing w:after="160"/>
      </w:pPr>
      <w:r>
        <w:rPr>
          <w:rFonts w:ascii="Arial" w:cs="Arial" w:eastAsia="Arial" w:hAnsi="Arial"/>
          <w:color w:val="1A202C"/>
          <w:sz w:val="22"/>
          <w:szCs w:val="22"/>
        </w:rPr>
        <w:t xml:space="preserve">This document covers four interconnected domains:</w:t>
      </w:r>
    </w:p>
    <w:p>
      <w:pPr>
        <w:pStyle w:val="ListParagraph"/>
        <w:numPr>
          <w:ilvl w:val="0"/>
          <w:numId w:val="2"/>
        </w:numPr>
        <w:spacing w:after="80"/>
      </w:pPr>
      <w:r>
        <w:rPr>
          <w:rFonts w:ascii="Arial" w:cs="Arial" w:eastAsia="Arial" w:hAnsi="Arial"/>
          <w:b/>
          <w:bCs/>
          <w:sz w:val="22"/>
          <w:szCs w:val="22"/>
        </w:rPr>
        <w:t xml:space="preserve">API Layer &amp; Data Models: </w:t>
      </w:r>
      <w:r>
        <w:rPr>
          <w:rFonts w:ascii="Arial" w:cs="Arial" w:eastAsia="Arial" w:hAnsi="Arial"/>
          <w:sz w:val="22"/>
          <w:szCs w:val="22"/>
        </w:rPr>
        <w:t xml:space="preserve">RESTful endpoint contracts for /api/v1/ingest, request/response schemas, authentication, error handling, and rate limiting.</w:t>
      </w:r>
    </w:p>
    <w:p>
      <w:pPr>
        <w:pStyle w:val="ListParagraph"/>
        <w:numPr>
          <w:ilvl w:val="0"/>
          <w:numId w:val="2"/>
        </w:numPr>
        <w:spacing w:after="80"/>
      </w:pPr>
      <w:r>
        <w:rPr>
          <w:rFonts w:ascii="Arial" w:cs="Arial" w:eastAsia="Arial" w:hAnsi="Arial"/>
          <w:b/>
          <w:bCs/>
          <w:sz w:val="22"/>
          <w:szCs w:val="22"/>
        </w:rPr>
        <w:t xml:space="preserve">5-Stage Processing Logic: </w:t>
      </w:r>
      <w:r>
        <w:rPr>
          <w:rFonts w:ascii="Arial" w:cs="Arial" w:eastAsia="Arial" w:hAnsi="Arial"/>
          <w:sz w:val="22"/>
          <w:szCs w:val="22"/>
        </w:rPr>
        <w:t xml:space="preserve">Detailed processing rules for Intake &amp; Upload, Validation &amp; Normalization, Classification &amp; Tagging, Enrichment &amp; Linking, and Staging &amp; Commit.</w:t>
      </w:r>
    </w:p>
    <w:p>
      <w:pPr>
        <w:pStyle w:val="ListParagraph"/>
        <w:numPr>
          <w:ilvl w:val="0"/>
          <w:numId w:val="2"/>
        </w:numPr>
        <w:spacing w:after="80"/>
      </w:pPr>
      <w:r>
        <w:rPr>
          <w:rFonts w:ascii="Arial" w:cs="Arial" w:eastAsia="Arial" w:hAnsi="Arial"/>
          <w:b/>
          <w:bCs/>
          <w:sz w:val="22"/>
          <w:szCs w:val="22"/>
        </w:rPr>
        <w:t xml:space="preserve">Source Registry Upload Forms &amp; Validation UX: </w:t>
      </w:r>
      <w:r>
        <w:rPr>
          <w:rFonts w:ascii="Arial" w:cs="Arial" w:eastAsia="Arial" w:hAnsi="Arial"/>
          <w:sz w:val="22"/>
          <w:szCs w:val="22"/>
        </w:rPr>
        <w:t xml:space="preserve">Form specifications, field definitions, validation rules, and interaction patterns for all 9 source categories.</w:t>
      </w:r>
    </w:p>
    <w:p>
      <w:pPr>
        <w:pStyle w:val="ListParagraph"/>
        <w:numPr>
          <w:ilvl w:val="0"/>
          <w:numId w:val="2"/>
        </w:numPr>
        <w:spacing w:after="80"/>
      </w:pPr>
      <w:r>
        <w:rPr>
          <w:rFonts w:ascii="Arial" w:cs="Arial" w:eastAsia="Arial" w:hAnsi="Arial"/>
          <w:b/>
          <w:bCs/>
          <w:sz w:val="22"/>
          <w:szCs w:val="22"/>
        </w:rPr>
        <w:t xml:space="preserve">Data Completeness Scoring: </w:t>
      </w:r>
      <w:r>
        <w:rPr>
          <w:rFonts w:ascii="Arial" w:cs="Arial" w:eastAsia="Arial" w:hAnsi="Arial"/>
          <w:sz w:val="22"/>
          <w:szCs w:val="22"/>
        </w:rPr>
        <w:t xml:space="preserve">Scoring algorithm, threshold logic, and gating rules that determine downstream processing eligibility.</w:t>
      </w:r>
    </w:p>
    <w:p>
      <w:pPr>
        <w:pStyle w:val="Heading2"/>
      </w:pPr>
      <w:r>
        <w:t xml:space="preserve">1.2 System Context</w:t>
      </w:r>
    </w:p>
    <w:p>
      <w:pPr>
        <w:spacing w:after="160"/>
      </w:pPr>
      <w:r>
        <w:rPr>
          <w:rFonts w:ascii="Arial" w:cs="Arial" w:eastAsia="Arial" w:hAnsi="Arial"/>
          <w:color w:val="1A202C"/>
          <w:sz w:val="22"/>
          <w:szCs w:val="22"/>
        </w:rPr>
        <w:t xml:space="preserve">The Ingestion Pipeline sits within Layer 4.1 (Ingestion Layer) of the Sentrais Six-Layer Intelligence Model. It feeds data to Layer 4.2 (Blueprint &amp; Entity Layer), Layer 4.3 (Intelligence Layer), and Layer 4.4 (Evidence Layer). All operations are governed by Layer 4.6 (Security &amp; Governance Layer).</w:t>
      </w:r>
    </w:p>
    <w:p>
      <w:r>
        <w:br w:type="page"/>
      </w:r>
    </w:p>
    <w:p>
      <w:pPr>
        <w:pStyle w:val="Heading1"/>
      </w:pPr>
      <w:r>
        <w:t xml:space="preserve">2. API Layer &amp; Data Models</w:t>
      </w:r>
    </w:p>
    <w:p>
      <w:pPr>
        <w:spacing w:after="160"/>
      </w:pPr>
      <w:r>
        <w:rPr>
          <w:rFonts w:ascii="Arial" w:cs="Arial" w:eastAsia="Arial" w:hAnsi="Arial"/>
          <w:color w:val="1A202C"/>
          <w:sz w:val="22"/>
          <w:szCs w:val="22"/>
        </w:rPr>
        <w:t xml:space="preserve">All ingestion operations are exposed through the /api/v1/ingest endpoint group. The API follows RESTful conventions with JSON request/response bodies, OAuth 2.0 + API key authentication, and standard HTTP status codes.</w:t>
      </w:r>
    </w:p>
    <w:p>
      <w:pPr>
        <w:pStyle w:val="Heading2"/>
      </w:pPr>
      <w:r>
        <w:t xml:space="preserve">2.1 Authentication &amp; Authorization</w:t>
      </w:r>
    </w:p>
    <w:p>
      <w:pPr>
        <w:spacing w:after="160"/>
      </w:pPr>
      <w:r>
        <w:rPr>
          <w:rFonts w:ascii="Arial" w:cs="Arial" w:eastAsia="Arial" w:hAnsi="Arial"/>
          <w:color w:val="1A202C"/>
          <w:sz w:val="22"/>
          <w:szCs w:val="22"/>
        </w:rPr>
        <w:t xml:space="preserve">Every request to the ingestion API requires dual authentication: an OAuth 2.0 bearer token (scoped to the engagement) and an API key (scoped to the integration class). Write operations (POST, DELETE) additionally require the caller to hold the INGEST_WRITE role within the engagement RBAC context. Read operations (GET) require INGEST_READ.</w:t>
      </w:r>
    </w:p>
    <w:p>
      <w:pPr>
        <w:pStyle w:val="Heading2"/>
      </w:pPr>
      <w:r>
        <w:t xml:space="preserve">2.2 Endpoint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4760"/>
      </w:tblGrid>
      <w:tr>
        <w:tc>
          <w:tcPr>
            <w:tcW w:type="dxa" w:w="14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Method</w:t>
            </w:r>
          </w:p>
        </w:tc>
        <w:tc>
          <w:tcPr>
            <w:tcW w:type="dxa" w:w="18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Path</w:t>
            </w:r>
          </w:p>
        </w:tc>
        <w:tc>
          <w:tcPr>
            <w:tcW w:type="dxa" w:w="14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Auth</w:t>
            </w:r>
          </w:p>
        </w:tc>
        <w:tc>
          <w:tcPr>
            <w:tcW w:type="dxa" w:w="47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POST</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/api/v1/ingest</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OAuth + Key</w:t>
            </w:r>
          </w:p>
        </w:tc>
        <w:tc>
          <w:tcPr>
            <w:tcW w:type="dxa" w:w="4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Submit new ingestion payload. Returns ingestion ID and processing status.</w:t>
            </w:r>
          </w:p>
        </w:tc>
      </w:tr>
      <w:tr>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GET</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/api/v1/ingest/{id}</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OAuth</w:t>
            </w:r>
          </w:p>
        </w:tc>
        <w:tc>
          <w:tcPr>
            <w:tcW w:type="dxa" w:w="4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Retrieve ingestion record by ID. Returns current processing stage, validation results, and completeness score.</w:t>
            </w:r>
          </w:p>
        </w:tc>
      </w:tr>
      <w:tr>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GET</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/api/v1/ingest</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OAuth</w:t>
            </w:r>
          </w:p>
        </w:tc>
        <w:tc>
          <w:tcPr>
            <w:tcW w:type="dxa" w:w="4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List all ingestion records for the engagement. Supports pagination, filtering by source category, stage, and status.</w:t>
            </w:r>
          </w:p>
        </w:tc>
      </w:tr>
      <w:tr>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DELETE</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/api/v1/ingest/{id}</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OAuth + Key</w:t>
            </w:r>
          </w:p>
        </w:tc>
        <w:tc>
          <w:tcPr>
            <w:tcW w:type="dxa" w:w="4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Retract an ingestion record. Only permitted before Staging &amp; Commit stage. Generates audit event.</w:t>
            </w:r>
          </w:p>
        </w:tc>
      </w:tr>
      <w:tr>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GET</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/api/v1/ingest/completeness</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OAuth</w:t>
            </w:r>
          </w:p>
        </w:tc>
        <w:tc>
          <w:tcPr>
            <w:tcW w:type="dxa" w:w="4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Return Data Completeness Scores across all 5 maturity dimensions for the engagement.</w:t>
            </w:r>
          </w:p>
        </w:tc>
      </w:tr>
      <w:tr>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POST</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/api/v1/ingest/validate</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OAuth + Key</w:t>
            </w:r>
          </w:p>
        </w:tc>
        <w:tc>
          <w:tcPr>
            <w:tcW w:type="dxa" w:w="4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Dry-run validation without committing. Returns validation results and projected completeness impact.</w:t>
            </w:r>
          </w:p>
        </w:tc>
      </w:tr>
    </w:tbl>
    <w:p>
      <w:pPr>
        <w:spacing w:after="80"/>
      </w:pPr>
    </w:p>
    <w:p>
      <w:pPr>
        <w:pStyle w:val="Heading2"/>
      </w:pPr>
      <w:r>
        <w:t xml:space="preserve">2.3 Core Data Model: Ingestion Record</w:t>
      </w:r>
    </w:p>
    <w:p>
      <w:pPr>
        <w:spacing w:after="160"/>
      </w:pPr>
      <w:r>
        <w:rPr>
          <w:rFonts w:ascii="Arial" w:cs="Arial" w:eastAsia="Arial" w:hAnsi="Arial"/>
          <w:color w:val="1A202C"/>
          <w:sz w:val="22"/>
          <w:szCs w:val="22"/>
        </w:rPr>
        <w:t xml:space="preserve">Every submission to the ingestion pipeline creates an Ingestion Record. This is the canonical data object that flows through all 5 processing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5160"/>
      </w:tblGrid>
      <w:tr>
        <w:tc>
          <w:tcPr>
            <w:tcW w:type="dxa" w:w="2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2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w:t>
            </w:r>
          </w:p>
        </w:tc>
        <w:tc>
          <w:tcPr>
            <w:tcW w:type="dxa" w:w="51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ingestion_id</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UUID</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Auto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System-generated unique identifier. Format: ING-{UUID-v4}.</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engagement_id</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UUID</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Reference to the parent Blueprint360 engagement.</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source_category</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One of 9 categories: STAKEHOLDER_DATA, SYSTEM_INVENTORY, PROCESS_WORKFLOW, POLICY_SOP, OPERATIONAL_CALENDAR, OPERATIONAL_TRIGGER, INTERVIEW_EVIDENCE, INNOVATION_READINESS, CONSTRAINT_GATE.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ingestion_method</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STRUCTURED_FORM, FILE_UPLOAD, API_CONNECTOR, EXTERNAL_FEED.</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submitted_by</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UUID</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Auto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User ID from Sentrais Role &amp; Identity Framework.</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submitted_at</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ISO 8601</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Auto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Timestamp of initial submission.</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current_stage</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Auto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INTAKE, VALIDATION, CLASSIFICATION, ENRICHMENT, STAGING, COMMITTED, RETRACTED, FAILED.</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stage_history</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Array</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Auto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Ordered array of stage transition events with timestamps and actor IDs.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validation_results</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Object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Auto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Validation outcome: { passed: boolean, errors: [], warnings: [], field_results: {} }.</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classification_tags</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Array</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Auto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Maturity dimension tags assigned during Classification stage.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entity_links</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Array</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Auto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Entity Registry references established during Enrichment stage.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evidence_ledger_ref</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UUID</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Auto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Reference to the Evidence Ledger artifact created at Staging &amp; Commit.</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payload</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Object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Source-category-specific data payload. Schema varies by source_category (see Section 4).</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attachments</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Array</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File references for uploaded documents. Each: { file_id, filename, mime_type, size_bytes, checksum_sha256 }.</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Courier New" w:cs="Courier New" w:eastAsia="Courier New" w:hAnsi="Courier New"/>
                <w:color w:val="1A202C"/>
                <w:sz w:val="18"/>
                <w:szCs w:val="18"/>
              </w:rPr>
              <w:t xml:space="preserve">metadata</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Object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Auto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Processing metadata: { processing_time_ms, retry_count, source_ip, session_id }.</w:t>
            </w:r>
          </w:p>
        </w:tc>
      </w:tr>
    </w:tbl>
    <w:p>
      <w:pPr>
        <w:spacing w:after="80"/>
      </w:pPr>
    </w:p>
    <w:p>
      <w:pPr>
        <w:pStyle w:val="Heading2"/>
      </w:pPr>
      <w:r>
        <w:t xml:space="preserve">2.4 Response Envelope</w:t>
      </w:r>
    </w:p>
    <w:p>
      <w:pPr>
        <w:spacing w:after="160"/>
      </w:pPr>
      <w:r>
        <w:rPr>
          <w:rFonts w:ascii="Arial" w:cs="Arial" w:eastAsia="Arial" w:hAnsi="Arial"/>
          <w:color w:val="1A202C"/>
          <w:sz w:val="22"/>
          <w:szCs w:val="22"/>
        </w:rPr>
        <w:t xml:space="preserve">All API responses use a standard envelope format:</w:t>
      </w:r>
    </w:p>
    <w:p>
      <w:pPr>
        <w:spacing w:after="160"/>
      </w:pPr>
      <w:r>
        <w:rPr>
          <w:rFonts w:ascii="Arial" w:cs="Arial" w:eastAsia="Arial" w:hAnsi="Arial"/>
          <w:color w:val="1A202C"/>
          <w:sz w:val="22"/>
          <w:szCs w:val="22"/>
        </w:rPr>
        <w:t xml:space="preserve">Success: { status: "success", data: { ...payload }, meta: { request_id, timestamp, processing_stage } }</w:t>
      </w:r>
    </w:p>
    <w:p>
      <w:pPr>
        <w:spacing w:after="160"/>
      </w:pPr>
      <w:r>
        <w:rPr>
          <w:rFonts w:ascii="Arial" w:cs="Arial" w:eastAsia="Arial" w:hAnsi="Arial"/>
          <w:color w:val="1A202C"/>
          <w:sz w:val="22"/>
          <w:szCs w:val="22"/>
        </w:rPr>
        <w:t xml:space="preserve">Error: { status: "error", error: { code, message, details: [], field_errors: {} }, meta: { request_id, timestamp } }</w:t>
      </w:r>
    </w:p>
    <w:p>
      <w:pPr>
        <w:pStyle w:val="Heading2"/>
      </w:pPr>
      <w:r>
        <w:t xml:space="preserve">2.5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HTTP</w:t>
            </w:r>
          </w:p>
        </w:tc>
        <w:tc>
          <w:tcPr>
            <w:tcW w:type="dxa" w:w="2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Code</w:t>
            </w:r>
          </w:p>
        </w:tc>
        <w:tc>
          <w:tcPr>
            <w:tcW w:type="dxa" w:w="61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400</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VALIDATION_FAILED</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Payload failed schema validation. field_errors contains per-field details.</w:t>
            </w:r>
          </w:p>
        </w:tc>
      </w:tr>
      <w:tr>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400</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INVALID_SOURCE_CATEGORY</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source_category not in allowed enum.</w:t>
            </w:r>
          </w:p>
        </w:tc>
      </w:tr>
      <w:tr>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400</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DUPLICATE_DETECTED</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Deduplication check found existing record with matching content hash.</w:t>
            </w:r>
          </w:p>
        </w:tc>
      </w:tr>
      <w:tr>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401</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AUTH_REQUIRED</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Missing or expired OAuth token / API key.</w:t>
            </w:r>
          </w:p>
        </w:tc>
      </w:tr>
      <w:tr>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403</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INSUFFICIENT_ROLE</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Caller lacks required INGEST_WRITE or INGEST_READ role.</w:t>
            </w:r>
          </w:p>
        </w:tc>
      </w:tr>
      <w:tr>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404</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INGESTION_NOT_FOUND</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 ingestion record matching the provided ID.</w:t>
            </w:r>
          </w:p>
        </w:tc>
      </w:tr>
      <w:tr>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409</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STAGE_CONFLICT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Attempted operation invalid for current processing stage (e.g., retract after commit).</w:t>
            </w:r>
          </w:p>
        </w:tc>
      </w:tr>
      <w:tr>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413</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PAYLOAD_TOO_LARGE</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File upload exceeds maximum size (50MB per file, 200MB per submission).</w:t>
            </w:r>
          </w:p>
        </w:tc>
      </w:tr>
      <w:tr>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422</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COMPLETENESS_BLOCKED</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Data completeness insufficient to proceed. Details include dimension scores.</w:t>
            </w:r>
          </w:p>
        </w:tc>
      </w:tr>
      <w:tr>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429</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RATE_LIMITED</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Exceeded ingestion rate limit (100 submissions/minute per engagement).</w:t>
            </w:r>
          </w:p>
        </w:tc>
      </w:tr>
      <w:tr>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500</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PROCESSING_ERROR</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Internal pipeline processing failure. Includes retry guidance.</w:t>
            </w:r>
          </w:p>
        </w:tc>
      </w:tr>
    </w:tbl>
    <w:p>
      <w:pPr>
        <w:spacing w:after="80"/>
      </w:pPr>
    </w:p>
    <w:p>
      <w:pPr>
        <w:pStyle w:val="Heading2"/>
      </w:pPr>
      <w:r>
        <w:t xml:space="preserve">2.6 Rate Limiting &amp; Quotas</w:t>
      </w:r>
    </w:p>
    <w:p>
      <w:pPr>
        <w:spacing w:after="160"/>
      </w:pPr>
      <w:r>
        <w:rPr>
          <w:rFonts w:ascii="Arial" w:cs="Arial" w:eastAsia="Arial" w:hAnsi="Arial"/>
          <w:color w:val="1A202C"/>
          <w:sz w:val="22"/>
          <w:szCs w:val="22"/>
        </w:rPr>
        <w:t xml:space="preserve">Ingestion submissions: 100 per minute per engagement. File uploads: 50MB per file, 200MB total per submission, 5GB total per engagement. Concurrent processing: maximum 20 active pipeline runs per engagement. Dry-run validation: 200 per minute per engagement (higher limit since no commit).</w:t>
      </w:r>
    </w:p>
    <w:p>
      <w:r>
        <w:br w:type="page"/>
      </w:r>
    </w:p>
    <w:p>
      <w:pPr>
        <w:pStyle w:val="Heading1"/>
      </w:pPr>
      <w:r>
        <w:t xml:space="preserve">3. Five-Stage Processing Logic</w:t>
      </w:r>
    </w:p>
    <w:p>
      <w:pPr>
        <w:spacing w:after="160"/>
      </w:pPr>
      <w:r>
        <w:rPr>
          <w:rFonts w:ascii="Arial" w:cs="Arial" w:eastAsia="Arial" w:hAnsi="Arial"/>
          <w:color w:val="1A202C"/>
          <w:sz w:val="22"/>
          <w:szCs w:val="22"/>
        </w:rPr>
        <w:t xml:space="preserve">All ingested data passes through a mandatory 5-stage processing pipeline. Each stage has defined entry conditions, processing rules, output artifacts, and failure handling. The pipeline is sequential; data cannot advance without passing the current stage gate.</w:t>
      </w:r>
    </w:p>
    <w:p>
      <w:pPr>
        <w:pStyle w:val="Heading2"/>
      </w:pPr>
      <w:r>
        <w:t xml:space="preserve">3.1 Stage 1: Intake &amp; Upload</w:t>
      </w:r>
    </w:p>
    <w:p>
      <w:pPr>
        <w:spacing w:after="160"/>
      </w:pPr>
      <w:r>
        <w:rPr>
          <w:rFonts w:ascii="Arial" w:cs="Arial" w:eastAsia="Arial" w:hAnsi="Arial"/>
          <w:color w:val="1A202C"/>
          <w:sz w:val="22"/>
          <w:szCs w:val="22"/>
        </w:rPr>
        <w:t xml:space="preserve">The Intake stage is the entry point for all data. It handles raw data reception, assigns tracking identifiers, and prepares the submission for validation.</w:t>
      </w:r>
    </w:p>
    <w:p>
      <w:pPr>
        <w:pStyle w:val="Heading3"/>
      </w:pPr>
      <w:r>
        <w:t xml:space="preserve">3.1.1 Processing Rules</w:t>
      </w:r>
    </w:p>
    <w:p>
      <w:pPr>
        <w:pStyle w:val="ListParagraph"/>
        <w:numPr>
          <w:ilvl w:val="0"/>
          <w:numId w:val="3"/>
        </w:numPr>
        <w:spacing w:after="80"/>
      </w:pPr>
      <w:r>
        <w:rPr>
          <w:rFonts w:ascii="Arial" w:cs="Arial" w:eastAsia="Arial" w:hAnsi="Arial"/>
          <w:sz w:val="22"/>
          <w:szCs w:val="22"/>
        </w:rPr>
        <w:t xml:space="preserve">Receive payload via API endpoint, file upload widget, structured form submission, or external system connector.</w:t>
      </w:r>
    </w:p>
    <w:p>
      <w:pPr>
        <w:pStyle w:val="ListParagraph"/>
        <w:numPr>
          <w:ilvl w:val="0"/>
          <w:numId w:val="3"/>
        </w:numPr>
        <w:spacing w:after="80"/>
      </w:pPr>
      <w:r>
        <w:rPr>
          <w:rFonts w:ascii="Arial" w:cs="Arial" w:eastAsia="Arial" w:hAnsi="Arial"/>
          <w:sz w:val="22"/>
          <w:szCs w:val="22"/>
        </w:rPr>
        <w:t xml:space="preserve">Generate unique ingestion_id (ING-{UUID-v4}).</w:t>
      </w:r>
    </w:p>
    <w:p>
      <w:pPr>
        <w:pStyle w:val="ListParagraph"/>
        <w:numPr>
          <w:ilvl w:val="0"/>
          <w:numId w:val="3"/>
        </w:numPr>
        <w:spacing w:after="80"/>
      </w:pPr>
      <w:r>
        <w:rPr>
          <w:rFonts w:ascii="Arial" w:cs="Arial" w:eastAsia="Arial" w:hAnsi="Arial"/>
          <w:sz w:val="22"/>
          <w:szCs w:val="22"/>
        </w:rPr>
        <w:t xml:space="preserve">Capture submission timestamp (ISO 8601 UTC).</w:t>
      </w:r>
    </w:p>
    <w:p>
      <w:pPr>
        <w:pStyle w:val="ListParagraph"/>
        <w:numPr>
          <w:ilvl w:val="0"/>
          <w:numId w:val="3"/>
        </w:numPr>
        <w:spacing w:after="80"/>
      </w:pPr>
      <w:r>
        <w:rPr>
          <w:rFonts w:ascii="Arial" w:cs="Arial" w:eastAsia="Arial" w:hAnsi="Arial"/>
          <w:sz w:val="22"/>
          <w:szCs w:val="22"/>
        </w:rPr>
        <w:t xml:space="preserve">Tag with source_category from the submission context.</w:t>
      </w:r>
    </w:p>
    <w:p>
      <w:pPr>
        <w:pStyle w:val="ListParagraph"/>
        <w:numPr>
          <w:ilvl w:val="0"/>
          <w:numId w:val="3"/>
        </w:numPr>
        <w:spacing w:after="80"/>
      </w:pPr>
      <w:r>
        <w:rPr>
          <w:rFonts w:ascii="Arial" w:cs="Arial" w:eastAsia="Arial" w:hAnsi="Arial"/>
          <w:sz w:val="22"/>
          <w:szCs w:val="22"/>
        </w:rPr>
        <w:t xml:space="preserve">Compute SHA-256 checksum for all uploaded files.</w:t>
      </w:r>
    </w:p>
    <w:p>
      <w:pPr>
        <w:pStyle w:val="ListParagraph"/>
        <w:numPr>
          <w:ilvl w:val="0"/>
          <w:numId w:val="3"/>
        </w:numPr>
        <w:spacing w:after="80"/>
      </w:pPr>
      <w:r>
        <w:rPr>
          <w:rFonts w:ascii="Arial" w:cs="Arial" w:eastAsia="Arial" w:hAnsi="Arial"/>
          <w:sz w:val="22"/>
          <w:szCs w:val="22"/>
        </w:rPr>
        <w:t xml:space="preserve">Perform virus/malware scan on uploaded files. Quarantine and reject if positive.</w:t>
      </w:r>
    </w:p>
    <w:p>
      <w:pPr>
        <w:pStyle w:val="ListParagraph"/>
        <w:numPr>
          <w:ilvl w:val="0"/>
          <w:numId w:val="3"/>
        </w:numPr>
        <w:spacing w:after="80"/>
      </w:pPr>
      <w:r>
        <w:rPr>
          <w:rFonts w:ascii="Arial" w:cs="Arial" w:eastAsia="Arial" w:hAnsi="Arial"/>
          <w:sz w:val="22"/>
          <w:szCs w:val="22"/>
        </w:rPr>
        <w:t xml:space="preserve">Store raw payload in staging area with immutable source reference.</w:t>
      </w:r>
    </w:p>
    <w:p>
      <w:pPr>
        <w:pStyle w:val="ListParagraph"/>
        <w:numPr>
          <w:ilvl w:val="0"/>
          <w:numId w:val="3"/>
        </w:numPr>
        <w:spacing w:after="80"/>
      </w:pPr>
      <w:r>
        <w:rPr>
          <w:rFonts w:ascii="Arial" w:cs="Arial" w:eastAsia="Arial" w:hAnsi="Arial"/>
          <w:sz w:val="22"/>
          <w:szCs w:val="22"/>
        </w:rPr>
        <w:t xml:space="preserve">Generate initial audit event: INGESTION_RECEIVED.</w:t>
      </w:r>
    </w:p>
    <w:p>
      <w:pPr>
        <w:pStyle w:val="Heading3"/>
      </w:pPr>
      <w:r>
        <w:t xml:space="preserve">3.1.2 Entry Conditions</w:t>
      </w:r>
    </w:p>
    <w:p>
      <w:pPr>
        <w:spacing w:after="160"/>
      </w:pPr>
      <w:r>
        <w:rPr>
          <w:rFonts w:ascii="Arial" w:cs="Arial" w:eastAsia="Arial" w:hAnsi="Arial"/>
          <w:color w:val="1A202C"/>
          <w:sz w:val="22"/>
          <w:szCs w:val="22"/>
        </w:rPr>
        <w:t xml:space="preserve">Valid OAuth 2.0 token + API key. Caller holds INGEST_WRITE role. Engagement is in CRM Stage 4 (Contracted) or Stage 5 (In Progress). Payload size within quota limits.</w:t>
      </w:r>
    </w:p>
    <w:p>
      <w:pPr>
        <w:pStyle w:val="Heading3"/>
      </w:pPr>
      <w:r>
        <w:t xml:space="preserve">3.1.3 Stage Output</w:t>
      </w:r>
    </w:p>
    <w:p>
      <w:pPr>
        <w:spacing w:after="160"/>
      </w:pPr>
      <w:r>
        <w:rPr>
          <w:rFonts w:ascii="Arial" w:cs="Arial" w:eastAsia="Arial" w:hAnsi="Arial"/>
          <w:color w:val="1A202C"/>
          <w:sz w:val="22"/>
          <w:szCs w:val="22"/>
        </w:rPr>
        <w:t xml:space="preserve">Ingestion Record created with current_stage = INTAKE. Raw payload stored. File checksums computed. Audit event logged. Record queued for Stage 2.</w:t>
      </w:r>
    </w:p>
    <w:p>
      <w:pPr>
        <w:pStyle w:val="Heading3"/>
      </w:pPr>
      <w:r>
        <w:t xml:space="preserve">3.1.4 Failure Handling</w:t>
      </w:r>
    </w:p>
    <w:p>
      <w:pPr>
        <w:spacing w:after="160"/>
      </w:pPr>
      <w:r>
        <w:rPr>
          <w:rFonts w:ascii="Arial" w:cs="Arial" w:eastAsia="Arial" w:hAnsi="Arial"/>
          <w:color w:val="1A202C"/>
          <w:sz w:val="22"/>
          <w:szCs w:val="22"/>
        </w:rPr>
        <w:t xml:space="preserve">Malware detected: reject immediately, log SECURITY_QUARANTINE event, notify engagement lead. Quota exceeded: return 413 with current usage details. Auth failure: return 401/403, no record created.</w:t>
      </w:r>
    </w:p>
    <w:p>
      <w:pPr>
        <w:spacing w:after="80"/>
      </w:pPr>
    </w:p>
    <w:p>
      <w:pPr>
        <w:pStyle w:val="Heading2"/>
      </w:pPr>
      <w:r>
        <w:t xml:space="preserve">3.2 Stage 2: Validation &amp; Normalization</w:t>
      </w:r>
    </w:p>
    <w:p>
      <w:pPr>
        <w:spacing w:after="160"/>
      </w:pPr>
      <w:r>
        <w:rPr>
          <w:rFonts w:ascii="Arial" w:cs="Arial" w:eastAsia="Arial" w:hAnsi="Arial"/>
          <w:color w:val="1A202C"/>
          <w:sz w:val="22"/>
          <w:szCs w:val="22"/>
        </w:rPr>
        <w:t xml:space="preserve">The Validation stage enforces schema compliance, data type correctness, required field completeness, deduplication, and canonical format normalization.</w:t>
      </w:r>
    </w:p>
    <w:p>
      <w:pPr>
        <w:pStyle w:val="Heading3"/>
      </w:pPr>
      <w:r>
        <w:t xml:space="preserve">3.2.1 Processing Rules</w:t>
      </w:r>
    </w:p>
    <w:p>
      <w:pPr>
        <w:pStyle w:val="ListParagraph"/>
        <w:numPr>
          <w:ilvl w:val="0"/>
          <w:numId w:val="3"/>
        </w:numPr>
        <w:spacing w:after="80"/>
      </w:pPr>
      <w:r>
        <w:rPr>
          <w:rFonts w:ascii="Arial" w:cs="Arial" w:eastAsia="Arial" w:hAnsi="Arial"/>
          <w:sz w:val="22"/>
          <w:szCs w:val="22"/>
        </w:rPr>
        <w:t xml:space="preserve">Schema validation: validate payload against the source-category-specific JSON schema (see Section 4). Produce per-field pass/fail results.</w:t>
      </w:r>
    </w:p>
    <w:p>
      <w:pPr>
        <w:pStyle w:val="ListParagraph"/>
        <w:numPr>
          <w:ilvl w:val="0"/>
          <w:numId w:val="3"/>
        </w:numPr>
        <w:spacing w:after="80"/>
      </w:pPr>
      <w:r>
        <w:rPr>
          <w:rFonts w:ascii="Arial" w:cs="Arial" w:eastAsia="Arial" w:hAnsi="Arial"/>
          <w:sz w:val="22"/>
          <w:szCs w:val="22"/>
        </w:rPr>
        <w:t xml:space="preserve">Data type enforcement: verify all fields match expected types (string, number, date, enum, array). Type coercion is not performed; mismatches are errors.</w:t>
      </w:r>
    </w:p>
    <w:p>
      <w:pPr>
        <w:pStyle w:val="ListParagraph"/>
        <w:numPr>
          <w:ilvl w:val="0"/>
          <w:numId w:val="3"/>
        </w:numPr>
        <w:spacing w:after="80"/>
      </w:pPr>
      <w:r>
        <w:rPr>
          <w:rFonts w:ascii="Arial" w:cs="Arial" w:eastAsia="Arial" w:hAnsi="Arial"/>
          <w:sz w:val="22"/>
          <w:szCs w:val="22"/>
        </w:rPr>
        <w:t xml:space="preserve">Required field checks: all required fields must be present and non-empty. Conditional requirements enforced (e.g., escalation_path required if process has crisis_mode = true).</w:t>
      </w:r>
    </w:p>
    <w:p>
      <w:pPr>
        <w:pStyle w:val="ListParagraph"/>
        <w:numPr>
          <w:ilvl w:val="0"/>
          <w:numId w:val="3"/>
        </w:numPr>
        <w:spacing w:after="80"/>
      </w:pPr>
      <w:r>
        <w:rPr>
          <w:rFonts w:ascii="Arial" w:cs="Arial" w:eastAsia="Arial" w:hAnsi="Arial"/>
          <w:sz w:val="22"/>
          <w:szCs w:val="22"/>
        </w:rPr>
        <w:t xml:space="preserve">Deduplication: compute content hash across key fields. Check against Entity Registry for exact and fuzzy matches. Flag duplicates with match confidence score.</w:t>
      </w:r>
    </w:p>
    <w:p>
      <w:pPr>
        <w:pStyle w:val="ListParagraph"/>
        <w:numPr>
          <w:ilvl w:val="0"/>
          <w:numId w:val="3"/>
        </w:numPr>
        <w:spacing w:after="80"/>
      </w:pPr>
      <w:r>
        <w:rPr>
          <w:rFonts w:ascii="Arial" w:cs="Arial" w:eastAsia="Arial" w:hAnsi="Arial"/>
          <w:sz w:val="22"/>
          <w:szCs w:val="22"/>
        </w:rPr>
        <w:t xml:space="preserve">Normalization: dates converted to ISO 8601 UTC. Names resolved to entity IDs where matches exist. System names resolved to Entity Registry keys. Enums normalized to canonical values.</w:t>
      </w:r>
    </w:p>
    <w:p>
      <w:pPr>
        <w:pStyle w:val="ListParagraph"/>
        <w:numPr>
          <w:ilvl w:val="0"/>
          <w:numId w:val="3"/>
        </w:numPr>
        <w:spacing w:after="80"/>
      </w:pPr>
      <w:r>
        <w:rPr>
          <w:rFonts w:ascii="Arial" w:cs="Arial" w:eastAsia="Arial" w:hAnsi="Arial"/>
          <w:sz w:val="22"/>
          <w:szCs w:val="22"/>
        </w:rPr>
        <w:t xml:space="preserve">OCR extraction: for PDF/DOCX uploads (Policies &amp; SOPs category), run OCR/text extraction pipeline. Output stored as structured text alongside original file.</w:t>
      </w:r>
    </w:p>
    <w:p>
      <w:pPr>
        <w:pStyle w:val="Heading3"/>
      </w:pPr>
      <w:r>
        <w:t xml:space="preserve">3.2.2 Validation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Severity</w:t>
            </w:r>
          </w:p>
        </w:tc>
        <w:tc>
          <w:tcPr>
            <w:tcW w:type="dxa" w:w="24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Effect</w:t>
            </w:r>
          </w:p>
        </w:tc>
        <w:tc>
          <w:tcPr>
            <w:tcW w:type="dxa" w:w="53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Examples</w:t>
            </w:r>
          </w:p>
        </w:tc>
      </w:tr>
      <w:tr>
        <w:tc>
          <w:tcPr>
            <w:tcW w:type="dxa" w:w="160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vAlign w:val="center"/>
          </w:tcPr>
          <w:p>
            <w:r>
              <w:rPr>
                <w:rFonts w:ascii="Arial" w:cs="Arial" w:eastAsia="Arial" w:hAnsi="Arial"/>
                <w:color w:val="1A202C"/>
                <w:sz w:val="20"/>
                <w:szCs w:val="20"/>
              </w:rPr>
              <w:t xml:space="preserve">ERROR</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Blocks advancement</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Missing required field, invalid data type, schema violation, malware detection.</w:t>
            </w:r>
          </w:p>
        </w:tc>
      </w:tr>
      <w:tr>
        <w:tc>
          <w:tcPr>
            <w:tcW w:type="dxa" w:w="1600"/>
            <w:tcBorders>
              <w:top w:val="single" w:color="E2E8F0" w:sz="1"/>
              <w:left w:val="single" w:color="E2E8F0" w:sz="1"/>
              <w:bottom w:val="single" w:color="E2E8F0" w:sz="1"/>
              <w:right w:val="single" w:color="E2E8F0" w:sz="1"/>
            </w:tcBorders>
            <w:shd w:fill="FFF8E1" w:val="clear"/>
            <w:tcMar>
              <w:top w:type="dxa" w:w="60"/>
              <w:left w:type="dxa" w:w="100"/>
              <w:bottom w:type="dxa" w:w="60"/>
              <w:right w:type="dxa" w:w="100"/>
            </w:tcMar>
            <w:vAlign w:val="center"/>
          </w:tcPr>
          <w:p>
            <w:r>
              <w:rPr>
                <w:rFonts w:ascii="Arial" w:cs="Arial" w:eastAsia="Arial" w:hAnsi="Arial"/>
                <w:color w:val="1A202C"/>
                <w:sz w:val="20"/>
                <w:szCs w:val="20"/>
              </w:rPr>
              <w:t xml:space="preserve">WARNING</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Flags for review, does not block</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Possible duplicate detected, field near-empty (e.g., 1-char description), date in past.</w:t>
            </w:r>
          </w:p>
        </w:tc>
      </w:tr>
      <w:tr>
        <w:tc>
          <w:tcPr>
            <w:tcW w:type="dxa" w:w="1600"/>
            <w:tcBorders>
              <w:top w:val="single" w:color="E2E8F0" w:sz="1"/>
              <w:left w:val="single" w:color="E2E8F0" w:sz="1"/>
              <w:bottom w:val="single" w:color="E2E8F0" w:sz="1"/>
              <w:right w:val="single" w:color="E2E8F0" w:sz="1"/>
            </w:tcBorders>
            <w:shd w:fill="E8F2FC" w:val="clear"/>
            <w:tcMar>
              <w:top w:type="dxa" w:w="60"/>
              <w:left w:type="dxa" w:w="100"/>
              <w:bottom w:type="dxa" w:w="60"/>
              <w:right w:type="dxa" w:w="100"/>
            </w:tcMar>
            <w:vAlign w:val="center"/>
          </w:tcPr>
          <w:p>
            <w:r>
              <w:rPr>
                <w:rFonts w:ascii="Arial" w:cs="Arial" w:eastAsia="Arial" w:hAnsi="Arial"/>
                <w:color w:val="1A202C"/>
                <w:sz w:val="20"/>
                <w:szCs w:val="20"/>
              </w:rPr>
              <w:t xml:space="preserve">INFO</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Informational only</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Automatic normalization applied, entity match resolved, OCR confidence below threshold.</w:t>
            </w:r>
          </w:p>
        </w:tc>
      </w:tr>
    </w:tbl>
    <w:p>
      <w:pPr>
        <w:spacing w:after="80"/>
      </w:pPr>
    </w:p>
    <w:p>
      <w:pPr>
        <w:pStyle w:val="Heading3"/>
      </w:pPr>
      <w:r>
        <w:t xml:space="preserve">3.2.3 Stage Output</w:t>
      </w:r>
    </w:p>
    <w:p>
      <w:pPr>
        <w:spacing w:after="160"/>
      </w:pPr>
      <w:r>
        <w:rPr>
          <w:rFonts w:ascii="Arial" w:cs="Arial" w:eastAsia="Arial" w:hAnsi="Arial"/>
          <w:color w:val="1A202C"/>
          <w:sz w:val="22"/>
          <w:szCs w:val="22"/>
        </w:rPr>
        <w:t xml:space="preserve">Ingestion Record updated: current_stage = VALIDATION. validation_results populated with per-field results. Records with zero ERRORs advance to Stage 3. Records with ERRORs enter FAILED status and surface in the Validation Queue (UI).</w:t>
      </w:r>
    </w:p>
    <w:p>
      <w:pPr>
        <w:spacing w:after="80"/>
      </w:pPr>
    </w:p>
    <w:p>
      <w:pPr>
        <w:pStyle w:val="Heading2"/>
      </w:pPr>
      <w:r>
        <w:t xml:space="preserve">3.3 Stage 3: Classification &amp; Tagging</w:t>
      </w:r>
    </w:p>
    <w:p>
      <w:pPr>
        <w:spacing w:after="160"/>
      </w:pPr>
      <w:r>
        <w:rPr>
          <w:rFonts w:ascii="Arial" w:cs="Arial" w:eastAsia="Arial" w:hAnsi="Arial"/>
          <w:color w:val="1A202C"/>
          <w:sz w:val="22"/>
          <w:szCs w:val="22"/>
        </w:rPr>
        <w:t xml:space="preserve">The Classification stage assigns maturity dimension tags, performs NLP-based content analysis on unstructured documents, and identifies dependency chains.</w:t>
      </w:r>
    </w:p>
    <w:p>
      <w:pPr>
        <w:pStyle w:val="Heading3"/>
      </w:pPr>
      <w:r>
        <w:t xml:space="preserve">3.3.1 Processing Rules</w:t>
      </w:r>
    </w:p>
    <w:p>
      <w:pPr>
        <w:pStyle w:val="ListParagraph"/>
        <w:numPr>
          <w:ilvl w:val="0"/>
          <w:numId w:val="3"/>
        </w:numPr>
        <w:spacing w:after="80"/>
      </w:pPr>
      <w:r>
        <w:rPr>
          <w:rFonts w:ascii="Arial" w:cs="Arial" w:eastAsia="Arial" w:hAnsi="Arial"/>
          <w:sz w:val="22"/>
          <w:szCs w:val="22"/>
        </w:rPr>
        <w:t xml:space="preserve">Dimension mapping: assign each ingestion record to one or more of the 5 maturity dimensions based on source category and payload content. Mapping rules are deterministic for structured data, NLP-assisted for unstructured.</w:t>
      </w:r>
    </w:p>
    <w:p>
      <w:pPr>
        <w:pStyle w:val="ListParagraph"/>
        <w:numPr>
          <w:ilvl w:val="0"/>
          <w:numId w:val="3"/>
        </w:numPr>
        <w:spacing w:after="80"/>
      </w:pPr>
      <w:r>
        <w:rPr>
          <w:rFonts w:ascii="Arial" w:cs="Arial" w:eastAsia="Arial" w:hAnsi="Arial"/>
          <w:sz w:val="22"/>
          <w:szCs w:val="22"/>
        </w:rPr>
        <w:t xml:space="preserve">NLP tagging (unstructured documents): extract key phrases, entity mentions, policy references, compliance citations, and risk indicators. Tag with maturity indicators from the scoring rubric.</w:t>
      </w:r>
    </w:p>
    <w:p>
      <w:pPr>
        <w:pStyle w:val="ListParagraph"/>
        <w:numPr>
          <w:ilvl w:val="0"/>
          <w:numId w:val="3"/>
        </w:numPr>
        <w:spacing w:after="80"/>
      </w:pPr>
      <w:r>
        <w:rPr>
          <w:rFonts w:ascii="Arial" w:cs="Arial" w:eastAsia="Arial" w:hAnsi="Arial"/>
          <w:sz w:val="22"/>
          <w:szCs w:val="22"/>
        </w:rPr>
        <w:t xml:space="preserve">Dependency chain identification: detect references to other entities (stakeholders, systems, processes) mentioned in the payload. Create provisional dependency links for enrichment stage confirmation.</w:t>
      </w:r>
    </w:p>
    <w:p>
      <w:pPr>
        <w:pStyle w:val="ListParagraph"/>
        <w:numPr>
          <w:ilvl w:val="0"/>
          <w:numId w:val="3"/>
        </w:numPr>
        <w:spacing w:after="80"/>
      </w:pPr>
      <w:r>
        <w:rPr>
          <w:rFonts w:ascii="Arial" w:cs="Arial" w:eastAsia="Arial" w:hAnsi="Arial"/>
          <w:sz w:val="22"/>
          <w:szCs w:val="22"/>
        </w:rPr>
        <w:t xml:space="preserve">Confidence scoring: each classification tag receives a confidence score (0.0-1.0). Tags below 0.6 confidence are flagged for human review.</w:t>
      </w:r>
    </w:p>
    <w:p>
      <w:pPr>
        <w:pStyle w:val="Heading3"/>
      </w:pPr>
      <w:r>
        <w:t xml:space="preserve">3.3.2 Dimension Mapping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 Category</w:t>
            </w:r>
          </w:p>
        </w:tc>
        <w:tc>
          <w:tcPr>
            <w:tcW w:type="dxa" w:w="65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Primary Dimension(s)</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Stakeholder Data</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Governance &amp; Accountability, People &amp; Roles</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System Inventory</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Technology &amp; Systems</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Process &amp; Workflows</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Process &amp; Playbooks</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Policies &amp; SOPs</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Governance &amp; Accountability, Process &amp; Playbooks (secondary by content)</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Operational Calendars</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Process &amp; Playbooks, Technology &amp; Systems</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Operational Triggers</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Process &amp; Playbooks, Governance &amp; Accountability</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Interview Evidence</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All dimensions (classified by interview content via NLP)</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Innovation Readiness</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People &amp; Roles, Governance &amp; Accountability</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Constraints &amp; Gates</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Governance &amp; Accountability, Data Evidence &amp; Assurance</w:t>
            </w:r>
          </w:p>
        </w:tc>
      </w:tr>
    </w:tbl>
    <w:p>
      <w:pPr>
        <w:spacing w:after="80"/>
      </w:pPr>
    </w:p>
    <w:p>
      <w:pPr>
        <w:pStyle w:val="Heading3"/>
      </w:pPr>
      <w:r>
        <w:t xml:space="preserve">3.3.3 Stage Output</w:t>
      </w:r>
    </w:p>
    <w:p>
      <w:pPr>
        <w:spacing w:after="160"/>
      </w:pPr>
      <w:r>
        <w:rPr>
          <w:rFonts w:ascii="Arial" w:cs="Arial" w:eastAsia="Arial" w:hAnsi="Arial"/>
          <w:color w:val="1A202C"/>
          <w:sz w:val="22"/>
          <w:szCs w:val="22"/>
        </w:rPr>
        <w:t xml:space="preserve">Ingestion Record updated: current_stage = CLASSIFICATION. classification_tags populated with dimension assignments, maturity indicators, and confidence scores. Provisional dependency links stored for enrichment.</w:t>
      </w:r>
    </w:p>
    <w:p>
      <w:pPr>
        <w:spacing w:after="80"/>
      </w:pPr>
    </w:p>
    <w:p>
      <w:pPr>
        <w:pStyle w:val="Heading2"/>
      </w:pPr>
      <w:r>
        <w:t xml:space="preserve">3.4 Stage 4: Enrichment &amp; Linking</w:t>
      </w:r>
    </w:p>
    <w:p>
      <w:pPr>
        <w:spacing w:after="160"/>
      </w:pPr>
      <w:r>
        <w:rPr>
          <w:rFonts w:ascii="Arial" w:cs="Arial" w:eastAsia="Arial" w:hAnsi="Arial"/>
          <w:color w:val="1A202C"/>
          <w:sz w:val="22"/>
          <w:szCs w:val="22"/>
        </w:rPr>
        <w:t xml:space="preserve">The Enrichment stage cross-references ingested data against the Entity Registry, establishes confirmed entity relationships, populates the Dependency Graph, and detects evidence gaps.</w:t>
      </w:r>
    </w:p>
    <w:p>
      <w:pPr>
        <w:pStyle w:val="Heading3"/>
      </w:pPr>
      <w:r>
        <w:t xml:space="preserve">3.4.1 Processing Rules</w:t>
      </w:r>
    </w:p>
    <w:p>
      <w:pPr>
        <w:pStyle w:val="ListParagraph"/>
        <w:numPr>
          <w:ilvl w:val="0"/>
          <w:numId w:val="3"/>
        </w:numPr>
        <w:spacing w:after="80"/>
      </w:pPr>
      <w:r>
        <w:rPr>
          <w:rFonts w:ascii="Arial" w:cs="Arial" w:eastAsia="Arial" w:hAnsi="Arial"/>
          <w:sz w:val="22"/>
          <w:szCs w:val="22"/>
        </w:rPr>
        <w:t xml:space="preserve">Entity Resolution: match payload entities (stakeholders, systems, processes) against the Entity Registry. Use exact match on IDs, fuzzy match on names (Levenshtein distance threshold: 0.85). New entities create provisional Entity Registry entries pending confirmation.</w:t>
      </w:r>
    </w:p>
    <w:p>
      <w:pPr>
        <w:pStyle w:val="ListParagraph"/>
        <w:numPr>
          <w:ilvl w:val="0"/>
          <w:numId w:val="3"/>
        </w:numPr>
        <w:spacing w:after="80"/>
      </w:pPr>
      <w:r>
        <w:rPr>
          <w:rFonts w:ascii="Arial" w:cs="Arial" w:eastAsia="Arial" w:hAnsi="Arial"/>
          <w:sz w:val="22"/>
          <w:szCs w:val="22"/>
        </w:rPr>
        <w:t xml:space="preserve">Relationship linking: confirm provisional dependency links from Classification. Create directed edges in the Dependency Graph: stakeholder-to-system ownership, process-to-stakeholder ownership, constraint-to-gate enforcement, system-to-system integration.</w:t>
      </w:r>
    </w:p>
    <w:p>
      <w:pPr>
        <w:pStyle w:val="ListParagraph"/>
        <w:numPr>
          <w:ilvl w:val="0"/>
          <w:numId w:val="3"/>
        </w:numPr>
        <w:spacing w:after="80"/>
      </w:pPr>
      <w:r>
        <w:rPr>
          <w:rFonts w:ascii="Arial" w:cs="Arial" w:eastAsia="Arial" w:hAnsi="Arial"/>
          <w:sz w:val="22"/>
          <w:szCs w:val="22"/>
        </w:rPr>
        <w:t xml:space="preserve">Gap detection: compare ingested evidence against the expected evidence matrix for each maturity dimension. Flag dimensions where expected entity types or evidence categories are missing.</w:t>
      </w:r>
    </w:p>
    <w:p>
      <w:pPr>
        <w:pStyle w:val="ListParagraph"/>
        <w:numPr>
          <w:ilvl w:val="0"/>
          <w:numId w:val="3"/>
        </w:numPr>
        <w:spacing w:after="80"/>
      </w:pPr>
      <w:r>
        <w:rPr>
          <w:rFonts w:ascii="Arial" w:cs="Arial" w:eastAsia="Arial" w:hAnsi="Arial"/>
          <w:sz w:val="22"/>
          <w:szCs w:val="22"/>
        </w:rPr>
        <w:t xml:space="preserve">Cross-reference validation: verify that all referenced entities exist in the Registry. Flag orphan references (e.g., a process referencing a system not in the inventory).</w:t>
      </w:r>
    </w:p>
    <w:p>
      <w:pPr>
        <w:pStyle w:val="Heading3"/>
      </w:pPr>
      <w:r>
        <w:t xml:space="preserve">3.4.2 Stage Output</w:t>
      </w:r>
    </w:p>
    <w:p>
      <w:pPr>
        <w:spacing w:after="160"/>
      </w:pPr>
      <w:r>
        <w:rPr>
          <w:rFonts w:ascii="Arial" w:cs="Arial" w:eastAsia="Arial" w:hAnsi="Arial"/>
          <w:color w:val="1A202C"/>
          <w:sz w:val="22"/>
          <w:szCs w:val="22"/>
        </w:rPr>
        <w:t xml:space="preserve">Ingestion Record updated: current_stage = ENRICHMENT. entity_links populated with confirmed Entity Registry references. Dependency Graph updated with new edges. Gap detection results stored. Data Completeness Scores recalculated for affected dimensions.</w:t>
      </w:r>
    </w:p>
    <w:p>
      <w:pPr>
        <w:spacing w:after="80"/>
      </w:pPr>
    </w:p>
    <w:p>
      <w:pPr>
        <w:pStyle w:val="Heading2"/>
      </w:pPr>
      <w:r>
        <w:t xml:space="preserve">3.5 Stage 5: Staging &amp; Commit</w:t>
      </w:r>
    </w:p>
    <w:p>
      <w:pPr>
        <w:spacing w:after="160"/>
      </w:pPr>
      <w:r>
        <w:rPr>
          <w:rFonts w:ascii="Arial" w:cs="Arial" w:eastAsia="Arial" w:hAnsi="Arial"/>
          <w:color w:val="1A202C"/>
          <w:sz w:val="22"/>
          <w:szCs w:val="22"/>
        </w:rPr>
        <w:t xml:space="preserve">The final stage validates data integrity, commits to the Evidence Ledger with an immutable audit trail, triggers notification gates for data requiring approval, and makes data available to the Blueprint Engine and Scoring Engine.</w:t>
      </w:r>
    </w:p>
    <w:p>
      <w:pPr>
        <w:pStyle w:val="Heading3"/>
      </w:pPr>
      <w:r>
        <w:t xml:space="preserve">3.5.1 Processing Rules</w:t>
      </w:r>
    </w:p>
    <w:p>
      <w:pPr>
        <w:pStyle w:val="ListParagraph"/>
        <w:numPr>
          <w:ilvl w:val="0"/>
          <w:numId w:val="3"/>
        </w:numPr>
        <w:spacing w:after="80"/>
      </w:pPr>
      <w:r>
        <w:rPr>
          <w:rFonts w:ascii="Arial" w:cs="Arial" w:eastAsia="Arial" w:hAnsi="Arial"/>
          <w:sz w:val="22"/>
          <w:szCs w:val="22"/>
        </w:rPr>
        <w:t xml:space="preserve">Integrity validation: recompute content hash and verify against original. Any mutation since Intake triggers a TAMPER_DETECTED alert and processing halt.</w:t>
      </w:r>
    </w:p>
    <w:p>
      <w:pPr>
        <w:pStyle w:val="ListParagraph"/>
        <w:numPr>
          <w:ilvl w:val="0"/>
          <w:numId w:val="3"/>
        </w:numPr>
        <w:spacing w:after="80"/>
      </w:pPr>
      <w:r>
        <w:rPr>
          <w:rFonts w:ascii="Arial" w:cs="Arial" w:eastAsia="Arial" w:hAnsi="Arial"/>
          <w:sz w:val="22"/>
          <w:szCs w:val="22"/>
        </w:rPr>
        <w:t xml:space="preserve">Notification gate evaluation: check if ingested data triggers any defined notification gates (e.g., executive sponsor approval required for policy documents, partner sign-off for shared system inventory).</w:t>
      </w:r>
    </w:p>
    <w:p>
      <w:pPr>
        <w:pStyle w:val="ListParagraph"/>
        <w:numPr>
          <w:ilvl w:val="0"/>
          <w:numId w:val="3"/>
        </w:numPr>
        <w:spacing w:after="80"/>
      </w:pPr>
      <w:r>
        <w:rPr>
          <w:rFonts w:ascii="Arial" w:cs="Arial" w:eastAsia="Arial" w:hAnsi="Arial"/>
          <w:sz w:val="22"/>
          <w:szCs w:val="22"/>
        </w:rPr>
        <w:t xml:space="preserve">Evidence Ledger commit: write immutable artifact record to the Evidence Ledger. Append to cryptographic chain (previous hash + current hash). Record artifact type, dimension tags, entity links, and source traceability.</w:t>
      </w:r>
    </w:p>
    <w:p>
      <w:pPr>
        <w:pStyle w:val="ListParagraph"/>
        <w:numPr>
          <w:ilvl w:val="0"/>
          <w:numId w:val="3"/>
        </w:numPr>
        <w:spacing w:after="80"/>
      </w:pPr>
      <w:r>
        <w:rPr>
          <w:rFonts w:ascii="Arial" w:cs="Arial" w:eastAsia="Arial" w:hAnsi="Arial"/>
          <w:sz w:val="22"/>
          <w:szCs w:val="22"/>
        </w:rPr>
        <w:t xml:space="preserve">Blueprint Engine notification: signal the Blueprint Engine that new data is available for Entity Registry updates, Dependency Graph reconstruction, and Operational Blueprint assembly.</w:t>
      </w:r>
    </w:p>
    <w:p>
      <w:pPr>
        <w:pStyle w:val="ListParagraph"/>
        <w:numPr>
          <w:ilvl w:val="0"/>
          <w:numId w:val="3"/>
        </w:numPr>
        <w:spacing w:after="80"/>
      </w:pPr>
      <w:r>
        <w:rPr>
          <w:rFonts w:ascii="Arial" w:cs="Arial" w:eastAsia="Arial" w:hAnsi="Arial"/>
          <w:sz w:val="22"/>
          <w:szCs w:val="22"/>
        </w:rPr>
        <w:t xml:space="preserve">Scoring Engine notification: signal the Maturity Scoring Engine that new evidence is available. Scoring runs are not triggered automatically; they are initiated by the engagement lead or on schedule.</w:t>
      </w:r>
    </w:p>
    <w:p>
      <w:pPr>
        <w:pStyle w:val="Heading3"/>
      </w:pPr>
      <w:r>
        <w:t xml:space="preserve">3.5.2 Notification Gate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Gate Type</w:t>
            </w:r>
          </w:p>
        </w:tc>
        <w:tc>
          <w:tcPr>
            <w:tcW w:type="dxa" w:w="38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 Condition</w:t>
            </w:r>
          </w:p>
        </w:tc>
        <w:tc>
          <w:tcPr>
            <w:tcW w:type="dxa" w:w="33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Approver</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Executive Approval</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Policy document or governance artifact ingested</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Executive Sponsor</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Partner Sign-Off</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Shared system inventory or integration data</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Partner Liaison</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Security Review</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Security policy or SEAR-related evidence</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CISO / Security Lead</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Compliance Check</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Regulatory or compliance-tagged documents</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Compliance Officer</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Data Sensitivity</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PII or sensitive data detected in payload</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Engagement Lead + DPO</w:t>
            </w:r>
          </w:p>
        </w:tc>
      </w:tr>
    </w:tbl>
    <w:p>
      <w:pPr>
        <w:spacing w:after="80"/>
      </w:pPr>
    </w:p>
    <w:p>
      <w:pPr>
        <w:pStyle w:val="Heading3"/>
      </w:pPr>
      <w:r>
        <w:t xml:space="preserve">3.5.3 Stage Output</w:t>
      </w:r>
    </w:p>
    <w:p>
      <w:pPr>
        <w:spacing w:after="160"/>
      </w:pPr>
      <w:r>
        <w:rPr>
          <w:rFonts w:ascii="Arial" w:cs="Arial" w:eastAsia="Arial" w:hAnsi="Arial"/>
          <w:color w:val="1A202C"/>
          <w:sz w:val="22"/>
          <w:szCs w:val="22"/>
        </w:rPr>
        <w:t xml:space="preserve">Ingestion Record updated: current_stage = COMMITTED (if no gates pending) or STAGING (if gates pending approval). evidence_ledger_ref populated. Audit trail complete. Data available to downstream engines.</w:t>
      </w:r>
    </w:p>
    <w:p>
      <w:r>
        <w:br w:type="page"/>
      </w:r>
    </w:p>
    <w:p>
      <w:pPr>
        <w:pStyle w:val="Heading1"/>
      </w:pPr>
      <w:r>
        <w:t xml:space="preserve">4. Source Registry: Upload Forms &amp; Validation UX</w:t>
      </w:r>
    </w:p>
    <w:p>
      <w:pPr>
        <w:spacing w:after="160"/>
      </w:pPr>
      <w:r>
        <w:rPr>
          <w:rFonts w:ascii="Arial" w:cs="Arial" w:eastAsia="Arial" w:hAnsi="Arial"/>
          <w:color w:val="1A202C"/>
          <w:sz w:val="22"/>
          <w:szCs w:val="22"/>
        </w:rPr>
        <w:t xml:space="preserve">Each of the 9 source categories has a dedicated upload form with category-specific fields, validation rules, and file upload capabilities. This section defines the complete field specification, validation logic, and UX interaction patterns for each.</w:t>
      </w:r>
    </w:p>
    <w:p>
      <w:pPr>
        <w:pStyle w:val="Heading2"/>
      </w:pPr>
      <w:r>
        <w:t xml:space="preserve">4.1 Common Form Patterns</w:t>
      </w:r>
    </w:p>
    <w:p>
      <w:pPr>
        <w:spacing w:after="160"/>
      </w:pPr>
      <w:r>
        <w:rPr>
          <w:rFonts w:ascii="Arial" w:cs="Arial" w:eastAsia="Arial" w:hAnsi="Arial"/>
          <w:color w:val="1A202C"/>
          <w:sz w:val="22"/>
          <w:szCs w:val="22"/>
        </w:rPr>
        <w:t xml:space="preserve">All source category forms share these common elements:</w:t>
      </w:r>
    </w:p>
    <w:p>
      <w:pPr>
        <w:pStyle w:val="ListParagraph"/>
        <w:numPr>
          <w:ilvl w:val="0"/>
          <w:numId w:val="2"/>
        </w:numPr>
        <w:spacing w:after="80"/>
      </w:pPr>
      <w:r>
        <w:rPr>
          <w:rFonts w:ascii="Arial" w:cs="Arial" w:eastAsia="Arial" w:hAnsi="Arial"/>
          <w:sz w:val="22"/>
          <w:szCs w:val="22"/>
        </w:rPr>
        <w:t xml:space="preserve">Source category selector (pre-populated if navigating from Source Registry tab)</w:t>
      </w:r>
    </w:p>
    <w:p>
      <w:pPr>
        <w:pStyle w:val="ListParagraph"/>
        <w:numPr>
          <w:ilvl w:val="0"/>
          <w:numId w:val="2"/>
        </w:numPr>
        <w:spacing w:after="80"/>
      </w:pPr>
      <w:r>
        <w:rPr>
          <w:rFonts w:ascii="Arial" w:cs="Arial" w:eastAsia="Arial" w:hAnsi="Arial"/>
          <w:sz w:val="22"/>
          <w:szCs w:val="22"/>
        </w:rPr>
        <w:t xml:space="preserve">File upload zone: drag-and-drop area with click-to-browse fallback. Accepted types vary by category. Max 50MB per file.</w:t>
      </w:r>
    </w:p>
    <w:p>
      <w:pPr>
        <w:pStyle w:val="ListParagraph"/>
        <w:numPr>
          <w:ilvl w:val="0"/>
          <w:numId w:val="2"/>
        </w:numPr>
        <w:spacing w:after="80"/>
      </w:pPr>
      <w:r>
        <w:rPr>
          <w:rFonts w:ascii="Arial" w:cs="Arial" w:eastAsia="Arial" w:hAnsi="Arial"/>
          <w:sz w:val="22"/>
          <w:szCs w:val="22"/>
        </w:rPr>
        <w:t xml:space="preserve">Inline validation: field-level validation on blur. Form-level validation on submit. Error messages appear below field in red (body-sm, red text).</w:t>
      </w:r>
    </w:p>
    <w:p>
      <w:pPr>
        <w:pStyle w:val="ListParagraph"/>
        <w:numPr>
          <w:ilvl w:val="0"/>
          <w:numId w:val="2"/>
        </w:numPr>
        <w:spacing w:after="80"/>
      </w:pPr>
      <w:r>
        <w:rPr>
          <w:rFonts w:ascii="Arial" w:cs="Arial" w:eastAsia="Arial" w:hAnsi="Arial"/>
          <w:sz w:val="22"/>
          <w:szCs w:val="22"/>
        </w:rPr>
        <w:t xml:space="preserve">Submit action: Primary button (blue). Triggers dry-run validation, then submit on success. Loading spinner during processing.</w:t>
      </w:r>
    </w:p>
    <w:p>
      <w:pPr>
        <w:pStyle w:val="ListParagraph"/>
        <w:numPr>
          <w:ilvl w:val="0"/>
          <w:numId w:val="2"/>
        </w:numPr>
        <w:spacing w:after="80"/>
      </w:pPr>
      <w:r>
        <w:rPr>
          <w:rFonts w:ascii="Arial" w:cs="Arial" w:eastAsia="Arial" w:hAnsi="Arial"/>
          <w:sz w:val="22"/>
          <w:szCs w:val="22"/>
        </w:rPr>
        <w:t xml:space="preserve">Modal container: all forms render in a modal overlay (600px width, card background, radius-2xl, 32px padding, 8px shadow).</w:t>
      </w:r>
    </w:p>
    <w:p>
      <w:pPr>
        <w:spacing w:after="80"/>
      </w:pPr>
    </w:p>
    <w:p>
      <w:pPr>
        <w:pStyle w:val="Heading2"/>
      </w:pPr>
      <w:r>
        <w:t xml:space="preserve">4.2 Source 1: Stakeholder Data</w:t>
      </w:r>
    </w:p>
    <w:p>
      <w:pPr>
        <w:spacing w:after="160"/>
      </w:pPr>
      <w:r>
        <w:rPr>
          <w:rFonts w:ascii="Arial" w:cs="Arial" w:eastAsia="Arial" w:hAnsi="Arial"/>
          <w:color w:val="1A202C"/>
          <w:sz w:val="22"/>
          <w:szCs w:val="22"/>
        </w:rPr>
        <w:t xml:space="preserve">Captures stakeholder names, roles, influence levels, department alignment, and contact information. Ingestion method: Structured form + API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5360"/>
      </w:tblGrid>
      <w:tr>
        <w:tc>
          <w:tcPr>
            <w:tcW w:type="dxa" w:w="18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12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w:t>
            </w:r>
          </w:p>
        </w:tc>
        <w:tc>
          <w:tcPr>
            <w:tcW w:type="dxa" w:w="53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Validation Rule</w:t>
            </w:r>
          </w:p>
        </w:tc>
      </w:tr>
      <w:tr>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Full Name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Min 2 chars, max 120 chars. No numeric-only values.</w:t>
            </w:r>
          </w:p>
        </w:tc>
      </w:tr>
      <w:tr>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Role / Title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Min 2 chars, max 200 chars.</w:t>
            </w:r>
          </w:p>
        </w:tc>
      </w:tr>
      <w:tr>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Org Unit / Dept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Min 2 chars. Free text with autocomplete from existing org units in Entity Registry.</w:t>
            </w:r>
          </w:p>
        </w:tc>
      </w:tr>
      <w:tr>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Contact Email</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Email</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Valid email format (RFC 5322). Unique within engagement.</w:t>
            </w:r>
          </w:p>
        </w:tc>
      </w:tr>
      <w:tr>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Contact Phone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Phone</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E.164 format with country code. Validated against libphonenumber.</w:t>
            </w:r>
          </w:p>
        </w:tc>
      </w:tr>
      <w:tr>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Influence Score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Integer</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Range 1-5. Displayed as 5-star selector. 1=Informed, 3=Consulted, 5=Decision Maker.</w:t>
            </w:r>
          </w:p>
        </w:tc>
      </w:tr>
      <w:tr>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Executive Sponsor</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Boolean</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Toggle. Max 2 sponsors per engagement. Warn if already at limit.</w:t>
            </w:r>
          </w:p>
        </w:tc>
      </w:tr>
      <w:tr>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Reports To</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Reference</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Dropdown populated from existing stakeholders in Entity Registry. Creates hierarchy link.</w:t>
            </w:r>
          </w:p>
        </w:tc>
      </w:tr>
      <w:tr>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Notes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 Area</w:t>
            </w:r>
          </w:p>
        </w:tc>
        <w:tc>
          <w:tcPr>
            <w:tcW w:type="dxa" w:w="1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Max 2000 chars. Free text. Supports basic formatting (bold, italic).</w:t>
            </w:r>
          </w:p>
        </w:tc>
      </w:tr>
    </w:tbl>
    <w:p>
      <w:pPr>
        <w:spacing w:after="80"/>
      </w:pPr>
    </w:p>
    <w:p>
      <w:pPr>
        <w:pStyle w:val="Heading2"/>
      </w:pPr>
      <w:r>
        <w:t xml:space="preserve">4.3 Source 2: System Inventory</w:t>
      </w:r>
    </w:p>
    <w:p>
      <w:pPr>
        <w:spacing w:after="160"/>
      </w:pPr>
      <w:r>
        <w:rPr>
          <w:rFonts w:ascii="Arial" w:cs="Arial" w:eastAsia="Arial" w:hAnsi="Arial"/>
          <w:color w:val="1A202C"/>
          <w:sz w:val="22"/>
          <w:szCs w:val="22"/>
        </w:rPr>
        <w:t xml:space="preserve">Captures system names, owners, purposes, integration relationships, known friction, and criticality. Ingestion method: System Inventory Log + Integration Matrix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360"/>
      </w:tblGrid>
      <w:tr>
        <w:tc>
          <w:tcPr>
            <w:tcW w:type="dxa" w:w="2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w:t>
            </w:r>
          </w:p>
        </w:tc>
        <w:tc>
          <w:tcPr>
            <w:tcW w:type="dxa" w:w="53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Validation Rule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System Name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Min 2 chars, max 200. Unique within engagement.</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System Owner</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Reference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Stakeholder selector from Entity Registry. Must resolve to existing or new stakeholder.</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Purpose / Function</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 Area</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Min 10 chars, max 1000. Describe what the system does.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Status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Active, Deprecated, Planned, Under Review. Default: Active.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Criticality</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Critical, High, Medium, Low. Affects risk scoring weight.</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Integrations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Multi-Ref</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Multi-select from existing systems. Creates bidirectional integration edges in Dependency Graph.</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Known Friction</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 Area</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Max 2000 chars. Known issues, workarounds, technical debt.</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Integration Matrix</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File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Upload: .xlsx, .csv. Parsed for system-to-system relationships.</w:t>
            </w:r>
          </w:p>
        </w:tc>
      </w:tr>
    </w:tbl>
    <w:p>
      <w:pPr>
        <w:spacing w:after="80"/>
      </w:pPr>
    </w:p>
    <w:p>
      <w:pPr>
        <w:pStyle w:val="Heading2"/>
      </w:pPr>
      <w:r>
        <w:t xml:space="preserve">4.4 Source 3: Process &amp; Workflows</w:t>
      </w:r>
    </w:p>
    <w:p>
      <w:pPr>
        <w:spacing w:after="160"/>
      </w:pPr>
      <w:r>
        <w:rPr>
          <w:rFonts w:ascii="Arial" w:cs="Arial" w:eastAsia="Arial" w:hAnsi="Arial"/>
          <w:color w:val="1A202C"/>
          <w:sz w:val="22"/>
          <w:szCs w:val="22"/>
        </w:rPr>
        <w:t xml:space="preserve">Captures end-to-end workflows in both normal and crisis modes, including handoffs, automation levels, and escalation paths. Ingestion method: BPMN-style process map import or guided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360"/>
      </w:tblGrid>
      <w:tr>
        <w:tc>
          <w:tcPr>
            <w:tcW w:type="dxa" w:w="2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w:t>
            </w:r>
          </w:p>
        </w:tc>
        <w:tc>
          <w:tcPr>
            <w:tcW w:type="dxa" w:w="53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Validation Rule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Process Name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Min 5 chars, max 200.</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Trigger Event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What initiates this process. Min 5 chars.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Process Owner</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Reference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Stakeholder selector. Creates ownership edge.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Mode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Normal, Crisis, Both. If Both, crisis-specific fields required.</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Steps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Array</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Min 2 steps. Each: { step_number, description, owner, handoff_to, is_automated }.</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Escalation Path</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Array</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Conditional</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Required if Mode = Crisis or Both. Ordered list of escalation contacts.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Automation Level</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Fully Manual, Partially Automated, Fully Automated.</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BPMN File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File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Upload: .bpmn, .xml. Parsed for structured process extraction.</w:t>
            </w:r>
          </w:p>
        </w:tc>
      </w:tr>
    </w:tbl>
    <w:p>
      <w:pPr>
        <w:spacing w:after="80"/>
      </w:pPr>
    </w:p>
    <w:p>
      <w:pPr>
        <w:pStyle w:val="Heading2"/>
      </w:pPr>
      <w:r>
        <w:t xml:space="preserve">4.5 Source 4: Policies &amp; SOPs</w:t>
      </w:r>
    </w:p>
    <w:p>
      <w:pPr>
        <w:spacing w:after="160"/>
      </w:pPr>
      <w:r>
        <w:rPr>
          <w:rFonts w:ascii="Arial" w:cs="Arial" w:eastAsia="Arial" w:hAnsi="Arial"/>
          <w:color w:val="1A202C"/>
          <w:sz w:val="22"/>
          <w:szCs w:val="22"/>
        </w:rPr>
        <w:t xml:space="preserve">Captures security policies, operational plans, compliance documentation. Ingestion method: Document upload (PDF, DOCX) with OCR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c>
          <w:tcPr>
            <w:tcW w:type="dxa" w:w="22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w:t>
            </w:r>
          </w:p>
        </w:tc>
        <w:tc>
          <w:tcPr>
            <w:tcW w:type="dxa" w:w="51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Validation Rule</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Document Title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Min 5 chars, max 300.</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Document Type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Policy, SOP, Plan, Compliance Doc, Governance Charter, Audit Report, Other.</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Domain Classification</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Multi-Enum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One or more: Governance, People, Process, Technology, Evidence.</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Document Owner</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Reference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Stakeholder selector.</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Effective Date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Date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ISO 8601. Must not be future unless Status = Planned.</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Review Date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Date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ISO 8601. If past, flag as WARNING (overdue review).</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Status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Active, Draft, Under Review, Superseded, Planned.</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File Upload</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File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Accept: .pdf, .docx, .doc. Max 50MB. OCR extraction auto-triggered.</w:t>
            </w:r>
          </w:p>
        </w:tc>
      </w:tr>
    </w:tbl>
    <w:p>
      <w:pPr>
        <w:spacing w:after="80"/>
      </w:pPr>
    </w:p>
    <w:p>
      <w:pPr>
        <w:pStyle w:val="Heading2"/>
      </w:pPr>
      <w:r>
        <w:t xml:space="preserve">4.6 Source 5: Operational Calendars</w:t>
      </w:r>
    </w:p>
    <w:p>
      <w:pPr>
        <w:spacing w:after="160"/>
      </w:pPr>
      <w:r>
        <w:rPr>
          <w:rFonts w:ascii="Arial" w:cs="Arial" w:eastAsia="Arial" w:hAnsi="Arial"/>
          <w:color w:val="1A202C"/>
          <w:sz w:val="22"/>
          <w:szCs w:val="22"/>
        </w:rPr>
        <w:t xml:space="preserve">Captures event calendars, blackout periods, rehearsals, and go-live dates. Ingestion method: iCal/API feed + manual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360"/>
      </w:tblGrid>
      <w:tr>
        <w:tc>
          <w:tcPr>
            <w:tcW w:type="dxa" w:w="2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w:t>
            </w:r>
          </w:p>
        </w:tc>
        <w:tc>
          <w:tcPr>
            <w:tcW w:type="dxa" w:w="53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Validation Rule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Event Name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Min 3 chars, max 200.</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Event Type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Game/Match, Concert, SEAR Event, Rehearsal, Drill, Blackout, Go-Live, Certification, Other.</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Start Date/Time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DateTime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ISO 8601 with timezone. Conflict detection against existing events.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End Date/Time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DateTime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Must be after Start. Max duration: 365 days.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Dependencies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Multi-Ref</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Link to other calendar events, systems, or operational triggers.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iCal Upload</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File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Accept: .ics. Parsed for batch event import.</w:t>
            </w:r>
          </w:p>
        </w:tc>
      </w:tr>
    </w:tbl>
    <w:p>
      <w:pPr>
        <w:spacing w:after="80"/>
      </w:pPr>
    </w:p>
    <w:p>
      <w:pPr>
        <w:pStyle w:val="Heading2"/>
      </w:pPr>
      <w:r>
        <w:t xml:space="preserve">4.7 Source 6: Operational Triggers</w:t>
      </w:r>
    </w:p>
    <w:p>
      <w:pPr>
        <w:spacing w:after="160"/>
      </w:pPr>
      <w:r>
        <w:rPr>
          <w:rFonts w:ascii="Arial" w:cs="Arial" w:eastAsia="Arial" w:hAnsi="Arial"/>
          <w:color w:val="1A202C"/>
          <w:sz w:val="22"/>
          <w:szCs w:val="22"/>
        </w:rPr>
        <w:t xml:space="preserve">Captures time-bound operational milestones: season start, certification deadlines, staffing cutoffs, technology freezes. Ingestion method: Structured dependency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360"/>
      </w:tblGrid>
      <w:tr>
        <w:tc>
          <w:tcPr>
            <w:tcW w:type="dxa" w:w="2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w:t>
            </w:r>
          </w:p>
        </w:tc>
        <w:tc>
          <w:tcPr>
            <w:tcW w:type="dxa" w:w="53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Validation Rule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Trigger Name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Min 5 chars, max 200.</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Trigger Date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Date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ISO 8601. System flags if &lt; 30 days from now (urgency indicator).</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Trigger Owner</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Reference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Stakeholder selector.</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Dependency Chain</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Array</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Min 1 dependency. Each: { entity_ref, dependency_type, criticality }.</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Impact Rating</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Critical, High, Medium, Low. Feeds risk scoring.</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Contingency</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 Area</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Max 2000 chars. What happens if trigger is missed.</w:t>
            </w:r>
          </w:p>
        </w:tc>
      </w:tr>
    </w:tbl>
    <w:p>
      <w:pPr>
        <w:spacing w:after="80"/>
      </w:pPr>
    </w:p>
    <w:p>
      <w:pPr>
        <w:pStyle w:val="Heading2"/>
      </w:pPr>
      <w:r>
        <w:t xml:space="preserve">4.8 Source 7: Interview Evidence</w:t>
      </w:r>
    </w:p>
    <w:p>
      <w:pPr>
        <w:spacing w:after="160"/>
      </w:pPr>
      <w:r>
        <w:rPr>
          <w:rFonts w:ascii="Arial" w:cs="Arial" w:eastAsia="Arial" w:hAnsi="Arial"/>
          <w:color w:val="1A202C"/>
          <w:sz w:val="22"/>
          <w:szCs w:val="22"/>
        </w:rPr>
        <w:t xml:space="preserve">Captures stakeholder interview notes, observations, and audio transcripts. Ingestion method: Structured capture form + audio transcript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c>
          <w:tcPr>
            <w:tcW w:type="dxa" w:w="22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w:t>
            </w:r>
          </w:p>
        </w:tc>
        <w:tc>
          <w:tcPr>
            <w:tcW w:type="dxa" w:w="51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Validation Rule</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Interviewee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Reference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Stakeholder selector. Must exist in Entity Registry.</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Interviewer</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Reference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Engagement team member selector.</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Interview Date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Date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ISO 8601. Must not be future.</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Dimension Focus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Multi-Enum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One or more maturity dimensions covered.</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Key Findings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 Area</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Min 50 chars, max 5000. Structured notes.</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Maturity Indicators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Array</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Each: { indicator, dimension, observed_level (1-5), confidence }.</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Audio Transcript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File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Accept: .mp3, .wav, .m4a, .txt, .pdf. Max 50MB.</w:t>
            </w:r>
          </w:p>
        </w:tc>
      </w:tr>
    </w:tbl>
    <w:p>
      <w:pPr>
        <w:spacing w:after="80"/>
      </w:pPr>
    </w:p>
    <w:p>
      <w:pPr>
        <w:pStyle w:val="Heading2"/>
      </w:pPr>
      <w:r>
        <w:t xml:space="preserve">4.9 Source 8: Innovation Readiness</w:t>
      </w:r>
    </w:p>
    <w:p>
      <w:pPr>
        <w:spacing w:after="160"/>
      </w:pPr>
      <w:r>
        <w:rPr>
          <w:rFonts w:ascii="Arial" w:cs="Arial" w:eastAsia="Arial" w:hAnsi="Arial"/>
          <w:color w:val="1A202C"/>
          <w:sz w:val="22"/>
          <w:szCs w:val="22"/>
        </w:rPr>
        <w:t xml:space="preserve">Captures cultural readiness for change, past innovation efforts, and barriers. Ingestion method: Cultural Readiness Survey (Likert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c>
          <w:tcPr>
            <w:tcW w:type="dxa" w:w="22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w:t>
            </w:r>
          </w:p>
        </w:tc>
        <w:tc>
          <w:tcPr>
            <w:tcW w:type="dxa" w:w="51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Validation Rule</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Respondent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Reference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Stakeholder selector. Min 5 unique respondents per engagement.</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Role Category</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Executive, Manager, Frontline, Technical, External. Distribution validated.</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Survey Responses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Array</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Array of { question_id, response (1-5 Likert) }. All questions required.</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Open Comments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 Area</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Max 3000 chars. Free-text observations.</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Past Innovation</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 Area</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Max 2000 chars. Prior efforts, what succeeded/failed.</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Barriers Identified</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Multi-Enum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Budget, Culture, Leadership, Technical, Regulatory, Time, Other.</w:t>
            </w:r>
          </w:p>
        </w:tc>
      </w:tr>
    </w:tbl>
    <w:p>
      <w:pPr>
        <w:spacing w:after="80"/>
      </w:pPr>
    </w:p>
    <w:p>
      <w:pPr>
        <w:pStyle w:val="Heading2"/>
      </w:pPr>
      <w:r>
        <w:t xml:space="preserve">4.10 Source 9: Constraints &amp; Gates</w:t>
      </w:r>
    </w:p>
    <w:p>
      <w:pPr>
        <w:spacing w:after="160"/>
      </w:pPr>
      <w:r>
        <w:rPr>
          <w:rFonts w:ascii="Arial" w:cs="Arial" w:eastAsia="Arial" w:hAnsi="Arial"/>
          <w:color w:val="1A202C"/>
          <w:sz w:val="22"/>
          <w:szCs w:val="22"/>
        </w:rPr>
        <w:t xml:space="preserve">Captures budget, timeline, legal, and compliance guardrails, plus the gatekeeper approval chain. Ingestion method: Constraint Register + Gatekeeper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c>
          <w:tcPr>
            <w:tcW w:type="dxa" w:w="22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1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w:t>
            </w:r>
          </w:p>
        </w:tc>
        <w:tc>
          <w:tcPr>
            <w:tcW w:type="dxa" w:w="51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Validation Rule</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Constraint Name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Min 5 chars, max 200.</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Constraint Type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Enum</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Budget, SLA, Legal, Resource, Timeline, Compliance, Scope.</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Constraint Value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Text</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The limit or boundary (e.g., "$500K max", "90-day deadline", "GDPR Article 17").</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Constraint Owner</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Reference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Stakeholder selector. The person accountable.</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Approval Chain</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Array</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Yes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Ordered list of approvers. Min 1. Each: { stakeholder_ref, approval_level }.</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Affected Processes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Multi-Ref</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Processes this constraint governs. Creates constraint-to-process edges.</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Gatekeeper Matrix</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File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No</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Upload: .xlsx, .csv. Parsed for approval chain extraction.</w:t>
            </w:r>
          </w:p>
        </w:tc>
      </w:tr>
    </w:tbl>
    <w:p>
      <w:pPr>
        <w:spacing w:after="80"/>
      </w:pPr>
    </w:p>
    <w:p>
      <w:r>
        <w:br w:type="page"/>
      </w:r>
    </w:p>
    <w:p>
      <w:pPr>
        <w:pStyle w:val="Heading1"/>
      </w:pPr>
      <w:r>
        <w:t xml:space="preserve">5. Data Completeness Scoring Framework</w:t>
      </w:r>
    </w:p>
    <w:p>
      <w:pPr>
        <w:spacing w:after="160"/>
      </w:pPr>
      <w:r>
        <w:rPr>
          <w:rFonts w:ascii="Arial" w:cs="Arial" w:eastAsia="Arial" w:hAnsi="Arial"/>
          <w:color w:val="1A202C"/>
          <w:sz w:val="22"/>
          <w:szCs w:val="22"/>
        </w:rPr>
        <w:t xml:space="preserve">Before maturity assessment begins, the ingestion pipeline produces a Data Completeness Score across all five maturity dimensions. This score determines whether sufficient evidence exists to produce a defensible maturity rating. Completeness scores are recalculated on every ingestion commit.</w:t>
      </w:r>
    </w:p>
    <w:p>
      <w:pPr>
        <w:pStyle w:val="Heading2"/>
      </w:pPr>
      <w:r>
        <w:t xml:space="preserve">5.1 Scoring Algorithm</w:t>
      </w:r>
    </w:p>
    <w:p>
      <w:pPr>
        <w:spacing w:after="160"/>
      </w:pPr>
      <w:r>
        <w:rPr>
          <w:rFonts w:ascii="Arial" w:cs="Arial" w:eastAsia="Arial" w:hAnsi="Arial"/>
          <w:color w:val="1A202C"/>
          <w:sz w:val="22"/>
          <w:szCs w:val="22"/>
        </w:rPr>
        <w:t xml:space="preserve">Each maturity dimension has an expected evidence matrix defining the source categories, entity types, and minimum evidence counts required for a complete assessment. The completeness score for a dimension is calculated as:</w:t>
      </w:r>
    </w:p>
    <w:p>
      <w:pPr>
        <w:spacing w:after="160"/>
      </w:pPr>
      <w:r>
        <w:rPr>
          <w:rFonts w:ascii="Arial" w:cs="Arial" w:eastAsia="Arial" w:hAnsi="Arial"/>
          <w:color w:val="1A202C"/>
          <w:sz w:val="22"/>
          <w:szCs w:val="22"/>
        </w:rPr>
        <w:t xml:space="preserve">Dimension Completeness (%) = (Sum of weighted evidence items received / Sum of weighted evidence items expected) x 100</w:t>
      </w:r>
    </w:p>
    <w:p>
      <w:pPr>
        <w:spacing w:after="160"/>
      </w:pPr>
      <w:r>
        <w:rPr>
          <w:rFonts w:ascii="Arial" w:cs="Arial" w:eastAsia="Arial" w:hAnsi="Arial"/>
          <w:color w:val="1A202C"/>
          <w:sz w:val="22"/>
          <w:szCs w:val="22"/>
        </w:rPr>
        <w:t xml:space="preserve">Evidence items are weighted by their criticality to the dimension assessment. Core evidence (e.g., stakeholder data for People &amp; Roles) carries 2x weight compared to supplementary evidence (e.g., innovation readiness survey responses).</w:t>
      </w:r>
    </w:p>
    <w:p>
      <w:pPr>
        <w:pStyle w:val="Heading2"/>
      </w:pPr>
      <w:r>
        <w:t xml:space="preserve">5.2 Threshold Logic &amp;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14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 Range</w:t>
            </w:r>
          </w:p>
        </w:tc>
        <w:tc>
          <w:tcPr>
            <w:tcW w:type="dxa" w:w="61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System Action</w:t>
            </w:r>
          </w:p>
        </w:tc>
      </w:tr>
      <w:tr>
        <w:tc>
          <w:tcPr>
            <w:tcW w:type="dxa" w:w="180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vAlign w:val="center"/>
          </w:tcPr>
          <w:p>
            <w:r>
              <w:rPr>
                <w:rFonts w:ascii="Arial" w:cs="Arial" w:eastAsia="Arial" w:hAnsi="Arial"/>
                <w:color w:val="1A202C"/>
                <w:sz w:val="20"/>
                <w:szCs w:val="20"/>
              </w:rPr>
              <w:t xml:space="preserve">Sufficient</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80-100%</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Proceed to maturity scoring for this dimension. Full confidence. Green progress bar.</w:t>
            </w:r>
          </w:p>
        </w:tc>
      </w:tr>
      <w:tr>
        <w:tc>
          <w:tcPr>
            <w:tcW w:type="dxa" w:w="1800"/>
            <w:tcBorders>
              <w:top w:val="single" w:color="E2E8F0" w:sz="1"/>
              <w:left w:val="single" w:color="E2E8F0" w:sz="1"/>
              <w:bottom w:val="single" w:color="E2E8F0" w:sz="1"/>
              <w:right w:val="single" w:color="E2E8F0" w:sz="1"/>
            </w:tcBorders>
            <w:shd w:fill="FFF8E1" w:val="clear"/>
            <w:tcMar>
              <w:top w:type="dxa" w:w="60"/>
              <w:left w:type="dxa" w:w="100"/>
              <w:bottom w:type="dxa" w:w="60"/>
              <w:right w:type="dxa" w:w="100"/>
            </w:tcMar>
            <w:vAlign w:val="center"/>
          </w:tcPr>
          <w:p>
            <w:r>
              <w:rPr>
                <w:rFonts w:ascii="Arial" w:cs="Arial" w:eastAsia="Arial" w:hAnsi="Arial"/>
                <w:color w:val="1A202C"/>
                <w:sz w:val="20"/>
                <w:szCs w:val="20"/>
              </w:rPr>
              <w:t xml:space="preserve">Partial</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50-79%</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Flag specific gaps in Evidence Completeness gauge. Request supplemental data via notification. Score with confidence caveat (reduced weight in overall maturity). Yellow progress bar.</w:t>
            </w:r>
          </w:p>
        </w:tc>
      </w:tr>
      <w:tr>
        <w:tc>
          <w:tcPr>
            <w:tcW w:type="dxa" w:w="180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vAlign w:val="center"/>
          </w:tcPr>
          <w:p>
            <w:r>
              <w:rPr>
                <w:rFonts w:ascii="Arial" w:cs="Arial" w:eastAsia="Arial" w:hAnsi="Arial"/>
                <w:color w:val="1A202C"/>
                <w:sz w:val="20"/>
                <w:szCs w:val="20"/>
              </w:rPr>
              <w:t xml:space="preserve">Insufficient</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0-49%</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Block maturity scoring for this dimension. Escalate to engagement lead. Schedule targeted evidence collection sessions. Red progress bar. Generates COMPLETENESS_BLOCKED notification.</w:t>
            </w:r>
          </w:p>
        </w:tc>
      </w:tr>
    </w:tbl>
    <w:p>
      <w:pPr>
        <w:spacing w:after="80"/>
      </w:pPr>
    </w:p>
    <w:p>
      <w:pPr>
        <w:pStyle w:val="Heading2"/>
      </w:pPr>
      <w:r>
        <w:t xml:space="preserve">5.3 Expected Evidence Matrix</w:t>
      </w:r>
    </w:p>
    <w:p>
      <w:pPr>
        <w:spacing w:after="160"/>
      </w:pPr>
      <w:r>
        <w:rPr>
          <w:rFonts w:ascii="Arial" w:cs="Arial" w:eastAsia="Arial" w:hAnsi="Arial"/>
          <w:color w:val="1A202C"/>
          <w:sz w:val="22"/>
          <w:szCs w:val="22"/>
        </w:rPr>
        <w:t xml:space="preserve">The following table defines the minimum evidence expectations per maturity dimension. These drive the completeness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400"/>
        <w:gridCol w:w="1760"/>
      </w:tblGrid>
      <w:tr>
        <w:tc>
          <w:tcPr>
            <w:tcW w:type="dxa" w:w="24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38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 Sources</w:t>
            </w:r>
          </w:p>
        </w:tc>
        <w:tc>
          <w:tcPr>
            <w:tcW w:type="dxa" w:w="14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Min Items</w:t>
            </w:r>
          </w:p>
        </w:tc>
        <w:tc>
          <w:tcPr>
            <w:tcW w:type="dxa" w:w="17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Weight</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Governance &amp; Accountability</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Stakeholder Data, Policies &amp; SOPs, Constraints &amp; Gates, Interview Evidence</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12+</w:t>
            </w:r>
          </w:p>
        </w:tc>
        <w:tc>
          <w:tcPr>
            <w:tcW w:type="dxa" w:w="1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Core: 2x</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People &amp; Roles</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Stakeholder Data, Interview Evidence, Innovation Readiness</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10+</w:t>
            </w:r>
          </w:p>
        </w:tc>
        <w:tc>
          <w:tcPr>
            <w:tcW w:type="dxa" w:w="1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Core: 2x</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Process &amp; Playbooks</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Process &amp; Workflows, Operational Calendars, Operational Triggers, Interview Evidence</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15+</w:t>
            </w:r>
          </w:p>
        </w:tc>
        <w:tc>
          <w:tcPr>
            <w:tcW w:type="dxa" w:w="1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Core: 2x</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Technology &amp; Systems</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System Inventory, Process &amp; Workflows (system refs), Operational Triggers (tech freeze)</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8+</w:t>
            </w:r>
          </w:p>
        </w:tc>
        <w:tc>
          <w:tcPr>
            <w:tcW w:type="dxa" w:w="1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Core: 2x</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Data, Evidence &amp; Assurance</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Policies &amp; SOPs (audit), Interview Evidence (audit focus), Constraints &amp; Gates (compliance)</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8+</w:t>
            </w:r>
          </w:p>
        </w:tc>
        <w:tc>
          <w:tcPr>
            <w:tcW w:type="dxa" w:w="1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Core: 2x</w:t>
            </w:r>
          </w:p>
        </w:tc>
      </w:tr>
    </w:tbl>
    <w:p>
      <w:pPr>
        <w:spacing w:after="80"/>
      </w:pPr>
    </w:p>
    <w:p>
      <w:r>
        <w:br w:type="page"/>
      </w:r>
    </w:p>
    <w:p>
      <w:pPr>
        <w:pStyle w:val="Heading1"/>
      </w:pPr>
      <w:r>
        <w:t xml:space="preserve">6. Ingestion Pipeline Screen Specification</w:t>
      </w:r>
    </w:p>
    <w:p>
      <w:pPr>
        <w:spacing w:after="160"/>
      </w:pPr>
      <w:r>
        <w:rPr>
          <w:rFonts w:ascii="Arial" w:cs="Arial" w:eastAsia="Arial" w:hAnsi="Arial"/>
          <w:color w:val="1A202C"/>
          <w:sz w:val="22"/>
          <w:szCs w:val="22"/>
        </w:rPr>
        <w:t xml:space="preserve">This section defines the complete UI requirements for the Ingestion Pipeline screen (Screen 2 in the Blueprint360 application). It references the Design System tokens and component library from the Blueprint360 Design Specification v1.0.</w:t>
      </w:r>
    </w:p>
    <w:p>
      <w:pPr>
        <w:pStyle w:val="Heading2"/>
      </w:pPr>
      <w:r>
        <w:t xml:space="preserve">6.1 Screen Layout</w:t>
      </w:r>
    </w:p>
    <w:p>
      <w:pPr>
        <w:spacing w:after="160"/>
      </w:pPr>
      <w:r>
        <w:rPr>
          <w:rFonts w:ascii="Arial" w:cs="Arial" w:eastAsia="Arial" w:hAnsi="Arial"/>
          <w:color w:val="1A202C"/>
          <w:sz w:val="22"/>
          <w:szCs w:val="22"/>
        </w:rPr>
        <w:t xml:space="preserve">The screen follows the standard application shell (sidebar + top bar + content area) and contains 4 vertical zones:</w:t>
      </w:r>
    </w:p>
    <w:p>
      <w:pPr>
        <w:pStyle w:val="ListParagraph"/>
        <w:numPr>
          <w:ilvl w:val="0"/>
          <w:numId w:val="3"/>
        </w:numPr>
        <w:spacing w:after="80"/>
      </w:pPr>
      <w:r>
        <w:rPr>
          <w:rFonts w:ascii="Arial" w:cs="Arial" w:eastAsia="Arial" w:hAnsi="Arial"/>
          <w:sz w:val="22"/>
          <w:szCs w:val="22"/>
        </w:rPr>
        <w:t xml:space="preserve">Section Header: Title ("Ingestion Pipeline") with "New Ingestion" primary action button (blue, right-aligned).</w:t>
      </w:r>
    </w:p>
    <w:p>
      <w:pPr>
        <w:pStyle w:val="ListParagraph"/>
        <w:numPr>
          <w:ilvl w:val="0"/>
          <w:numId w:val="3"/>
        </w:numPr>
        <w:spacing w:after="80"/>
      </w:pPr>
      <w:r>
        <w:rPr>
          <w:rFonts w:ascii="Arial" w:cs="Arial" w:eastAsia="Arial" w:hAnsi="Arial"/>
          <w:sz w:val="22"/>
          <w:szCs w:val="22"/>
        </w:rPr>
        <w:t xml:space="preserve">Pipeline Status Card: Full-width card containing the 5-stage horizontal pipeline visualization.</w:t>
      </w:r>
    </w:p>
    <w:p>
      <w:pPr>
        <w:pStyle w:val="ListParagraph"/>
        <w:numPr>
          <w:ilvl w:val="0"/>
          <w:numId w:val="3"/>
        </w:numPr>
        <w:spacing w:after="80"/>
      </w:pPr>
      <w:r>
        <w:rPr>
          <w:rFonts w:ascii="Arial" w:cs="Arial" w:eastAsia="Arial" w:hAnsi="Arial"/>
          <w:sz w:val="22"/>
          <w:szCs w:val="22"/>
        </w:rPr>
        <w:t xml:space="preserve">Tab Bar: Three tabs: Source Registry | Validation Queue | Completeness Scores.</w:t>
      </w:r>
    </w:p>
    <w:p>
      <w:pPr>
        <w:pStyle w:val="ListParagraph"/>
        <w:numPr>
          <w:ilvl w:val="0"/>
          <w:numId w:val="3"/>
        </w:numPr>
        <w:spacing w:after="80"/>
      </w:pPr>
      <w:r>
        <w:rPr>
          <w:rFonts w:ascii="Arial" w:cs="Arial" w:eastAsia="Arial" w:hAnsi="Arial"/>
          <w:sz w:val="22"/>
          <w:szCs w:val="22"/>
        </w:rPr>
        <w:t xml:space="preserve">Tab Content Panel: Content varies by active tab selection.</w:t>
      </w:r>
    </w:p>
    <w:p>
      <w:pPr>
        <w:pStyle w:val="Heading2"/>
      </w:pPr>
      <w:r>
        <w:t xml:space="preserve">6.2 Pipeline Status Visualization</w:t>
      </w:r>
    </w:p>
    <w:p>
      <w:pPr>
        <w:spacing w:after="160"/>
      </w:pPr>
      <w:r>
        <w:rPr>
          <w:rFonts w:ascii="Arial" w:cs="Arial" w:eastAsia="Arial" w:hAnsi="Arial"/>
          <w:color w:val="1A202C"/>
          <w:sz w:val="22"/>
          <w:szCs w:val="22"/>
        </w:rPr>
        <w:t xml:space="preserve">Five stage boxes in a flex row, equal width, connected by chevron icons (16px, text-muted). Each stage box contains: stage number (overline token, colored by status), stage name (body weight-700), and active record count (caption, shown only if &gt; 0). Complete stages show green styling (green-8% background, 1.5px green border, white checkmark in green circle). Active stage shows blue styling (blue-8% background, 1.5px blue border, 3px blue bottom bar from 20%-80% width, stage number in blue circle). Pending stages show neutral styling (transparent background, 1.5px border color, muted text).</w:t>
      </w:r>
    </w:p>
    <w:p>
      <w:pPr>
        <w:pStyle w:val="Heading2"/>
      </w:pPr>
      <w:r>
        <w:t xml:space="preserve">6.3 Source Registry Tab</w:t>
      </w:r>
    </w:p>
    <w:p>
      <w:pPr>
        <w:spacing w:after="160"/>
      </w:pPr>
      <w:r>
        <w:rPr>
          <w:rFonts w:ascii="Arial" w:cs="Arial" w:eastAsia="Arial" w:hAnsi="Arial"/>
          <w:color w:val="1A202C"/>
          <w:sz w:val="22"/>
          <w:szCs w:val="22"/>
        </w:rPr>
        <w:t xml:space="preserve">Data table with 5 columns: Source Category (body weight-600), Items count (mono weight-600, centered), Status (badge component), Progress (inline progress bar, 5px height), and Action (small button: Upload or View). Nine rows correspond to the 9 source categories. Upload button opens the category-specific modal form (Section 4). View button expands to show ingested records for that category in a nested table.</w:t>
      </w:r>
    </w:p>
    <w:p>
      <w:pPr>
        <w:pStyle w:val="Heading2"/>
      </w:pPr>
      <w:r>
        <w:t xml:space="preserve">6.4 Validation Queue Tab</w:t>
      </w:r>
    </w:p>
    <w:p>
      <w:pPr>
        <w:spacing w:after="160"/>
      </w:pPr>
      <w:r>
        <w:rPr>
          <w:rFonts w:ascii="Arial" w:cs="Arial" w:eastAsia="Arial" w:hAnsi="Arial"/>
          <w:color w:val="1A202C"/>
          <w:sz w:val="22"/>
          <w:szCs w:val="22"/>
        </w:rPr>
        <w:t xml:space="preserve">Empty state: centered check icon (40px green), title ("All Validations Passed", 16px weight-600), and summary text (body, text-secondary). Active state: sortable data table with columns: Ingestion ID (mono 12px), Source Category, Issue Type, Severity (badge: ERROR=red, WARNING=yellow, INFO=blue), Submitted Date (mono), and Action (small button: Review or Dismiss). Each row click expands to show full validation error details and remediation guidance.</w:t>
      </w:r>
    </w:p>
    <w:p>
      <w:pPr>
        <w:pStyle w:val="Heading2"/>
      </w:pPr>
      <w:r>
        <w:t xml:space="preserve">6.5 Completeness Scores Tab</w:t>
      </w:r>
    </w:p>
    <w:p>
      <w:pPr>
        <w:spacing w:after="160"/>
      </w:pPr>
      <w:r>
        <w:rPr>
          <w:rFonts w:ascii="Arial" w:cs="Arial" w:eastAsia="Arial" w:hAnsi="Arial"/>
          <w:color w:val="1A202C"/>
          <w:sz w:val="22"/>
          <w:szCs w:val="22"/>
        </w:rPr>
        <w:t xml:space="preserve">Five Progress Bar components (one per maturity dimension), prominent height (8px), 16px gap between bars. Each bar uses the label variant: dimension name (body-sm, text-secondary, left-aligned) and percentage value (body-sm, mono weight-600, right-aligned). Color thresholds: &gt;= 80% green, 50-79% yellow, &lt; 50% red. Bar click navigates to Evidence Ledger filtered by that dimension.</w:t>
      </w:r>
    </w:p>
    <w:p>
      <w:pPr>
        <w:pStyle w:val="Heading2"/>
      </w:pPr>
      <w:r>
        <w:t xml:space="preserve">6.6 Interaction Specifications</w:t>
      </w:r>
    </w:p>
    <w:p>
      <w:pPr>
        <w:pStyle w:val="ListParagraph"/>
        <w:numPr>
          <w:ilvl w:val="0"/>
          <w:numId w:val="2"/>
        </w:numPr>
        <w:spacing w:after="80"/>
      </w:pPr>
      <w:r>
        <w:rPr>
          <w:rFonts w:ascii="Arial" w:cs="Arial" w:eastAsia="Arial" w:hAnsi="Arial"/>
          <w:sz w:val="22"/>
          <w:szCs w:val="22"/>
        </w:rPr>
        <w:t xml:space="preserve">New Ingestion button: opens modal with source category selector (dropdown or card grid) and renders the category-specific form.</w:t>
      </w:r>
    </w:p>
    <w:p>
      <w:pPr>
        <w:pStyle w:val="ListParagraph"/>
        <w:numPr>
          <w:ilvl w:val="0"/>
          <w:numId w:val="2"/>
        </w:numPr>
        <w:spacing w:after="80"/>
      </w:pPr>
      <w:r>
        <w:rPr>
          <w:rFonts w:ascii="Arial" w:cs="Arial" w:eastAsia="Arial" w:hAnsi="Arial"/>
          <w:sz w:val="22"/>
          <w:szCs w:val="22"/>
        </w:rPr>
        <w:t xml:space="preserve">Pipeline stage click: filters visible records in Source Registry to show only items at that processing stage.</w:t>
      </w:r>
    </w:p>
    <w:p>
      <w:pPr>
        <w:pStyle w:val="ListParagraph"/>
        <w:numPr>
          <w:ilvl w:val="0"/>
          <w:numId w:val="2"/>
        </w:numPr>
        <w:spacing w:after="80"/>
      </w:pPr>
      <w:r>
        <w:rPr>
          <w:rFonts w:ascii="Arial" w:cs="Arial" w:eastAsia="Arial" w:hAnsi="Arial"/>
          <w:sz w:val="22"/>
          <w:szCs w:val="22"/>
        </w:rPr>
        <w:t xml:space="preserve">Upload action (per source): opens file upload dialog. Validation rules for accepted file types displayed inline.</w:t>
      </w:r>
    </w:p>
    <w:p>
      <w:pPr>
        <w:pStyle w:val="ListParagraph"/>
        <w:numPr>
          <w:ilvl w:val="0"/>
          <w:numId w:val="2"/>
        </w:numPr>
        <w:spacing w:after="80"/>
      </w:pPr>
      <w:r>
        <w:rPr>
          <w:rFonts w:ascii="Arial" w:cs="Arial" w:eastAsia="Arial" w:hAnsi="Arial"/>
          <w:sz w:val="22"/>
          <w:szCs w:val="22"/>
        </w:rPr>
        <w:t xml:space="preserve">View action: toggles expansion of ingested records for that source category within the table row.</w:t>
      </w:r>
    </w:p>
    <w:p>
      <w:pPr>
        <w:pStyle w:val="ListParagraph"/>
        <w:numPr>
          <w:ilvl w:val="0"/>
          <w:numId w:val="2"/>
        </w:numPr>
        <w:spacing w:after="80"/>
      </w:pPr>
      <w:r>
        <w:rPr>
          <w:rFonts w:ascii="Arial" w:cs="Arial" w:eastAsia="Arial" w:hAnsi="Arial"/>
          <w:sz w:val="22"/>
          <w:szCs w:val="22"/>
        </w:rPr>
        <w:t xml:space="preserve">Real-time updates: Pipeline stage counts and completeness scores update via WebSocket on ingestion commit events.</w:t>
      </w:r>
    </w:p>
    <w:p>
      <w:pPr>
        <w:pStyle w:val="Heading2"/>
      </w:pPr>
      <w:r>
        <w:t xml:space="preserve">6.7 Role-Based Access</w:t>
      </w:r>
    </w:p>
    <w:p>
      <w:pPr>
        <w:spacing w:after="160"/>
      </w:pPr>
      <w:r>
        <w:rPr>
          <w:rFonts w:ascii="Arial" w:cs="Arial" w:eastAsia="Arial" w:hAnsi="Arial"/>
          <w:color w:val="1A202C"/>
          <w:sz w:val="22"/>
          <w:szCs w:val="22"/>
        </w:rPr>
        <w:t xml:space="preserve">Executive (CISO, COO): Screen hidden from navigation. Engagement Lead: Full read/write access. All action buttons visible. Operations: Read-only. Action buttons hidden. Source Registry table visible without Upload/View actions. Sentrais Internal: Full read/write access with additional administrative controls.</w:t>
      </w:r>
    </w:p>
    <w:p>
      <w:r>
        <w:br w:type="page"/>
      </w:r>
    </w:p>
    <w:p>
      <w:pPr>
        <w:pStyle w:val="Heading1"/>
      </w:pPr>
      <w:r>
        <w:t xml:space="preserve">7. Audit Trail &amp; Traceability Requirements</w:t>
      </w:r>
    </w:p>
    <w:p>
      <w:pPr>
        <w:spacing w:after="160"/>
      </w:pPr>
      <w:r>
        <w:rPr>
          <w:rFonts w:ascii="Arial" w:cs="Arial" w:eastAsia="Arial" w:hAnsi="Arial"/>
          <w:color w:val="1A202C"/>
          <w:sz w:val="22"/>
          <w:szCs w:val="22"/>
        </w:rPr>
        <w:t xml:space="preserve">Every action within the ingestion pipeline generates an audit event in the Evidence Ledger. These events are append-only and cryptographically chained.</w:t>
      </w:r>
    </w:p>
    <w:p>
      <w:pPr>
        <w:pStyle w:val="Heading2"/>
      </w:pPr>
      <w:r>
        <w:t xml:space="preserve">7.1 Audit 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140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5960"/>
            <w:tcBorders>
              <w:top w:val="single" w:color="E2E8F0" w:sz="1"/>
              <w:left w:val="single" w:color="E2E8F0" w:sz="1"/>
              <w:bottom w:val="single" w:color="E2E8F0" w:sz="1"/>
              <w:right w:val="single" w:color="E2E8F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event_id</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UUID</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Unique event identifier.</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timestamp</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ISO 8601</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UTC timestamp of the event.</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actor</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UUID</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User ID or system process ID.</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action_type</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Enum</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INGESTION_RECEIVED, VALIDATION_PASSED, VALIDATION_FAILED, CLASSIFIED, ENRICHED, STAGED, COMMITTED, RETRACTED, GATE_TRIGGERED, GATE_APPROVED, GATE_REJECTED.</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target_entity</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UUID</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The ingestion_id this event relates to.</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prev_state_hash</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SHA-256</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Hash of the record state before this event.</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new_state_hash</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SHA-256</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Hash of the record state after this event.</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source_ip</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String</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IP address of the requesting client.</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session_id</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UUID</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Session identifier for the actor.</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details</w:t>
            </w:r>
          </w:p>
        </w:tc>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Object</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1A202C"/>
                <w:sz w:val="20"/>
                <w:szCs w:val="20"/>
              </w:rPr>
              <w:t xml:space="preserve">Event-specific details: validation errors, classification tags, entity links, gate decisions.</w:t>
            </w:r>
          </w:p>
        </w:tc>
      </w:tr>
    </w:tbl>
    <w:p>
      <w:pPr>
        <w:spacing w:after="80"/>
      </w:pPr>
    </w:p>
    <w:p>
      <w:pPr>
        <w:pStyle w:val="Heading2"/>
      </w:pPr>
      <w:r>
        <w:t xml:space="preserve">7.2 Retention Requirements</w:t>
      </w:r>
    </w:p>
    <w:p>
      <w:pPr>
        <w:spacing w:after="160"/>
      </w:pPr>
      <w:r>
        <w:rPr>
          <w:rFonts w:ascii="Arial" w:cs="Arial" w:eastAsia="Arial" w:hAnsi="Arial"/>
          <w:color w:val="1A202C"/>
          <w:sz w:val="22"/>
          <w:szCs w:val="22"/>
        </w:rPr>
        <w:t xml:space="preserve">Ingestion validation logs are retained for engagement lifetime plus 5 years. All committed artifacts in the Evidence Ledger are retained permanently (versioned). Retracted records are soft-deleted with full audit trail preserved. The retention schedule aligns with the Evidence Ledger retention policy defined in the Technical Build Spec Section 8.1.</w:t>
      </w:r>
    </w:p>
    <w:p>
      <w:r>
        <w:br w:type="page"/>
      </w:r>
    </w:p>
    <w:p>
      <w:pPr>
        <w:pStyle w:val="Heading1"/>
      </w:pPr>
      <w:r>
        <w:t xml:space="preserve">8. Non-Functional Requirements</w:t>
      </w:r>
    </w:p>
    <w:p>
      <w:pPr>
        <w:pStyle w:val="Heading2"/>
      </w:pPr>
      <w:r>
        <w:t xml:space="preserve">8.1 Performance</w:t>
      </w:r>
    </w:p>
    <w:p>
      <w:pPr>
        <w:pStyle w:val="ListParagraph"/>
        <w:numPr>
          <w:ilvl w:val="0"/>
          <w:numId w:val="2"/>
        </w:numPr>
        <w:spacing w:after="80"/>
      </w:pPr>
      <w:r>
        <w:rPr>
          <w:rFonts w:ascii="Arial" w:cs="Arial" w:eastAsia="Arial" w:hAnsi="Arial"/>
          <w:sz w:val="22"/>
          <w:szCs w:val="22"/>
        </w:rPr>
        <w:t xml:space="preserve">Intake stage (Stage 1): &lt; 500ms for structured form submissions; &lt; 5s for file uploads up to 50MB.</w:t>
      </w:r>
    </w:p>
    <w:p>
      <w:pPr>
        <w:pStyle w:val="ListParagraph"/>
        <w:numPr>
          <w:ilvl w:val="0"/>
          <w:numId w:val="2"/>
        </w:numPr>
        <w:spacing w:after="80"/>
      </w:pPr>
      <w:r>
        <w:rPr>
          <w:rFonts w:ascii="Arial" w:cs="Arial" w:eastAsia="Arial" w:hAnsi="Arial"/>
          <w:sz w:val="22"/>
          <w:szCs w:val="22"/>
        </w:rPr>
        <w:t xml:space="preserve">Validation stage (Stage 2): &lt; 2s for structured data; &lt; 30s for OCR extraction on PDF/DOCX.</w:t>
      </w:r>
    </w:p>
    <w:p>
      <w:pPr>
        <w:pStyle w:val="ListParagraph"/>
        <w:numPr>
          <w:ilvl w:val="0"/>
          <w:numId w:val="2"/>
        </w:numPr>
        <w:spacing w:after="80"/>
      </w:pPr>
      <w:r>
        <w:rPr>
          <w:rFonts w:ascii="Arial" w:cs="Arial" w:eastAsia="Arial" w:hAnsi="Arial"/>
          <w:sz w:val="22"/>
          <w:szCs w:val="22"/>
        </w:rPr>
        <w:t xml:space="preserve">Classification stage (Stage 3): &lt; 5s for structured data; &lt; 60s for NLP-based document classification.</w:t>
      </w:r>
    </w:p>
    <w:p>
      <w:pPr>
        <w:pStyle w:val="ListParagraph"/>
        <w:numPr>
          <w:ilvl w:val="0"/>
          <w:numId w:val="2"/>
        </w:numPr>
        <w:spacing w:after="80"/>
      </w:pPr>
      <w:r>
        <w:rPr>
          <w:rFonts w:ascii="Arial" w:cs="Arial" w:eastAsia="Arial" w:hAnsi="Arial"/>
          <w:sz w:val="22"/>
          <w:szCs w:val="22"/>
        </w:rPr>
        <w:t xml:space="preserve">Enrichment stage (Stage 4): &lt; 3s for entity resolution and linking.</w:t>
      </w:r>
    </w:p>
    <w:p>
      <w:pPr>
        <w:pStyle w:val="ListParagraph"/>
        <w:numPr>
          <w:ilvl w:val="0"/>
          <w:numId w:val="2"/>
        </w:numPr>
        <w:spacing w:after="80"/>
      </w:pPr>
      <w:r>
        <w:rPr>
          <w:rFonts w:ascii="Arial" w:cs="Arial" w:eastAsia="Arial" w:hAnsi="Arial"/>
          <w:sz w:val="22"/>
          <w:szCs w:val="22"/>
        </w:rPr>
        <w:t xml:space="preserve">Staging &amp; Commit (Stage 5): &lt; 2s for ledger commit; &lt; 5s including notification gate evaluation.</w:t>
      </w:r>
    </w:p>
    <w:p>
      <w:pPr>
        <w:pStyle w:val="ListParagraph"/>
        <w:numPr>
          <w:ilvl w:val="0"/>
          <w:numId w:val="2"/>
        </w:numPr>
        <w:spacing w:after="80"/>
      </w:pPr>
      <w:r>
        <w:rPr>
          <w:rFonts w:ascii="Arial" w:cs="Arial" w:eastAsia="Arial" w:hAnsi="Arial"/>
          <w:sz w:val="22"/>
          <w:szCs w:val="22"/>
        </w:rPr>
        <w:t xml:space="preserve">End-to-end pipeline (all 5 stages, structured data): &lt; 15s total.</w:t>
      </w:r>
    </w:p>
    <w:p>
      <w:pPr>
        <w:pStyle w:val="ListParagraph"/>
        <w:numPr>
          <w:ilvl w:val="0"/>
          <w:numId w:val="2"/>
        </w:numPr>
        <w:spacing w:after="80"/>
      </w:pPr>
      <w:r>
        <w:rPr>
          <w:rFonts w:ascii="Arial" w:cs="Arial" w:eastAsia="Arial" w:hAnsi="Arial"/>
          <w:sz w:val="22"/>
          <w:szCs w:val="22"/>
        </w:rPr>
        <w:t xml:space="preserve">End-to-end pipeline (with OCR + NLP): &lt; 120s total.</w:t>
      </w:r>
    </w:p>
    <w:p>
      <w:pPr>
        <w:pStyle w:val="Heading2"/>
      </w:pPr>
      <w:r>
        <w:t xml:space="preserve">8.2 Scalability</w:t>
      </w:r>
    </w:p>
    <w:p>
      <w:pPr>
        <w:pStyle w:val="ListParagraph"/>
        <w:numPr>
          <w:ilvl w:val="0"/>
          <w:numId w:val="2"/>
        </w:numPr>
        <w:spacing w:after="80"/>
      </w:pPr>
      <w:r>
        <w:rPr>
          <w:rFonts w:ascii="Arial" w:cs="Arial" w:eastAsia="Arial" w:hAnsi="Arial"/>
          <w:sz w:val="22"/>
          <w:szCs w:val="22"/>
        </w:rPr>
        <w:t xml:space="preserve">Support 20 concurrent pipeline runs per engagement.</w:t>
      </w:r>
    </w:p>
    <w:p>
      <w:pPr>
        <w:pStyle w:val="ListParagraph"/>
        <w:numPr>
          <w:ilvl w:val="0"/>
          <w:numId w:val="2"/>
        </w:numPr>
        <w:spacing w:after="80"/>
      </w:pPr>
      <w:r>
        <w:rPr>
          <w:rFonts w:ascii="Arial" w:cs="Arial" w:eastAsia="Arial" w:hAnsi="Arial"/>
          <w:sz w:val="22"/>
          <w:szCs w:val="22"/>
        </w:rPr>
        <w:t xml:space="preserve">Support 50 concurrent engagements per deployment.</w:t>
      </w:r>
    </w:p>
    <w:p>
      <w:pPr>
        <w:pStyle w:val="ListParagraph"/>
        <w:numPr>
          <w:ilvl w:val="0"/>
          <w:numId w:val="2"/>
        </w:numPr>
        <w:spacing w:after="80"/>
      </w:pPr>
      <w:r>
        <w:rPr>
          <w:rFonts w:ascii="Arial" w:cs="Arial" w:eastAsia="Arial" w:hAnsi="Arial"/>
          <w:sz w:val="22"/>
          <w:szCs w:val="22"/>
        </w:rPr>
        <w:t xml:space="preserve">Support 10,000+ evidence artifacts per engagement.</w:t>
      </w:r>
    </w:p>
    <w:p>
      <w:pPr>
        <w:pStyle w:val="ListParagraph"/>
        <w:numPr>
          <w:ilvl w:val="0"/>
          <w:numId w:val="2"/>
        </w:numPr>
        <w:spacing w:after="80"/>
      </w:pPr>
      <w:r>
        <w:rPr>
          <w:rFonts w:ascii="Arial" w:cs="Arial" w:eastAsia="Arial" w:hAnsi="Arial"/>
          <w:sz w:val="22"/>
          <w:szCs w:val="22"/>
        </w:rPr>
        <w:t xml:space="preserve">File storage: 5GB per engagement, expandable.</w:t>
      </w:r>
    </w:p>
    <w:p>
      <w:pPr>
        <w:pStyle w:val="Heading2"/>
      </w:pPr>
      <w:r>
        <w:t xml:space="preserve">8.3 Security</w:t>
      </w:r>
    </w:p>
    <w:p>
      <w:pPr>
        <w:pStyle w:val="ListParagraph"/>
        <w:numPr>
          <w:ilvl w:val="0"/>
          <w:numId w:val="2"/>
        </w:numPr>
        <w:spacing w:after="80"/>
      </w:pPr>
      <w:r>
        <w:rPr>
          <w:rFonts w:ascii="Arial" w:cs="Arial" w:eastAsia="Arial" w:hAnsi="Arial"/>
          <w:sz w:val="22"/>
          <w:szCs w:val="22"/>
        </w:rPr>
        <w:t xml:space="preserve">All data encrypted at rest (AES-256) and in transit (TLS 1.3).</w:t>
      </w:r>
    </w:p>
    <w:p>
      <w:pPr>
        <w:pStyle w:val="ListParagraph"/>
        <w:numPr>
          <w:ilvl w:val="0"/>
          <w:numId w:val="2"/>
        </w:numPr>
        <w:spacing w:after="80"/>
      </w:pPr>
      <w:r>
        <w:rPr>
          <w:rFonts w:ascii="Arial" w:cs="Arial" w:eastAsia="Arial" w:hAnsi="Arial"/>
          <w:sz w:val="22"/>
          <w:szCs w:val="22"/>
        </w:rPr>
        <w:t xml:space="preserve">OAuth 2.0 + API key dual authentication on all write endpoints.</w:t>
      </w:r>
    </w:p>
    <w:p>
      <w:pPr>
        <w:pStyle w:val="ListParagraph"/>
        <w:numPr>
          <w:ilvl w:val="0"/>
          <w:numId w:val="2"/>
        </w:numPr>
        <w:spacing w:after="80"/>
      </w:pPr>
      <w:r>
        <w:rPr>
          <w:rFonts w:ascii="Arial" w:cs="Arial" w:eastAsia="Arial" w:hAnsi="Arial"/>
          <w:sz w:val="22"/>
          <w:szCs w:val="22"/>
        </w:rPr>
        <w:t xml:space="preserve">RBAC enforcement on all endpoints (INGEST_READ, INGEST_WRITE roles).</w:t>
      </w:r>
    </w:p>
    <w:p>
      <w:pPr>
        <w:pStyle w:val="ListParagraph"/>
        <w:numPr>
          <w:ilvl w:val="0"/>
          <w:numId w:val="2"/>
        </w:numPr>
        <w:spacing w:after="80"/>
      </w:pPr>
      <w:r>
        <w:rPr>
          <w:rFonts w:ascii="Arial" w:cs="Arial" w:eastAsia="Arial" w:hAnsi="Arial"/>
          <w:sz w:val="22"/>
          <w:szCs w:val="22"/>
        </w:rPr>
        <w:t xml:space="preserve">File upload virus/malware scanning before processing.</w:t>
      </w:r>
    </w:p>
    <w:p>
      <w:pPr>
        <w:pStyle w:val="ListParagraph"/>
        <w:numPr>
          <w:ilvl w:val="0"/>
          <w:numId w:val="2"/>
        </w:numPr>
        <w:spacing w:after="80"/>
      </w:pPr>
      <w:r>
        <w:rPr>
          <w:rFonts w:ascii="Arial" w:cs="Arial" w:eastAsia="Arial" w:hAnsi="Arial"/>
          <w:sz w:val="22"/>
          <w:szCs w:val="22"/>
        </w:rPr>
        <w:t xml:space="preserve">Immutable audit trail with cryptographic chaining.</w:t>
      </w:r>
    </w:p>
    <w:p>
      <w:pPr>
        <w:pStyle w:val="ListParagraph"/>
        <w:numPr>
          <w:ilvl w:val="0"/>
          <w:numId w:val="2"/>
        </w:numPr>
        <w:spacing w:after="80"/>
      </w:pPr>
      <w:r>
        <w:rPr>
          <w:rFonts w:ascii="Arial" w:cs="Arial" w:eastAsia="Arial" w:hAnsi="Arial"/>
          <w:sz w:val="22"/>
          <w:szCs w:val="22"/>
        </w:rPr>
        <w:t xml:space="preserve">PII detection and sensitivity flagging in ingested payloads.</w:t>
      </w:r>
    </w:p>
    <w:p>
      <w:pPr>
        <w:pStyle w:val="Heading2"/>
      </w:pPr>
      <w:r>
        <w:t xml:space="preserve">8.4 Availability &amp; Recovery</w:t>
      </w:r>
    </w:p>
    <w:p>
      <w:pPr>
        <w:pStyle w:val="ListParagraph"/>
        <w:numPr>
          <w:ilvl w:val="0"/>
          <w:numId w:val="2"/>
        </w:numPr>
        <w:spacing w:after="80"/>
      </w:pPr>
      <w:r>
        <w:rPr>
          <w:rFonts w:ascii="Arial" w:cs="Arial" w:eastAsia="Arial" w:hAnsi="Arial"/>
          <w:sz w:val="22"/>
          <w:szCs w:val="22"/>
        </w:rPr>
        <w:t xml:space="preserve">99.9% uptime SLA for ingestion API.</w:t>
      </w:r>
    </w:p>
    <w:p>
      <w:pPr>
        <w:pStyle w:val="ListParagraph"/>
        <w:numPr>
          <w:ilvl w:val="0"/>
          <w:numId w:val="2"/>
        </w:numPr>
        <w:spacing w:after="80"/>
      </w:pPr>
      <w:r>
        <w:rPr>
          <w:rFonts w:ascii="Arial" w:cs="Arial" w:eastAsia="Arial" w:hAnsi="Arial"/>
          <w:sz w:val="22"/>
          <w:szCs w:val="22"/>
        </w:rPr>
        <w:t xml:space="preserve">Automatic retry with exponential backoff on transient failures (max 3 retries).</w:t>
      </w:r>
    </w:p>
    <w:p>
      <w:pPr>
        <w:pStyle w:val="ListParagraph"/>
        <w:numPr>
          <w:ilvl w:val="0"/>
          <w:numId w:val="2"/>
        </w:numPr>
        <w:spacing w:after="80"/>
      </w:pPr>
      <w:r>
        <w:rPr>
          <w:rFonts w:ascii="Arial" w:cs="Arial" w:eastAsia="Arial" w:hAnsi="Arial"/>
          <w:sz w:val="22"/>
          <w:szCs w:val="22"/>
        </w:rPr>
        <w:t xml:space="preserve">Pipeline state is persisted at each stage boundary; processing resumes from last successful stage on recovery.</w:t>
      </w:r>
    </w:p>
    <w:p>
      <w:pPr>
        <w:pStyle w:val="ListParagraph"/>
        <w:numPr>
          <w:ilvl w:val="0"/>
          <w:numId w:val="2"/>
        </w:numPr>
        <w:spacing w:after="80"/>
      </w:pPr>
      <w:r>
        <w:rPr>
          <w:rFonts w:ascii="Arial" w:cs="Arial" w:eastAsia="Arial" w:hAnsi="Arial"/>
          <w:sz w:val="22"/>
          <w:szCs w:val="22"/>
        </w:rPr>
        <w:t xml:space="preserve">RTO: 15 minutes. RPO: zero (committed data is durable).</w:t>
      </w:r>
    </w:p>
    <w:p>
      <w:pPr>
        <w:pStyle w:val="Heading2"/>
      </w:pPr>
      <w:r>
        <w:t xml:space="preserve">8.5 Accessibility</w:t>
      </w:r>
    </w:p>
    <w:p>
      <w:pPr>
        <w:spacing w:after="160"/>
      </w:pPr>
      <w:r>
        <w:rPr>
          <w:rFonts w:ascii="Arial" w:cs="Arial" w:eastAsia="Arial" w:hAnsi="Arial"/>
          <w:color w:val="1A202C"/>
          <w:sz w:val="22"/>
          <w:szCs w:val="22"/>
        </w:rPr>
        <w:t xml:space="preserve">All form components meet WCAG 2.1 AA. Tab order follows visual layout. Focus indicators: 2px blue outline with 2px offset. Screen reader support for pipeline stage states, progress bars, and validation messages. Reduced motion: respect prefers-reduced-motion. Color is never the sole indicator of state.</w:t>
      </w:r>
    </w:p>
    <w:p>
      <w:pPr>
        <w:spacing w:after="80"/>
      </w:pPr>
    </w:p>
    <w:p>
      <w:pPr>
        <w:pStyle w:val="Heading1"/>
      </w:pPr>
      <w:r>
        <w:t xml:space="preserve">9. Appendix: Enum Reference</w:t>
      </w:r>
    </w:p>
    <w:p>
      <w:pPr>
        <w:spacing w:after="160"/>
      </w:pPr>
      <w:r>
        <w:rPr>
          <w:rFonts w:ascii="Arial" w:cs="Arial" w:eastAsia="Arial" w:hAnsi="Arial"/>
          <w:color w:val="1A202C"/>
          <w:sz w:val="22"/>
          <w:szCs w:val="22"/>
        </w:rPr>
        <w:t xml:space="preserve">This appendix provides the complete enum definitions referenced throughout this document.</w:t>
      </w:r>
    </w:p>
    <w:p>
      <w:pPr>
        <w:pStyle w:val="Heading2"/>
      </w:pPr>
      <w:r>
        <w:t xml:space="preserve">9.1 Source Categories</w:t>
      </w:r>
    </w:p>
    <w:p>
      <w:pPr>
        <w:spacing w:after="160"/>
      </w:pPr>
      <w:r>
        <w:rPr>
          <w:rFonts w:ascii="Arial" w:cs="Arial" w:eastAsia="Arial" w:hAnsi="Arial"/>
          <w:color w:val="1A202C"/>
          <w:sz w:val="22"/>
          <w:szCs w:val="22"/>
        </w:rPr>
        <w:t xml:space="preserve">STAKEHOLDER_DATA | SYSTEM_INVENTORY | PROCESS_WORKFLOW | POLICY_SOP | OPERATIONAL_CALENDAR | OPERATIONAL_TRIGGER | INTERVIEW_EVIDENCE | INNOVATION_READINESS | CONSTRAINT_GATE</w:t>
      </w:r>
    </w:p>
    <w:p>
      <w:pPr>
        <w:pStyle w:val="Heading2"/>
      </w:pPr>
      <w:r>
        <w:t xml:space="preserve">9.2 Ingestion Methods</w:t>
      </w:r>
    </w:p>
    <w:p>
      <w:pPr>
        <w:spacing w:after="160"/>
      </w:pPr>
      <w:r>
        <w:rPr>
          <w:rFonts w:ascii="Arial" w:cs="Arial" w:eastAsia="Arial" w:hAnsi="Arial"/>
          <w:color w:val="1A202C"/>
          <w:sz w:val="22"/>
          <w:szCs w:val="22"/>
        </w:rPr>
        <w:t xml:space="preserve">STRUCTURED_FORM | FILE_UPLOAD | API_CONNECTOR | EXTERNAL_FEED</w:t>
      </w:r>
    </w:p>
    <w:p>
      <w:pPr>
        <w:pStyle w:val="Heading2"/>
      </w:pPr>
      <w:r>
        <w:t xml:space="preserve">9.3 Processing Stages</w:t>
      </w:r>
    </w:p>
    <w:p>
      <w:pPr>
        <w:spacing w:after="160"/>
      </w:pPr>
      <w:r>
        <w:rPr>
          <w:rFonts w:ascii="Arial" w:cs="Arial" w:eastAsia="Arial" w:hAnsi="Arial"/>
          <w:color w:val="1A202C"/>
          <w:sz w:val="22"/>
          <w:szCs w:val="22"/>
        </w:rPr>
        <w:t xml:space="preserve">INTAKE | VALIDATION | CLASSIFICATION | ENRICHMENT | STAGING | COMMITTED | RETRACTED | FAILED</w:t>
      </w:r>
    </w:p>
    <w:p>
      <w:pPr>
        <w:pStyle w:val="Heading2"/>
      </w:pPr>
      <w:r>
        <w:t xml:space="preserve">9.4 Maturity Dimensions</w:t>
      </w:r>
    </w:p>
    <w:p>
      <w:pPr>
        <w:spacing w:after="160"/>
      </w:pPr>
      <w:r>
        <w:rPr>
          <w:rFonts w:ascii="Arial" w:cs="Arial" w:eastAsia="Arial" w:hAnsi="Arial"/>
          <w:color w:val="1A202C"/>
          <w:sz w:val="22"/>
          <w:szCs w:val="22"/>
        </w:rPr>
        <w:t xml:space="preserve">GOVERNANCE_ACCOUNTABILITY | PEOPLE_ROLES | PROCESS_PLAYBOOKS | TECHNOLOGY_SYSTEMS | DATA_EVIDENCE_ASSURANCE</w:t>
      </w:r>
    </w:p>
    <w:p>
      <w:pPr>
        <w:pStyle w:val="Heading2"/>
      </w:pPr>
      <w:r>
        <w:t xml:space="preserve">9.5 Severity Levels</w:t>
      </w:r>
    </w:p>
    <w:p>
      <w:pPr>
        <w:spacing w:after="160"/>
      </w:pPr>
      <w:r>
        <w:rPr>
          <w:rFonts w:ascii="Arial" w:cs="Arial" w:eastAsia="Arial" w:hAnsi="Arial"/>
          <w:color w:val="1A202C"/>
          <w:sz w:val="22"/>
          <w:szCs w:val="22"/>
        </w:rPr>
        <w:t xml:space="preserve">CRITICAL | HIGH | MEDIUM | LOW</w:t>
      </w:r>
    </w:p>
    <w:p>
      <w:pPr>
        <w:pStyle w:val="Heading2"/>
      </w:pPr>
      <w:r>
        <w:t xml:space="preserve">9.6 Validation Severity</w:t>
      </w:r>
    </w:p>
    <w:p>
      <w:pPr>
        <w:spacing w:after="160"/>
      </w:pPr>
      <w:r>
        <w:rPr>
          <w:rFonts w:ascii="Arial" w:cs="Arial" w:eastAsia="Arial" w:hAnsi="Arial"/>
          <w:color w:val="1A202C"/>
          <w:sz w:val="22"/>
          <w:szCs w:val="22"/>
        </w:rPr>
        <w:t xml:space="preserve">ERROR | WARNING | INFO</w:t>
      </w:r>
    </w:p>
    <w:p>
      <w:pPr>
        <w:spacing w:after="80"/>
      </w:pPr>
    </w:p>
    <w:p>
      <w:pPr>
        <w:pBdr>
          <w:top w:val="single" w:color="E2E8F0" w:sz="2" w:space="8"/>
        </w:pBdr>
        <w:spacing w:before="400"/>
        <w:jc w:val="center"/>
      </w:pPr>
      <w:r>
        <w:rPr>
          <w:rFonts w:ascii="Arial" w:cs="Arial" w:eastAsia="Arial" w:hAnsi="Arial"/>
          <w:b/>
          <w:bCs/>
          <w:color w:val="94A3B8"/>
          <w:sz w:val="18"/>
          <w:szCs w:val="18"/>
        </w:rPr>
        <w:t xml:space="preserve">END OF DOCUMENT</w:t>
      </w:r>
    </w:p>
    <w:p>
      <w:pPr>
        <w:spacing w:after="40"/>
        <w:jc w:val="center"/>
      </w:pPr>
      <w:r>
        <w:rPr>
          <w:rFonts w:ascii="Arial" w:cs="Arial" w:eastAsia="Arial" w:hAnsi="Arial"/>
          <w:i/>
          <w:iCs/>
          <w:color w:val="94A3B8"/>
          <w:sz w:val="16"/>
          <w:szCs w:val="16"/>
        </w:rPr>
        <w:t xml:space="preserve">Sentrais Core OS + Blueprint360 | Ingestion Pipeline Requirements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Confidential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Arial" w:cs="Arial" w:eastAsia="Arial" w:hAnsi="Arial"/>
        <w:color w:val="94A3B8"/>
        <w:sz w:val="16"/>
        <w:szCs w:val="16"/>
      </w:rPr>
      <w:t xml:space="preserve">Sentrais Blueprint360</w:t>
    </w:r>
    <w:r>
      <w:rPr>
        <w:rFonts w:ascii="Arial" w:cs="Arial" w:eastAsia="Arial" w:hAnsi="Arial"/>
        <w:color w:val="94A3B8"/>
        <w:sz w:val="16"/>
        <w:szCs w:val="16"/>
      </w:rPr>
      <w:t xml:space="preserve">	Ingestion Pipeline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60"/>
      <w:outlineLvl w:val="0"/>
    </w:pPr>
    <w:rPr>
      <w:rFonts w:ascii="Arial" w:cs="Arial" w:eastAsia="Arial" w:hAnsi="Arial"/>
      <w:b/>
      <w:bCs/>
      <w:color w:val="0F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202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2026-03-18T05:35:38.460Z</dcterms:created>
  <dcterms:modified xsi:type="dcterms:W3CDTF">2026-03-18T05:35:38.461Z</dcterms:modified>
</cp:coreProperties>
</file>

<file path=docProps/custom.xml><?xml version="1.0" encoding="utf-8"?>
<Properties xmlns="http://schemas.openxmlformats.org/officeDocument/2006/custom-properties" xmlns:vt="http://schemas.openxmlformats.org/officeDocument/2006/docPropsVTypes"/>
</file>