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AF32F" w14:textId="3210A493" w:rsidR="009A374E" w:rsidRDefault="007551A3">
      <w:pPr>
        <w:pStyle w:val="LSTitle2"/>
        <w:rPr>
          <w:bCs/>
          <w:caps/>
          <w:szCs w:val="24"/>
        </w:rPr>
      </w:pPr>
      <w:r>
        <w:rPr>
          <w:rFonts w:ascii="Times New Roman Bold" w:hAnsi="Times New Roman Bold"/>
          <w:caps/>
        </w:rPr>
        <w:t>Sentrais, Inc</w:t>
      </w:r>
      <w:r w:rsidR="002918B8" w:rsidRPr="002918B8">
        <w:rPr>
          <w:rFonts w:ascii="Times New Roman Bold" w:hAnsi="Times New Roman Bold"/>
          <w:caps/>
        </w:rPr>
        <w:t xml:space="preserve">. </w:t>
      </w:r>
      <w:r w:rsidR="00134770">
        <w:br/>
      </w:r>
      <w:r>
        <w:t>2026</w:t>
      </w:r>
      <w:r w:rsidR="00134770">
        <w:t xml:space="preserve"> EQUITY INCENTIVE PLAN</w:t>
      </w:r>
      <w:r w:rsidR="00134770">
        <w:br/>
      </w:r>
      <w:r w:rsidR="00134770">
        <w:rPr>
          <w:bCs/>
          <w:caps/>
          <w:szCs w:val="24"/>
        </w:rPr>
        <w:t>STOCK OPTION GRANT NOTICE</w:t>
      </w:r>
    </w:p>
    <w:p w14:paraId="1E000DDF" w14:textId="18553CCF" w:rsidR="009A374E" w:rsidRDefault="007551A3">
      <w:pPr>
        <w:pStyle w:val="NOINDENTS"/>
      </w:pPr>
      <w:bookmarkStart w:id="0" w:name="_Hlk190795511"/>
      <w:r>
        <w:t>Sentrais, Inc</w:t>
      </w:r>
      <w:r w:rsidR="002918B8" w:rsidRPr="00EC1E07">
        <w:t>.</w:t>
      </w:r>
      <w:bookmarkEnd w:id="0"/>
      <w:r w:rsidR="002918B8">
        <w:t xml:space="preserve"> </w:t>
      </w:r>
      <w:r w:rsidR="00134770">
        <w:t>(the “</w:t>
      </w:r>
      <w:r w:rsidR="00134770">
        <w:rPr>
          <w:b/>
        </w:rPr>
        <w:t>Company</w:t>
      </w:r>
      <w:r w:rsidR="00134770">
        <w:rPr>
          <w:b/>
        </w:rPr>
        <w:fldChar w:fldCharType="begin"/>
      </w:r>
      <w:r w:rsidR="00134770">
        <w:instrText xml:space="preserve"> XE "Company" </w:instrText>
      </w:r>
      <w:r w:rsidR="00134770">
        <w:rPr>
          <w:b/>
        </w:rPr>
        <w:fldChar w:fldCharType="end"/>
      </w:r>
      <w:r w:rsidR="00134770">
        <w:t xml:space="preserve">”), pursuant to its </w:t>
      </w:r>
      <w:r>
        <w:t>2026</w:t>
      </w:r>
      <w:r w:rsidR="00134770">
        <w:t xml:space="preserve"> Equity Incentive Plan (the “</w:t>
      </w:r>
      <w:r w:rsidR="00134770">
        <w:rPr>
          <w:b/>
        </w:rPr>
        <w:t>Plan</w:t>
      </w:r>
      <w:r w:rsidR="00134770">
        <w:rPr>
          <w:b/>
        </w:rPr>
        <w:fldChar w:fldCharType="begin"/>
      </w:r>
      <w:r w:rsidR="00134770">
        <w:instrText xml:space="preserve"> XE "Plan" </w:instrText>
      </w:r>
      <w:r w:rsidR="00134770">
        <w:rPr>
          <w:b/>
        </w:rPr>
        <w:fldChar w:fldCharType="end"/>
      </w:r>
      <w:r w:rsidR="00134770">
        <w:t xml:space="preserve">”), hereby grants to Optionee an option to purchase the number of shares of the Company’s Common Stock set forth below. This option is subject to </w:t>
      </w:r>
      <w:proofErr w:type="gramStart"/>
      <w:r w:rsidR="00134770">
        <w:t>all of</w:t>
      </w:r>
      <w:proofErr w:type="gramEnd"/>
      <w:r w:rsidR="00134770">
        <w:t xml:space="preserve"> the terms and conditions as set forth herein and in the Grant Agreement, the Plan, and the Notice of Exercise, all of which are attached hereto and incorporated herein in their entirety. Capitalized terms used but not otherwise defined herein shall have the meanings set forth in the Plan.  </w:t>
      </w:r>
    </w:p>
    <w:p w14:paraId="0320D58B" w14:textId="77777777" w:rsidR="009A374E" w:rsidRDefault="00134770">
      <w:pPr>
        <w:pStyle w:val="Style"/>
        <w:spacing w:line="360" w:lineRule="auto"/>
        <w:rPr>
          <w:sz w:val="24"/>
          <w:szCs w:val="24"/>
          <w:u w:val="single"/>
        </w:rPr>
      </w:pPr>
      <w:r>
        <w:rPr>
          <w:b/>
          <w:sz w:val="24"/>
          <w:szCs w:val="24"/>
        </w:rPr>
        <w:t>OPTIONEE</w:t>
      </w:r>
      <w:r>
        <w:rPr>
          <w:sz w:val="24"/>
          <w:szCs w:val="24"/>
        </w:rPr>
        <w:t>: _______________________________________________________________</w:t>
      </w:r>
    </w:p>
    <w:p w14:paraId="1DACEB72" w14:textId="77777777" w:rsidR="009A374E" w:rsidRDefault="00134770">
      <w:pPr>
        <w:pStyle w:val="Style"/>
        <w:spacing w:line="360" w:lineRule="auto"/>
        <w:rPr>
          <w:b/>
          <w:sz w:val="24"/>
          <w:szCs w:val="24"/>
          <w:u w:val="single"/>
        </w:rPr>
      </w:pPr>
      <w:r>
        <w:rPr>
          <w:b/>
          <w:bCs/>
          <w:sz w:val="24"/>
          <w:szCs w:val="24"/>
        </w:rPr>
        <w:t>DATE OF GRANT</w:t>
      </w:r>
      <w:r>
        <w:rPr>
          <w:sz w:val="24"/>
          <w:szCs w:val="24"/>
        </w:rPr>
        <w:t xml:space="preserve">: </w:t>
      </w:r>
      <w:r>
        <w:rPr>
          <w:sz w:val="24"/>
          <w:szCs w:val="24"/>
        </w:rPr>
        <w:tab/>
        <w:t>________________________________________________________</w:t>
      </w:r>
    </w:p>
    <w:p w14:paraId="0DD145DE" w14:textId="77777777" w:rsidR="009A374E" w:rsidRDefault="00134770">
      <w:pPr>
        <w:pStyle w:val="Style"/>
        <w:spacing w:line="360" w:lineRule="auto"/>
        <w:rPr>
          <w:b/>
          <w:bCs/>
          <w:sz w:val="24"/>
          <w:szCs w:val="24"/>
        </w:rPr>
      </w:pPr>
      <w:r>
        <w:rPr>
          <w:b/>
          <w:bCs/>
          <w:sz w:val="24"/>
          <w:szCs w:val="24"/>
        </w:rPr>
        <w:t>VESTING COMMENCEMENT DATE: __________________________________________</w:t>
      </w:r>
    </w:p>
    <w:p w14:paraId="30720AC6" w14:textId="77777777" w:rsidR="009A374E" w:rsidRDefault="00134770">
      <w:pPr>
        <w:pStyle w:val="Style"/>
        <w:spacing w:line="360" w:lineRule="auto"/>
        <w:rPr>
          <w:sz w:val="24"/>
          <w:szCs w:val="24"/>
        </w:rPr>
      </w:pPr>
      <w:r>
        <w:rPr>
          <w:b/>
          <w:bCs/>
          <w:sz w:val="24"/>
          <w:szCs w:val="24"/>
        </w:rPr>
        <w:t>TYPE OF OPTION</w:t>
      </w:r>
      <w:r>
        <w:rPr>
          <w:sz w:val="24"/>
          <w:szCs w:val="24"/>
        </w:rPr>
        <w:t xml:space="preserv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 xml:space="preserve"> (Incentive or Non-Qualified Stock Option)</w:t>
      </w:r>
    </w:p>
    <w:p w14:paraId="22141F74" w14:textId="77777777" w:rsidR="009A374E" w:rsidRDefault="00134770">
      <w:pPr>
        <w:pStyle w:val="Style"/>
        <w:spacing w:line="360" w:lineRule="auto"/>
        <w:rPr>
          <w:sz w:val="24"/>
          <w:szCs w:val="24"/>
        </w:rPr>
      </w:pPr>
      <w:r>
        <w:rPr>
          <w:b/>
          <w:bCs/>
          <w:sz w:val="24"/>
          <w:szCs w:val="24"/>
        </w:rPr>
        <w:t>TOTAL SHARES OF COMMON STOCK COVERED BY OPTION</w:t>
      </w:r>
      <w:r>
        <w:rPr>
          <w:sz w:val="24"/>
          <w:szCs w:val="24"/>
        </w:rPr>
        <w:t>: __________________</w:t>
      </w:r>
    </w:p>
    <w:p w14:paraId="79077097" w14:textId="77777777" w:rsidR="009A374E" w:rsidRDefault="00134770">
      <w:pPr>
        <w:pStyle w:val="Style"/>
        <w:spacing w:line="360" w:lineRule="auto"/>
        <w:rPr>
          <w:sz w:val="24"/>
          <w:szCs w:val="24"/>
        </w:rPr>
      </w:pPr>
      <w:r>
        <w:rPr>
          <w:b/>
          <w:bCs/>
          <w:sz w:val="24"/>
          <w:szCs w:val="24"/>
        </w:rPr>
        <w:t>EXERCISE PRICE</w:t>
      </w:r>
      <w:r>
        <w:rPr>
          <w:sz w:val="24"/>
          <w:szCs w:val="24"/>
        </w:rPr>
        <w:t>: _________________________________________________________</w:t>
      </w:r>
    </w:p>
    <w:p w14:paraId="2D774DB0" w14:textId="77777777" w:rsidR="009A374E" w:rsidRDefault="00134770">
      <w:pPr>
        <w:pStyle w:val="Style"/>
        <w:spacing w:line="360" w:lineRule="auto"/>
        <w:rPr>
          <w:b/>
          <w:sz w:val="24"/>
          <w:szCs w:val="24"/>
          <w:u w:val="single"/>
        </w:rPr>
      </w:pPr>
      <w:r>
        <w:rPr>
          <w:b/>
          <w:bCs/>
          <w:sz w:val="24"/>
          <w:szCs w:val="24"/>
        </w:rPr>
        <w:t>EXPIRATION DATE</w:t>
      </w:r>
      <w:r>
        <w:rPr>
          <w:sz w:val="24"/>
          <w:szCs w:val="24"/>
        </w:rPr>
        <w:t>:  _______________________________________________________</w:t>
      </w:r>
    </w:p>
    <w:p w14:paraId="54EC2417" w14:textId="77777777" w:rsidR="009A374E" w:rsidRDefault="00134770">
      <w:pPr>
        <w:pStyle w:val="Style"/>
        <w:rPr>
          <w:sz w:val="24"/>
          <w:szCs w:val="24"/>
        </w:rPr>
      </w:pPr>
      <w:r>
        <w:rPr>
          <w:b/>
          <w:bCs/>
          <w:sz w:val="24"/>
          <w:szCs w:val="24"/>
        </w:rPr>
        <w:t>EXERCISE SCHEDULE</w:t>
      </w:r>
      <w:r>
        <w:rPr>
          <w:sz w:val="24"/>
          <w:szCs w:val="24"/>
        </w:rPr>
        <w:t xml:space="preserve">:  </w:t>
      </w:r>
    </w:p>
    <w:p w14:paraId="02316751" w14:textId="77777777" w:rsidR="009A374E" w:rsidRDefault="009A374E">
      <w:pPr>
        <w:pStyle w:val="Style"/>
        <w:rPr>
          <w:sz w:val="24"/>
          <w:szCs w:val="24"/>
        </w:rPr>
      </w:pPr>
    </w:p>
    <w:p w14:paraId="3C55438D" w14:textId="77777777" w:rsidR="009A374E" w:rsidRDefault="00134770">
      <w:pPr>
        <w:pStyle w:val="NOINDENTS"/>
      </w:pPr>
      <w:r>
        <w:t>[Twenty-five (25%) percent of the Option shall vest on the one-year anniversary of the Vesting Commencement Date and the remainder shall vest in [thirty six (36) equal monthly installments] over the three (3) year period following the one-year anniversary of the Vesting Commencement Date, with the first such subsequent installment vesting on the [one-month anniversary of the first anniversary of the Vesting Commencement Date], and the final installment vesting on the four (4) year anniversary of the Vesting Commencement Date; provided that the Optionee remains a Service Provider (as defined in the Grant Agreement) through each such vesting date].</w:t>
      </w:r>
    </w:p>
    <w:p w14:paraId="2E0D49C0" w14:textId="77777777" w:rsidR="009A374E" w:rsidRDefault="00134770">
      <w:pPr>
        <w:pStyle w:val="NOINDENTS"/>
      </w:pPr>
      <w:r>
        <w:t xml:space="preserve">To the extent that the Option vests and becomes exercisable, the Shares underlying the Option that vest and become exercisable shall be cumulative and may be exercised in whole or in part (provided that the Company shall not be required to issue fractional shares).  For the avoidance of doubt, no Shares underlying the Option shall vest and become exercisable after the date on which the Optionee ceases to be a Service Provider.  </w:t>
      </w:r>
    </w:p>
    <w:p w14:paraId="4ED306D8" w14:textId="77777777" w:rsidR="009A374E" w:rsidRDefault="00134770">
      <w:pPr>
        <w:pStyle w:val="NOINDENTS"/>
      </w:pPr>
      <w:r>
        <w:t xml:space="preserve">By the Optionee’s signature and the signature of the Company’s representative below, the Optionee and the Company agree that the Option is granted under and governed by the terms and conditions of the Plan, this Grant Notice and the Grant Agreement, attached hereto and which are incorporated by reference herein.  The Optionee acknowledges receipt of and has reviewed the Plan, this Grant Notice and the Grant Agreement in their entirety, has had an opportunity to obtain the advice of counsel prior to executing this Grant Notice and fully understands all provisions of the Plan, this Grant Notice and the Grant Agreement.  The Optionee hereby agrees to accept as binding, conclusive and final all decisions or interpretations of the Committee upon any questions relating to the Plan, this Grant Notice and the Grant Agreement.  </w:t>
      </w:r>
    </w:p>
    <w:p w14:paraId="10BA59DF" w14:textId="77777777" w:rsidR="009A374E" w:rsidRDefault="00134770">
      <w:pPr>
        <w:pStyle w:val="NOINDENTS"/>
      </w:pPr>
      <w:bookmarkStart w:id="1" w:name="ElPgBr2"/>
      <w:bookmarkEnd w:id="1"/>
      <w:r>
        <w:lastRenderedPageBreak/>
        <w:t xml:space="preserve">This Grant Notice may be executed and delivered electronically whether via the Company’s intranet or the Internet site of a third party or via email or any other means of electronic delivery specified by the Company.  </w:t>
      </w:r>
    </w:p>
    <w:p w14:paraId="58168BD7" w14:textId="77777777" w:rsidR="009A374E" w:rsidRDefault="009A374E">
      <w:pPr>
        <w:pStyle w:val="Style"/>
        <w:rPr>
          <w:sz w:val="24"/>
          <w:szCs w:val="24"/>
        </w:rPr>
      </w:pPr>
    </w:p>
    <w:p w14:paraId="73FF8A0C" w14:textId="77777777" w:rsidR="009A374E" w:rsidRDefault="009A374E">
      <w:pPr>
        <w:pStyle w:val="Style"/>
        <w:rPr>
          <w:sz w:val="24"/>
          <w:szCs w:val="24"/>
        </w:rPr>
      </w:pPr>
    </w:p>
    <w:tbl>
      <w:tblPr>
        <w:tblW w:w="0" w:type="auto"/>
        <w:tblLook w:val="01E0" w:firstRow="1" w:lastRow="1" w:firstColumn="1" w:lastColumn="1" w:noHBand="0" w:noVBand="0"/>
      </w:tblPr>
      <w:tblGrid>
        <w:gridCol w:w="4665"/>
        <w:gridCol w:w="4695"/>
      </w:tblGrid>
      <w:tr w:rsidR="009A374E" w:rsidRPr="002918B8" w14:paraId="626BD38C" w14:textId="77777777">
        <w:tc>
          <w:tcPr>
            <w:tcW w:w="4788" w:type="dxa"/>
          </w:tcPr>
          <w:p w14:paraId="2D5FF17C" w14:textId="77777777" w:rsidR="009A374E" w:rsidRPr="002918B8" w:rsidRDefault="00134770">
            <w:pPr>
              <w:pStyle w:val="Style"/>
              <w:rPr>
                <w:b/>
                <w:sz w:val="24"/>
                <w:szCs w:val="24"/>
              </w:rPr>
            </w:pPr>
            <w:r w:rsidRPr="002918B8">
              <w:rPr>
                <w:b/>
                <w:sz w:val="24"/>
                <w:szCs w:val="24"/>
              </w:rPr>
              <w:t>OPTIONEE</w:t>
            </w:r>
          </w:p>
          <w:p w14:paraId="54BFF717" w14:textId="77777777" w:rsidR="009A374E" w:rsidRPr="002918B8" w:rsidRDefault="009A374E">
            <w:pPr>
              <w:pStyle w:val="Style"/>
              <w:rPr>
                <w:sz w:val="24"/>
                <w:szCs w:val="24"/>
              </w:rPr>
            </w:pPr>
          </w:p>
          <w:p w14:paraId="63770D69" w14:textId="77777777" w:rsidR="009A374E" w:rsidRPr="002918B8" w:rsidRDefault="00134770">
            <w:pPr>
              <w:pStyle w:val="Style"/>
              <w:rPr>
                <w:sz w:val="24"/>
                <w:szCs w:val="24"/>
              </w:rPr>
            </w:pPr>
            <w:r w:rsidRPr="002918B8">
              <w:rPr>
                <w:sz w:val="24"/>
                <w:szCs w:val="24"/>
              </w:rPr>
              <w:t>By: __________________________</w:t>
            </w:r>
          </w:p>
          <w:p w14:paraId="694A701A" w14:textId="77777777" w:rsidR="009A374E" w:rsidRPr="002918B8" w:rsidRDefault="00134770">
            <w:pPr>
              <w:pStyle w:val="Style"/>
              <w:rPr>
                <w:sz w:val="24"/>
                <w:szCs w:val="24"/>
              </w:rPr>
            </w:pPr>
            <w:r w:rsidRPr="002918B8">
              <w:rPr>
                <w:sz w:val="24"/>
                <w:szCs w:val="24"/>
              </w:rPr>
              <w:t>Name:  _______________________</w:t>
            </w:r>
          </w:p>
          <w:p w14:paraId="67BB720E" w14:textId="77777777" w:rsidR="009A374E" w:rsidRPr="002918B8" w:rsidRDefault="00134770">
            <w:pPr>
              <w:pStyle w:val="Style"/>
              <w:rPr>
                <w:sz w:val="24"/>
                <w:szCs w:val="24"/>
              </w:rPr>
            </w:pPr>
            <w:r w:rsidRPr="002918B8">
              <w:rPr>
                <w:sz w:val="24"/>
                <w:szCs w:val="24"/>
              </w:rPr>
              <w:t>Date: _________________________</w:t>
            </w:r>
          </w:p>
        </w:tc>
        <w:tc>
          <w:tcPr>
            <w:tcW w:w="4788" w:type="dxa"/>
          </w:tcPr>
          <w:p w14:paraId="0DCC2026" w14:textId="2A0E8741" w:rsidR="009A374E" w:rsidRPr="002918B8" w:rsidRDefault="007551A3">
            <w:pPr>
              <w:pStyle w:val="Style"/>
              <w:rPr>
                <w:b/>
                <w:bCs/>
                <w:sz w:val="24"/>
                <w:szCs w:val="24"/>
              </w:rPr>
            </w:pPr>
            <w:r>
              <w:rPr>
                <w:b/>
                <w:bCs/>
                <w:caps/>
                <w:sz w:val="24"/>
                <w:szCs w:val="24"/>
              </w:rPr>
              <w:t>Sentrais, Inc</w:t>
            </w:r>
            <w:r w:rsidR="002918B8" w:rsidRPr="002918B8">
              <w:rPr>
                <w:b/>
                <w:bCs/>
                <w:caps/>
                <w:sz w:val="24"/>
                <w:szCs w:val="24"/>
              </w:rPr>
              <w:t xml:space="preserve">. </w:t>
            </w:r>
            <w:r w:rsidR="002918B8" w:rsidRPr="002918B8">
              <w:rPr>
                <w:b/>
                <w:bCs/>
                <w:sz w:val="24"/>
                <w:szCs w:val="24"/>
              </w:rPr>
              <w:t xml:space="preserve"> </w:t>
            </w:r>
          </w:p>
          <w:p w14:paraId="73385F3F" w14:textId="77777777" w:rsidR="002918B8" w:rsidRPr="002918B8" w:rsidRDefault="002918B8">
            <w:pPr>
              <w:pStyle w:val="Style"/>
              <w:rPr>
                <w:sz w:val="24"/>
                <w:szCs w:val="24"/>
              </w:rPr>
            </w:pPr>
          </w:p>
          <w:p w14:paraId="6AFA0787" w14:textId="4060271B" w:rsidR="009A374E" w:rsidRPr="007551A3" w:rsidRDefault="00134770">
            <w:pPr>
              <w:pStyle w:val="Style"/>
              <w:rPr>
                <w:sz w:val="24"/>
                <w:szCs w:val="24"/>
                <w:u w:val="single"/>
              </w:rPr>
            </w:pPr>
            <w:proofErr w:type="gramStart"/>
            <w:r w:rsidRPr="007551A3">
              <w:rPr>
                <w:sz w:val="24"/>
                <w:szCs w:val="24"/>
                <w:u w:val="single"/>
              </w:rPr>
              <w:t>By:</w:t>
            </w:r>
            <w:r w:rsidRPr="007551A3">
              <w:rPr>
                <w:sz w:val="24"/>
                <w:szCs w:val="24"/>
              </w:rPr>
              <w:t>_</w:t>
            </w:r>
            <w:proofErr w:type="gramEnd"/>
            <w:r w:rsidRPr="007551A3">
              <w:rPr>
                <w:sz w:val="24"/>
                <w:szCs w:val="24"/>
              </w:rPr>
              <w:t>_________________________</w:t>
            </w:r>
          </w:p>
          <w:p w14:paraId="14FFA8F4" w14:textId="29457F96" w:rsidR="009A374E" w:rsidRPr="007551A3" w:rsidRDefault="00134770">
            <w:pPr>
              <w:pStyle w:val="Style"/>
              <w:rPr>
                <w:sz w:val="24"/>
                <w:szCs w:val="24"/>
                <w:u w:val="single"/>
              </w:rPr>
            </w:pPr>
            <w:r w:rsidRPr="007551A3">
              <w:rPr>
                <w:sz w:val="24"/>
                <w:szCs w:val="24"/>
                <w:u w:val="single"/>
              </w:rPr>
              <w:t xml:space="preserve">Name:  </w:t>
            </w:r>
            <w:r w:rsidR="007551A3" w:rsidRPr="007551A3">
              <w:rPr>
                <w:sz w:val="24"/>
                <w:szCs w:val="24"/>
                <w:u w:val="single"/>
              </w:rPr>
              <w:t>Tiwanna Hayes</w:t>
            </w:r>
          </w:p>
          <w:p w14:paraId="2F014320" w14:textId="11AD4C98" w:rsidR="009A374E" w:rsidRPr="007551A3" w:rsidRDefault="00134770">
            <w:pPr>
              <w:pStyle w:val="Style"/>
              <w:rPr>
                <w:sz w:val="24"/>
                <w:szCs w:val="24"/>
                <w:u w:val="single"/>
              </w:rPr>
            </w:pPr>
            <w:r w:rsidRPr="007551A3">
              <w:rPr>
                <w:sz w:val="24"/>
                <w:szCs w:val="24"/>
                <w:u w:val="single"/>
              </w:rPr>
              <w:t xml:space="preserve">Title:  </w:t>
            </w:r>
            <w:r w:rsidR="007551A3" w:rsidRPr="007551A3">
              <w:rPr>
                <w:sz w:val="24"/>
                <w:szCs w:val="24"/>
                <w:u w:val="single"/>
              </w:rPr>
              <w:t>Chief Executive Officer</w:t>
            </w:r>
          </w:p>
          <w:p w14:paraId="5E78FC16" w14:textId="77777777" w:rsidR="009A374E" w:rsidRPr="002918B8" w:rsidRDefault="00134770">
            <w:pPr>
              <w:pStyle w:val="Style"/>
              <w:rPr>
                <w:sz w:val="24"/>
                <w:szCs w:val="24"/>
              </w:rPr>
            </w:pPr>
            <w:r w:rsidRPr="002918B8">
              <w:rPr>
                <w:sz w:val="24"/>
                <w:szCs w:val="24"/>
              </w:rPr>
              <w:t>Date:  ________________________</w:t>
            </w:r>
          </w:p>
        </w:tc>
      </w:tr>
    </w:tbl>
    <w:p w14:paraId="5D9F8FDA" w14:textId="77777777" w:rsidR="009A374E" w:rsidRDefault="009A374E">
      <w:pPr>
        <w:pStyle w:val="Style"/>
        <w:rPr>
          <w:sz w:val="24"/>
          <w:szCs w:val="24"/>
        </w:rPr>
      </w:pPr>
    </w:p>
    <w:p w14:paraId="4D5E90E9" w14:textId="77777777" w:rsidR="009A374E" w:rsidRDefault="009A374E">
      <w:pPr>
        <w:pStyle w:val="Style"/>
        <w:rPr>
          <w:sz w:val="24"/>
          <w:szCs w:val="24"/>
        </w:rPr>
      </w:pPr>
    </w:p>
    <w:p w14:paraId="3FEA1801" w14:textId="77777777" w:rsidR="009A374E" w:rsidRDefault="00134770">
      <w:pPr>
        <w:pStyle w:val="Style"/>
        <w:jc w:val="both"/>
        <w:rPr>
          <w:b/>
          <w:sz w:val="24"/>
          <w:szCs w:val="24"/>
        </w:rPr>
      </w:pPr>
      <w:r>
        <w:rPr>
          <w:b/>
          <w:sz w:val="24"/>
          <w:szCs w:val="24"/>
        </w:rPr>
        <w:t>Attachments:</w:t>
      </w:r>
    </w:p>
    <w:p w14:paraId="12A7C4A5" w14:textId="77777777" w:rsidR="009A374E" w:rsidRDefault="009A374E">
      <w:pPr>
        <w:pStyle w:val="Style"/>
        <w:jc w:val="both"/>
        <w:rPr>
          <w:b/>
          <w:sz w:val="24"/>
          <w:szCs w:val="24"/>
        </w:rPr>
      </w:pPr>
    </w:p>
    <w:p w14:paraId="492F9F18" w14:textId="77777777" w:rsidR="009A374E" w:rsidRDefault="00134770">
      <w:pPr>
        <w:pStyle w:val="Style"/>
        <w:numPr>
          <w:ilvl w:val="0"/>
          <w:numId w:val="1"/>
        </w:numPr>
        <w:ind w:hanging="720"/>
        <w:jc w:val="both"/>
        <w:rPr>
          <w:sz w:val="24"/>
          <w:szCs w:val="24"/>
        </w:rPr>
      </w:pPr>
      <w:r>
        <w:rPr>
          <w:sz w:val="24"/>
          <w:szCs w:val="24"/>
        </w:rPr>
        <w:t>Stock Option Grant Agreement</w:t>
      </w:r>
    </w:p>
    <w:p w14:paraId="42F73B8D" w14:textId="77777777" w:rsidR="009A374E" w:rsidRDefault="00134770">
      <w:pPr>
        <w:pStyle w:val="Style"/>
        <w:numPr>
          <w:ilvl w:val="0"/>
          <w:numId w:val="1"/>
        </w:numPr>
        <w:ind w:hanging="720"/>
        <w:jc w:val="both"/>
        <w:rPr>
          <w:sz w:val="24"/>
          <w:szCs w:val="24"/>
        </w:rPr>
      </w:pPr>
      <w:r>
        <w:rPr>
          <w:sz w:val="24"/>
          <w:szCs w:val="24"/>
        </w:rPr>
        <w:t>Notice of Exercise</w:t>
      </w:r>
    </w:p>
    <w:p w14:paraId="21B47647" w14:textId="33425749" w:rsidR="009A374E" w:rsidRDefault="007551A3">
      <w:pPr>
        <w:pStyle w:val="Style"/>
        <w:widowControl/>
        <w:numPr>
          <w:ilvl w:val="0"/>
          <w:numId w:val="1"/>
        </w:numPr>
        <w:tabs>
          <w:tab w:val="left" w:pos="720"/>
        </w:tabs>
        <w:ind w:hanging="720"/>
        <w:rPr>
          <w:sz w:val="24"/>
          <w:szCs w:val="24"/>
        </w:rPr>
      </w:pPr>
      <w:r>
        <w:rPr>
          <w:sz w:val="24"/>
          <w:szCs w:val="24"/>
        </w:rPr>
        <w:t>2026</w:t>
      </w:r>
      <w:r w:rsidR="00134770">
        <w:rPr>
          <w:sz w:val="24"/>
          <w:szCs w:val="24"/>
        </w:rPr>
        <w:t xml:space="preserve"> Equity Incentive Plan</w:t>
      </w:r>
    </w:p>
    <w:p w14:paraId="232A4468" w14:textId="77777777" w:rsidR="009A374E" w:rsidRDefault="009A374E">
      <w:pPr>
        <w:pStyle w:val="Style"/>
        <w:widowControl/>
        <w:tabs>
          <w:tab w:val="left" w:pos="720"/>
        </w:tabs>
        <w:rPr>
          <w:sz w:val="24"/>
          <w:szCs w:val="24"/>
        </w:rPr>
      </w:pPr>
    </w:p>
    <w:p w14:paraId="278F0F9E" w14:textId="77777777" w:rsidR="009A374E" w:rsidRDefault="009A374E">
      <w:pPr>
        <w:pStyle w:val="Style"/>
        <w:widowControl/>
        <w:spacing w:line="360" w:lineRule="auto"/>
        <w:jc w:val="center"/>
        <w:rPr>
          <w:sz w:val="24"/>
        </w:rPr>
        <w:sectPr w:rsidR="009A374E">
          <w:footerReference w:type="even" r:id="rId9"/>
          <w:footerReference w:type="default" r:id="rId10"/>
          <w:type w:val="continuous"/>
          <w:pgSz w:w="12240" w:h="15840"/>
          <w:pgMar w:top="1440" w:right="1440" w:bottom="1440" w:left="1440" w:header="720" w:footer="720" w:gutter="0"/>
          <w:cols w:space="720"/>
          <w:titlePg/>
          <w:docGrid w:linePitch="360"/>
        </w:sectPr>
      </w:pPr>
    </w:p>
    <w:p w14:paraId="3656DEF7" w14:textId="1D17CB94" w:rsidR="009A374E" w:rsidRDefault="007551A3">
      <w:pPr>
        <w:pStyle w:val="LSTitle2"/>
      </w:pPr>
      <w:bookmarkStart w:id="2" w:name="ElPgBr3"/>
      <w:bookmarkEnd w:id="2"/>
      <w:r>
        <w:rPr>
          <w:rFonts w:ascii="Times New Roman Bold" w:hAnsi="Times New Roman Bold"/>
          <w:caps/>
        </w:rPr>
        <w:lastRenderedPageBreak/>
        <w:t>Sentrais, Inc</w:t>
      </w:r>
      <w:r w:rsidR="002918B8" w:rsidRPr="002918B8">
        <w:rPr>
          <w:rFonts w:ascii="Times New Roman Bold" w:hAnsi="Times New Roman Bold"/>
          <w:caps/>
        </w:rPr>
        <w:t xml:space="preserve">. </w:t>
      </w:r>
      <w:r w:rsidR="00134770">
        <w:br/>
      </w:r>
      <w:r>
        <w:rPr>
          <w:bCs/>
          <w:caps/>
        </w:rPr>
        <w:t>2026</w:t>
      </w:r>
      <w:r w:rsidR="00134770">
        <w:rPr>
          <w:bCs/>
          <w:caps/>
        </w:rPr>
        <w:t xml:space="preserve"> EQUITY INCENTIVE PLAN</w:t>
      </w:r>
      <w:r w:rsidR="00134770">
        <w:rPr>
          <w:bCs/>
          <w:caps/>
        </w:rPr>
        <w:br/>
      </w:r>
      <w:r w:rsidR="00134770">
        <w:t>STOCK OPTION GRANT AGREEMENT</w:t>
      </w:r>
    </w:p>
    <w:p w14:paraId="3DB476E8" w14:textId="77777777" w:rsidR="009A374E" w:rsidRDefault="00134770">
      <w:pPr>
        <w:pStyle w:val="LSTitle2"/>
      </w:pPr>
      <w:r>
        <w:t>(Incentive Stock Option or Non-Qualified Stock Option)</w:t>
      </w:r>
    </w:p>
    <w:p w14:paraId="4F427F91" w14:textId="6D040799" w:rsidR="009A374E" w:rsidRDefault="00134770">
      <w:pPr>
        <w:pStyle w:val="NOINDENTS"/>
      </w:pPr>
      <w:r>
        <w:t>Pursuant to the terms of the Option Grant Notice (the “</w:t>
      </w:r>
      <w:r>
        <w:rPr>
          <w:b/>
        </w:rPr>
        <w:t>Grant Notice</w:t>
      </w:r>
      <w:r>
        <w:rPr>
          <w:b/>
        </w:rPr>
        <w:fldChar w:fldCharType="begin"/>
      </w:r>
      <w:r>
        <w:instrText xml:space="preserve"> XE "Grant Notice" </w:instrText>
      </w:r>
      <w:r>
        <w:rPr>
          <w:b/>
        </w:rPr>
        <w:fldChar w:fldCharType="end"/>
      </w:r>
      <w:r>
        <w:t>”) and this Stock Option Grant Agreement (the “</w:t>
      </w:r>
      <w:r>
        <w:rPr>
          <w:b/>
        </w:rPr>
        <w:t>Grant Agreement</w:t>
      </w:r>
      <w:r>
        <w:rPr>
          <w:b/>
        </w:rPr>
        <w:fldChar w:fldCharType="begin"/>
      </w:r>
      <w:r>
        <w:instrText xml:space="preserve"> XE "Grant Agreement" </w:instrText>
      </w:r>
      <w:r>
        <w:rPr>
          <w:b/>
        </w:rPr>
        <w:fldChar w:fldCharType="end"/>
      </w:r>
      <w:r>
        <w:t xml:space="preserve">”), </w:t>
      </w:r>
      <w:r w:rsidR="007551A3">
        <w:t>Sentrais</w:t>
      </w:r>
      <w:r>
        <w:t>,</w:t>
      </w:r>
      <w:r w:rsidR="007551A3">
        <w:t xml:space="preserve"> Inc.,</w:t>
      </w:r>
      <w:r>
        <w:t xml:space="preserve"> a Delaware corporation (the “</w:t>
      </w:r>
      <w:r>
        <w:rPr>
          <w:b/>
        </w:rPr>
        <w:t>Company</w:t>
      </w:r>
      <w:r>
        <w:rPr>
          <w:b/>
        </w:rPr>
        <w:fldChar w:fldCharType="begin"/>
      </w:r>
      <w:r>
        <w:instrText xml:space="preserve"> XE "Company" </w:instrText>
      </w:r>
      <w:r>
        <w:rPr>
          <w:b/>
        </w:rPr>
        <w:fldChar w:fldCharType="end"/>
      </w:r>
      <w:r>
        <w:t xml:space="preserve">”), has granted to the Optionee (as defined in the Grant Notice) an option under its </w:t>
      </w:r>
      <w:r w:rsidR="007551A3">
        <w:t>2026</w:t>
      </w:r>
      <w:r>
        <w:rPr>
          <w:b/>
          <w:bCs/>
          <w:caps/>
          <w:szCs w:val="24"/>
        </w:rPr>
        <w:t xml:space="preserve"> </w:t>
      </w:r>
      <w:r>
        <w:t>Equity Incentive Plan (the “</w:t>
      </w:r>
      <w:r>
        <w:rPr>
          <w:b/>
        </w:rPr>
        <w:t>Plan</w:t>
      </w:r>
      <w:r>
        <w:rPr>
          <w:b/>
        </w:rPr>
        <w:fldChar w:fldCharType="begin"/>
      </w:r>
      <w:r>
        <w:instrText xml:space="preserve"> XE "Plan" </w:instrText>
      </w:r>
      <w:r>
        <w:rPr>
          <w:b/>
        </w:rPr>
        <w:fldChar w:fldCharType="end"/>
      </w:r>
      <w:r>
        <w:t>”) to purchase the number of shares of Common Stock indicated in the Grant Notice at the exercise price set forth therein. Capitalized terms used but not otherwise defined herein shall have the meanings set forth in the Plan.  The Optionee agrees to be bound by the terms and conditions of the Plan, which are incorporated herein by reference and which control in case of any conflict with this Grant Agreement:</w:t>
      </w:r>
    </w:p>
    <w:p w14:paraId="4524BCFC" w14:textId="77777777" w:rsidR="009A374E" w:rsidRDefault="00134770">
      <w:pPr>
        <w:pStyle w:val="NOINDENTS"/>
      </w:pPr>
      <w:r>
        <w:rPr>
          <w:b/>
          <w:bCs/>
        </w:rPr>
        <w:t>A.</w:t>
      </w:r>
      <w:r>
        <w:rPr>
          <w:b/>
          <w:bCs/>
        </w:rPr>
        <w:tab/>
        <w:t>EXERCISE SCHEDULE.</w:t>
      </w:r>
      <w:r>
        <w:t xml:space="preserve">  As set forth in the Grant Notice.</w:t>
      </w:r>
    </w:p>
    <w:p w14:paraId="2D72EB30" w14:textId="77777777" w:rsidR="009A374E" w:rsidRDefault="00134770">
      <w:pPr>
        <w:pStyle w:val="NOINDENTS"/>
      </w:pPr>
      <w:r>
        <w:rPr>
          <w:b/>
          <w:bCs/>
        </w:rPr>
        <w:t>B.</w:t>
      </w:r>
      <w:r>
        <w:rPr>
          <w:b/>
          <w:bCs/>
        </w:rPr>
        <w:tab/>
        <w:t>NUMBER OF SHARES AND EXERCISE PRICE.</w:t>
      </w:r>
      <w:r>
        <w:t xml:space="preserve">  The number of shares of Common Stock subject to the Option and the exercise price per share set forth in the Grant Notice may be adjusted from time to time in accordance with the provisions of Sections 3(c) and 3(d) of the Plan. To the extent designated as an Incentive Stock Option (“</w:t>
      </w:r>
      <w:r>
        <w:rPr>
          <w:b/>
        </w:rPr>
        <w:t>ISO</w:t>
      </w:r>
      <w:r>
        <w:rPr>
          <w:b/>
        </w:rPr>
        <w:fldChar w:fldCharType="begin"/>
      </w:r>
      <w:r>
        <w:instrText xml:space="preserve"> XE "ISO" </w:instrText>
      </w:r>
      <w:r>
        <w:rPr>
          <w:b/>
        </w:rPr>
        <w:fldChar w:fldCharType="end"/>
      </w:r>
      <w:r>
        <w:t xml:space="preserve">”), this Option is intended to qualify as an Incentive Stock Option under Section 422 of the Code.  </w:t>
      </w:r>
    </w:p>
    <w:p w14:paraId="2CB54989" w14:textId="77777777" w:rsidR="009A374E" w:rsidRDefault="00134770">
      <w:pPr>
        <w:pStyle w:val="NOINDENTS"/>
      </w:pPr>
      <w:r>
        <w:rPr>
          <w:b/>
        </w:rPr>
        <w:t>C.</w:t>
      </w:r>
      <w:r>
        <w:rPr>
          <w:b/>
        </w:rPr>
        <w:tab/>
        <w:t>INCENTIVE STOCK OPTIONS.</w:t>
      </w:r>
      <w:r>
        <w:t xml:space="preserve"> Notwithstanding any designation as an ISO, if the Optionee becomes eligible in any given year to exercise ISOs for Shares having a Fair Market Value </w:t>
      </w:r>
      <w:proofErr w:type="gramStart"/>
      <w:r>
        <w:t>in excess of</w:t>
      </w:r>
      <w:proofErr w:type="gramEnd"/>
      <w:r>
        <w:t xml:space="preserve"> $100,000, those Options representing the excess shall be treated as Non-Qualified Stock Options (“</w:t>
      </w:r>
      <w:r>
        <w:rPr>
          <w:b/>
        </w:rPr>
        <w:t>NSOs</w:t>
      </w:r>
      <w:r>
        <w:rPr>
          <w:b/>
        </w:rPr>
        <w:fldChar w:fldCharType="begin"/>
      </w:r>
      <w:r>
        <w:instrText xml:space="preserve"> XE "NSOs" </w:instrText>
      </w:r>
      <w:r>
        <w:rPr>
          <w:b/>
        </w:rPr>
        <w:fldChar w:fldCharType="end"/>
      </w:r>
      <w:r>
        <w:t xml:space="preserve">”).  In the previous sentence, “ISOs” include ISOs granted under any plan of the Company or any Parent or any Subsidiary.  </w:t>
      </w:r>
      <w:proofErr w:type="gramStart"/>
      <w:r>
        <w:t>For the purpose of</w:t>
      </w:r>
      <w:proofErr w:type="gramEnd"/>
      <w:r>
        <w:t xml:space="preserve"> deciding which Options apply to Shares that “exceed” the $100,000 limit, ISOs shall be </w:t>
      </w:r>
      <w:proofErr w:type="gramStart"/>
      <w:r>
        <w:t>taken into account</w:t>
      </w:r>
      <w:proofErr w:type="gramEnd"/>
      <w:r>
        <w:t xml:space="preserve"> in the same order as granted.  The Fair Market Value of the Shares shall be determined as of the time the Option with respect to such Shares is granted. Optionee hereby acknowledges that there is no assurance that the Option will, in fact, be treated as an Incentive Stock Option under Code Section 422.</w:t>
      </w:r>
    </w:p>
    <w:p w14:paraId="41D2CFFB" w14:textId="77777777" w:rsidR="009A374E" w:rsidRDefault="00134770">
      <w:pPr>
        <w:pStyle w:val="NOINDENTS"/>
      </w:pPr>
      <w:r>
        <w:rPr>
          <w:b/>
        </w:rPr>
        <w:t>D.</w:t>
      </w:r>
      <w:r>
        <w:tab/>
      </w:r>
      <w:r>
        <w:rPr>
          <w:b/>
          <w:bCs/>
        </w:rPr>
        <w:t>EXERCISE OF OPTION FOLLOWING TERMINATION OF SERVICE</w:t>
      </w:r>
      <w:r>
        <w:t>:  This Option shall terminate and be cancelled to the extent not exercised within ninety (90) days after the Optionee ceases to be an employee or other service provider, member of the Board of Directors (including an advisory member) or consultant of the Company or any of its Affiliates (“</w:t>
      </w:r>
      <w:r>
        <w:rPr>
          <w:b/>
        </w:rPr>
        <w:t>Service Provider</w:t>
      </w:r>
      <w:r>
        <w:rPr>
          <w:b/>
        </w:rPr>
        <w:fldChar w:fldCharType="begin"/>
      </w:r>
      <w:r>
        <w:instrText xml:space="preserve"> XE "Service Provider" </w:instrText>
      </w:r>
      <w:r>
        <w:rPr>
          <w:b/>
        </w:rPr>
        <w:fldChar w:fldCharType="end"/>
      </w:r>
      <w:r>
        <w:t xml:space="preserve">”), except that if such cessation is due to the death or Disability of the Optionee, this Option shall terminate and be cancelled twelve months after the Optionee ceases to be a Service Provider.  To the extent not exercised within such </w:t>
      </w:r>
      <w:proofErr w:type="gramStart"/>
      <w:r>
        <w:t>period of time</w:t>
      </w:r>
      <w:proofErr w:type="gramEnd"/>
      <w:r>
        <w:t xml:space="preserve">, the Option shall be cancelled.  </w:t>
      </w:r>
    </w:p>
    <w:p w14:paraId="4F81A766" w14:textId="77777777" w:rsidR="009A374E" w:rsidRDefault="00134770">
      <w:pPr>
        <w:pStyle w:val="NOINDENTS"/>
      </w:pPr>
      <w:r>
        <w:t xml:space="preserve">Notwithstanding the foregoing, in the event that the Service Provider’s service with the Company or any Affiliate is terminated for “Cause”, then </w:t>
      </w:r>
      <w:r>
        <w:rPr>
          <w:szCs w:val="24"/>
        </w:rPr>
        <w:t xml:space="preserve">(i) any outstanding Option shall thereupon be forfeited without payment of consideration therefore, (ii) any Shares for which the Company has not yet delivered share certificates will be immediately </w:t>
      </w:r>
      <w:bookmarkStart w:id="3" w:name="ElPgBr4"/>
      <w:bookmarkEnd w:id="3"/>
      <w:r>
        <w:rPr>
          <w:szCs w:val="24"/>
        </w:rPr>
        <w:t xml:space="preserve">and automatically forfeited and the Company will refund to the </w:t>
      </w:r>
      <w:r>
        <w:t>Service Provider</w:t>
      </w:r>
      <w:r>
        <w:rPr>
          <w:szCs w:val="24"/>
        </w:rPr>
        <w:t xml:space="preserve"> the Option exercise price paid for such Shares, if </w:t>
      </w:r>
      <w:r>
        <w:rPr>
          <w:szCs w:val="24"/>
        </w:rPr>
        <w:lastRenderedPageBreak/>
        <w:t>any.</w:t>
      </w:r>
      <w:r>
        <w:t xml:space="preserve">  In no event, however, shall this Option be exercised later than the Expiration Date as provided above and in no event shall this Option be exercised for more Shares than the Shares which otherwise have become exercisable as of the date of cessation of status as a Service Provider.  </w:t>
      </w:r>
    </w:p>
    <w:p w14:paraId="3BFFDE61" w14:textId="77777777" w:rsidR="009A374E" w:rsidRDefault="00134770">
      <w:pPr>
        <w:pStyle w:val="NOINDENTS"/>
      </w:pPr>
      <w:r>
        <w:rPr>
          <w:b/>
        </w:rPr>
        <w:t>E.</w:t>
      </w:r>
      <w:r>
        <w:tab/>
      </w:r>
      <w:r>
        <w:rPr>
          <w:b/>
          <w:bCs/>
        </w:rPr>
        <w:t>RESTRICTIONS AGREEMENT; STOCKHOLDERS AGREEMENTS</w:t>
      </w:r>
      <w:r>
        <w:t>.  As a condition precedent to the exercise of this Option, the Board may require the Optionee (or his/her estate or heir, or other permitted person exercising on the Optionee’s behalf, if applicable) to execute and deliver a Stock Restrictions Agreement or such other form as the Board or Committee may require (the “</w:t>
      </w:r>
      <w:r>
        <w:rPr>
          <w:b/>
        </w:rPr>
        <w:t>Restrictions Agreement</w:t>
      </w:r>
      <w:r>
        <w:rPr>
          <w:b/>
        </w:rPr>
        <w:fldChar w:fldCharType="begin"/>
      </w:r>
      <w:r>
        <w:instrText xml:space="preserve"> XE "Restrictions Agreement" </w:instrText>
      </w:r>
      <w:r>
        <w:rPr>
          <w:b/>
        </w:rPr>
        <w:fldChar w:fldCharType="end"/>
      </w:r>
      <w:r>
        <w:t>”), and/or such other Stockholders Agreements (as defined in the Plan) as the Board or Committee may require.</w:t>
      </w:r>
    </w:p>
    <w:p w14:paraId="6202FF69" w14:textId="77777777" w:rsidR="009A374E" w:rsidRDefault="00134770">
      <w:pPr>
        <w:pStyle w:val="NOINDENTS"/>
      </w:pPr>
      <w:r>
        <w:rPr>
          <w:b/>
        </w:rPr>
        <w:t>F.</w:t>
      </w:r>
      <w:r>
        <w:tab/>
      </w:r>
      <w:r>
        <w:rPr>
          <w:b/>
          <w:bCs/>
        </w:rPr>
        <w:t>COVENANTS AGREEMENT/COMPANY POLICY</w:t>
      </w:r>
      <w:r>
        <w:t xml:space="preserve">.  This Option shall be forfeited, </w:t>
      </w:r>
      <w:proofErr w:type="spellStart"/>
      <w:r>
        <w:t>nonexercisable</w:t>
      </w:r>
      <w:proofErr w:type="spellEnd"/>
      <w:r>
        <w:t xml:space="preserve"> and of no force or effect in the event that the Optionee (i) breaches any agreement between the Optionee and the Company with respect to non-competition, non-solicitation, non-disparagement, assignment of inventions and contributions and/or non-disclosure obligations of the Optionee or (ii) materially violates any agreement between Optionee and the Company or its Affiliates or any Company policy previously provided or made available to Optionee, including, without limitation, any policy related to workplace conduct, and behavior, sexual harassment or discrimination.</w:t>
      </w:r>
    </w:p>
    <w:p w14:paraId="280D469F" w14:textId="77777777" w:rsidR="009A374E" w:rsidRDefault="00134770">
      <w:pPr>
        <w:pStyle w:val="NOINDENTS"/>
      </w:pPr>
      <w:r>
        <w:rPr>
          <w:rFonts w:ascii="Times New Roman Bold" w:hAnsi="Times New Roman Bold"/>
          <w:b/>
          <w:caps/>
        </w:rPr>
        <w:t>G.</w:t>
      </w:r>
      <w:r>
        <w:rPr>
          <w:rFonts w:ascii="Times New Roman Bold" w:hAnsi="Times New Roman Bold"/>
          <w:b/>
          <w:caps/>
        </w:rPr>
        <w:tab/>
        <w:t>Plan Covenants.</w:t>
      </w:r>
      <w:r>
        <w:t xml:space="preserve">  If exercised, Optionee and all Exercised Shares shall be subject to certain terms and provisions of the Plan only applicable to Shares (as opposed to Options) and holders of Shares, including but not limited to: the drag-along, voting agreement, proxy and power of attorney contained in Section 11 of the Plan, market stand-off provision contained in Section 12 of the Plan and right of first refusal contained in Section 13 of the Plan.  Sections 11 and 13 of the Plan shall lapse upon the occurrence of an initial public offering of the Company. </w:t>
      </w:r>
    </w:p>
    <w:p w14:paraId="205B15AF" w14:textId="77777777" w:rsidR="009A374E" w:rsidRDefault="00134770">
      <w:pPr>
        <w:pStyle w:val="NOINDENTS"/>
      </w:pPr>
      <w:r>
        <w:rPr>
          <w:b/>
          <w:bCs/>
        </w:rPr>
        <w:t>H.</w:t>
      </w:r>
      <w:r>
        <w:rPr>
          <w:bCs/>
        </w:rPr>
        <w:tab/>
      </w:r>
      <w:r>
        <w:rPr>
          <w:b/>
          <w:bCs/>
        </w:rPr>
        <w:t>METHOD OF EXERCISE</w:t>
      </w:r>
      <w:r>
        <w:t xml:space="preserve">.  This Option is exercisable by delivery of an exercise notice in the form attached as </w:t>
      </w:r>
      <w:r>
        <w:rPr>
          <w:u w:val="single"/>
        </w:rPr>
        <w:fldChar w:fldCharType="begin"/>
      </w:r>
      <w:r>
        <w:rPr>
          <w:u w:val="single"/>
        </w:rPr>
        <w:instrText xml:space="preserve"> REF  _Ref34376416 \* Caps \h \r </w:instrText>
      </w:r>
      <w:r>
        <w:rPr>
          <w:u w:val="single"/>
        </w:rPr>
      </w:r>
      <w:r>
        <w:rPr>
          <w:u w:val="single"/>
        </w:rPr>
        <w:fldChar w:fldCharType="separate"/>
      </w:r>
      <w:r>
        <w:rPr>
          <w:u w:val="single"/>
        </w:rPr>
        <w:t>Exhibit A</w:t>
      </w:r>
      <w:r>
        <w:rPr>
          <w:u w:val="single"/>
        </w:rPr>
        <w:fldChar w:fldCharType="end"/>
      </w:r>
      <w:r>
        <w:t xml:space="preserve"> (the “</w:t>
      </w:r>
      <w:r>
        <w:rPr>
          <w:b/>
        </w:rPr>
        <w:t>Exercise Notice</w:t>
      </w:r>
      <w:r>
        <w:rPr>
          <w:b/>
        </w:rPr>
        <w:fldChar w:fldCharType="begin"/>
      </w:r>
      <w:r>
        <w:instrText xml:space="preserve"> XE "Exercise Notice" </w:instrText>
      </w:r>
      <w:r>
        <w:rPr>
          <w:b/>
        </w:rPr>
        <w:fldChar w:fldCharType="end"/>
      </w:r>
      <w:r>
        <w:t>”) or such other form as the Committee may require, which shall state the election to exercise the Option, the number of Shares with respect to which the Option is being exercised (the “</w:t>
      </w:r>
      <w:r>
        <w:rPr>
          <w:b/>
        </w:rPr>
        <w:t>Exercised Shares</w:t>
      </w:r>
      <w:r>
        <w:rPr>
          <w:b/>
        </w:rPr>
        <w:fldChar w:fldCharType="begin"/>
      </w:r>
      <w:r>
        <w:instrText xml:space="preserve"> XE "Exercised Shares" </w:instrText>
      </w:r>
      <w:r>
        <w:rPr>
          <w:b/>
        </w:rPr>
        <w:fldChar w:fldCharType="end"/>
      </w:r>
      <w:r>
        <w:t xml:space="preserve">”), and such other representations and agreements as may be required by the Company pursuant to the provisions of the Plan.  The Exercise Notice shall be completed by the Optionee and delivered to the Committee.  The Exercise Notice shall be accompanied by payment of the aggregate Exercise Price for the Exercised Shares.  This Option shall be deemed to be exercised upon receipt by the Company of the fully executed Exercise Notice accompanied by the aggregate Exercise Price.  Notwithstanding the foregoing, no Exercised Shares shall be issued unless such exercise and issuance complies with the requirements relating to the administration of stock option plans and other applicable equity plans under U.S. state corporate laws, U.S. federal and state securities laws, the Code, any stock exchange or quotation system on which the Common Stock is listed or quoted, and the applicable laws of any foreign country or jurisdiction where stock grants or other applicable equity grants are made under the Plan; assuming such compliance, for income tax purposes the Exercised </w:t>
      </w:r>
      <w:bookmarkStart w:id="4" w:name="ElPgBr5"/>
      <w:bookmarkEnd w:id="4"/>
      <w:r>
        <w:t xml:space="preserve">Shares shall be considered transferred to the Optionee on the date the Option is exercised with respect to such Shares.  </w:t>
      </w:r>
    </w:p>
    <w:p w14:paraId="615B9ED5" w14:textId="77777777" w:rsidR="009A374E" w:rsidRDefault="00134770">
      <w:pPr>
        <w:pStyle w:val="NOINDENTS"/>
      </w:pPr>
      <w:r>
        <w:rPr>
          <w:b/>
        </w:rPr>
        <w:t>I.</w:t>
      </w:r>
      <w:r>
        <w:tab/>
      </w:r>
      <w:r>
        <w:rPr>
          <w:b/>
          <w:bCs/>
        </w:rPr>
        <w:t>METHOD OF PAYMENT</w:t>
      </w:r>
      <w:r>
        <w:t xml:space="preserve">.  Payment of the aggregate Exercise Price shall be by any of the following, or a combination thereof: </w:t>
      </w:r>
    </w:p>
    <w:p w14:paraId="12E93D6E" w14:textId="77777777" w:rsidR="009A374E" w:rsidRDefault="00134770">
      <w:pPr>
        <w:pStyle w:val="LSBlockQuote"/>
      </w:pPr>
      <w:r>
        <w:lastRenderedPageBreak/>
        <w:t xml:space="preserve">1. </w:t>
      </w:r>
      <w:r>
        <w:tab/>
      </w:r>
      <w:proofErr w:type="gramStart"/>
      <w:r>
        <w:t>cash;</w:t>
      </w:r>
      <w:proofErr w:type="gramEnd"/>
    </w:p>
    <w:p w14:paraId="18E65598" w14:textId="77777777" w:rsidR="009A374E" w:rsidRDefault="00134770">
      <w:pPr>
        <w:pStyle w:val="LSBlockQuote"/>
      </w:pPr>
      <w:r>
        <w:t xml:space="preserve">2. </w:t>
      </w:r>
      <w:r>
        <w:tab/>
        <w:t>certified or bank check; or</w:t>
      </w:r>
    </w:p>
    <w:p w14:paraId="576E5746" w14:textId="77777777" w:rsidR="009A374E" w:rsidRDefault="00134770">
      <w:pPr>
        <w:pStyle w:val="LSBlockQuote"/>
      </w:pPr>
      <w:r>
        <w:t>3.</w:t>
      </w:r>
      <w:r>
        <w:tab/>
        <w:t>such other form of consideration and/or pursuant to such method as the Committee shall determine in its sole and absolute discretion, provided that such form of consideration and/or method is permitted by Section 5(b)(v) of the Plan and by applicable law.</w:t>
      </w:r>
    </w:p>
    <w:p w14:paraId="3F16F4F7" w14:textId="77777777" w:rsidR="009A374E" w:rsidRDefault="00134770">
      <w:pPr>
        <w:pStyle w:val="NOINDENTS"/>
      </w:pPr>
      <w:r>
        <w:t>Upon exercise of the Option by the Optionee and prior to the delivery of such Exercised Shares, the Company shall have the right to require the Optionee to remit to the Company cash in an amount sufficient to satisfy applicable Federal and state tax withholding requirements (or to make such other provision for such tax withholding requirements permitted by the Plan and by applicable law).</w:t>
      </w:r>
    </w:p>
    <w:p w14:paraId="6EC08E14" w14:textId="77777777" w:rsidR="009A374E" w:rsidRDefault="00134770">
      <w:pPr>
        <w:pStyle w:val="NOINDENTS"/>
        <w:rPr>
          <w:b/>
          <w:bCs/>
        </w:rPr>
      </w:pPr>
      <w:r>
        <w:rPr>
          <w:b/>
        </w:rPr>
        <w:t>J.</w:t>
      </w:r>
      <w:r>
        <w:tab/>
      </w:r>
      <w:r>
        <w:rPr>
          <w:b/>
          <w:bCs/>
        </w:rPr>
        <w:t>TAX CONSEQUENCES OF OPTION</w:t>
      </w:r>
      <w:r>
        <w:t xml:space="preserve">.  Some of the federal income tax consequences relating to the grant and exercise of this Option, as of the date of this Option, are set forth below. </w:t>
      </w:r>
      <w:r>
        <w:rPr>
          <w:b/>
          <w:bCs/>
        </w:rPr>
        <w:t>THE FOLLOWING DESCRIPTION OF FEDERAL INCOME TAX CONSEQUENCES IS NECESSARILY INCOMPLETE (AS THE TAX LAWS AND REGULATIONS ARE SUBJECT TO CHANGE</w:t>
      </w:r>
      <w:proofErr w:type="gramStart"/>
      <w:r>
        <w:rPr>
          <w:b/>
          <w:bCs/>
        </w:rPr>
        <w:t>), AND</w:t>
      </w:r>
      <w:proofErr w:type="gramEnd"/>
      <w:r>
        <w:rPr>
          <w:b/>
          <w:bCs/>
        </w:rPr>
        <w:t xml:space="preserve"> ASSUMES THAT THE EXERCISE PRICE OF THIS OPTION IS NO LESS THAN THE FAIR MARKET VALUE OF THE COMMON STOCK UNDERLYING THE OPTION AT THE DATE OF GRANT.  MOREOVER, THIS SUMMARY ONLY ADDRESSES THE FEDERAL INCOME TAX CONSEQUENCES UNDER THE LAWS OF THE UNITED </w:t>
      </w:r>
      <w:proofErr w:type="gramStart"/>
      <w:r>
        <w:rPr>
          <w:b/>
          <w:bCs/>
        </w:rPr>
        <w:t>STATES, AND</w:t>
      </w:r>
      <w:proofErr w:type="gramEnd"/>
      <w:r>
        <w:rPr>
          <w:b/>
          <w:bCs/>
        </w:rPr>
        <w:t xml:space="preserve"> DOES NOT ADDRESS WHETHER AND HOW THE TAX LAWS OF ANY OTHER JURISDICTION MAY APPLY TO THIS OPTION OR TO THE OPTIONEE.  ACCORDINGLY, THE OPTIONEE SHOULD CONSULT A TAX ADVISER BEFORE EXERCISING THIS OPTION OR DISPOSING OF ANY EXERCISED SHARES.  </w:t>
      </w:r>
    </w:p>
    <w:p w14:paraId="6C179A1C" w14:textId="77777777" w:rsidR="009A374E" w:rsidRDefault="00134770">
      <w:pPr>
        <w:pStyle w:val="LS1SGL"/>
      </w:pPr>
      <w:r>
        <w:t>1.</w:t>
      </w:r>
      <w:r>
        <w:tab/>
      </w:r>
      <w:r>
        <w:rPr>
          <w:iCs/>
          <w:u w:val="single"/>
        </w:rPr>
        <w:t>Grant of the Option</w:t>
      </w:r>
      <w:r>
        <w:rPr>
          <w:iCs/>
        </w:rPr>
        <w:t>.</w:t>
      </w:r>
      <w:r>
        <w:t xml:space="preserve">  The grant of an Option generally will not result in the imposition of a tax under the federal income tax laws. </w:t>
      </w:r>
    </w:p>
    <w:p w14:paraId="60802652" w14:textId="77777777" w:rsidR="009A374E" w:rsidRDefault="00134770">
      <w:pPr>
        <w:pStyle w:val="LS1SGL"/>
        <w:keepNext/>
      </w:pPr>
      <w:r>
        <w:t>2.</w:t>
      </w:r>
      <w:r>
        <w:tab/>
      </w:r>
      <w:r>
        <w:rPr>
          <w:u w:val="single"/>
        </w:rPr>
        <w:t>Exercising the Option</w:t>
      </w:r>
      <w:r>
        <w:t>.</w:t>
      </w:r>
    </w:p>
    <w:p w14:paraId="2F4B0543" w14:textId="77777777" w:rsidR="009A374E" w:rsidRDefault="00134770">
      <w:pPr>
        <w:pStyle w:val="LSBlockQuote"/>
      </w:pPr>
      <w:r>
        <w:t>(a)</w:t>
      </w:r>
      <w:r>
        <w:tab/>
      </w:r>
      <w:r>
        <w:rPr>
          <w:i/>
        </w:rPr>
        <w:t>Non-Qualified Stock Option</w:t>
      </w:r>
      <w:r>
        <w:t xml:space="preserve">.  The Optionee may incur regular federal income tax liability upon exercise of an NSO.  The Optionee will be treated as having received compensation income (taxable at ordinary income tax rates) equal to the excess, if any, of the Fair Market Value of the Exercised Shares on the date of exercise over their aggregate Exercise Price.  If the Optionee is an employee or a former employee, the Company will be required to withhold from his or her compensation or collect from the Optionee and pay to the applicable taxing authorities an </w:t>
      </w:r>
      <w:bookmarkStart w:id="5" w:name="ElPgBr6"/>
      <w:bookmarkEnd w:id="5"/>
      <w:r>
        <w:t xml:space="preserve">amount in cash equal to a specified percentage of this compensation income at the time of exercise, and may refuse to honor the exercise and refuse to deliver Shares if such withholding amounts are not delivered at the time of exercise. </w:t>
      </w:r>
    </w:p>
    <w:p w14:paraId="6C159D46" w14:textId="77777777" w:rsidR="009A374E" w:rsidRDefault="00134770">
      <w:pPr>
        <w:pStyle w:val="LSBlockQuote"/>
      </w:pPr>
      <w:r>
        <w:t>(b)</w:t>
      </w:r>
      <w:r>
        <w:tab/>
      </w:r>
      <w:r>
        <w:rPr>
          <w:i/>
        </w:rPr>
        <w:t>Incentive Stock Option</w:t>
      </w:r>
      <w:r>
        <w:t xml:space="preserve">.  If this Option qualifies as an ISO, the Optionee will have no regular federal income tax liability upon its exercise, although the </w:t>
      </w:r>
      <w:r>
        <w:lastRenderedPageBreak/>
        <w:t>excess, if any, of the Fair Market Value of the Exercised Shares on the date of exercise over their aggregate Exercise Price will be treated as an adjustment to alternative minimum taxable income for federal tax purposes and may subject the Optionee to alternative minimum tax in the year of exercise.  In the event that the Optionee ceases to be an employee but remains a Service Provider, any Incentive Stock Option of the Optionee that remains unexercised shall cease to qualify as an Incentive Stock Option and will be treated for tax purposes as a Non-Qualified Stock Option on the date three (3) months and one (1) day following such change of status.</w:t>
      </w:r>
    </w:p>
    <w:p w14:paraId="143F80A4" w14:textId="77777777" w:rsidR="009A374E" w:rsidRDefault="00134770">
      <w:pPr>
        <w:pStyle w:val="LS1SGL"/>
        <w:keepNext/>
      </w:pPr>
      <w:r>
        <w:t>3.</w:t>
      </w:r>
      <w:r>
        <w:tab/>
      </w:r>
      <w:r>
        <w:rPr>
          <w:u w:val="single"/>
        </w:rPr>
        <w:t>Disposition of Shares</w:t>
      </w:r>
      <w:r>
        <w:t xml:space="preserve">.  </w:t>
      </w:r>
    </w:p>
    <w:p w14:paraId="6336D0F1" w14:textId="77777777" w:rsidR="009A374E" w:rsidRDefault="00134770">
      <w:pPr>
        <w:pStyle w:val="LSBlockQuote"/>
      </w:pPr>
      <w:r>
        <w:t>(a)</w:t>
      </w:r>
      <w:r>
        <w:tab/>
      </w:r>
      <w:r>
        <w:rPr>
          <w:i/>
        </w:rPr>
        <w:t>NSO</w:t>
      </w:r>
      <w:r>
        <w:t xml:space="preserve">.  Upon disposition of the NSO Shares, the Optionee will recognize a capital gain or loss equal to the difference between the selling price and the sum of the amount paid for the NSO Shares plus any amount recognized as ordinary income upon exercise of the NSO.  If the Optionee holds NSO Shares for at least one year, any gain (or loss) realized on disposition of the NSO Shares will be treated as long-term capital gain (or loss) for federal income tax purposes. </w:t>
      </w:r>
    </w:p>
    <w:p w14:paraId="48FAA4B0" w14:textId="77777777" w:rsidR="009A374E" w:rsidRDefault="00134770">
      <w:pPr>
        <w:pStyle w:val="LSBlockQuote"/>
      </w:pPr>
      <w:r>
        <w:t>(b)</w:t>
      </w:r>
      <w:r>
        <w:tab/>
      </w:r>
      <w:r>
        <w:rPr>
          <w:i/>
        </w:rPr>
        <w:t>ISO</w:t>
      </w:r>
      <w:r>
        <w:t xml:space="preserve">.  If the Optionee holds ISO Shares for more than one year after exercise and two years after the grant date, any gain realized on disposition of the Shares will be treated as long-term capital gain for federal income tax purposes.  If the Optionee disposes of ISO Shares within one year after exercise or within two years after the grant date, any gain realized on such disposition will be treated as compensation income (taxable at ordinary income rates) to the extent of the excess, if any, of the lesser of (A) the difference between the Fair Market Value of the Shares acquired on the date of exercise and the aggregate Exercise Price, or (B) the difference between the sale price of such Shares and the aggregate Exercise Price.  Any additional gain will be taxed as capital gain, short-term or long-term depending on the period that the ISO Shares were held. </w:t>
      </w:r>
    </w:p>
    <w:p w14:paraId="528CC66F" w14:textId="77777777" w:rsidR="009A374E" w:rsidRDefault="00134770">
      <w:pPr>
        <w:pStyle w:val="LSBlockQuote"/>
      </w:pPr>
      <w:r>
        <w:t>(c)</w:t>
      </w:r>
      <w:r>
        <w:tab/>
      </w:r>
      <w:r>
        <w:rPr>
          <w:i/>
        </w:rPr>
        <w:t>Notice of Disqualifying Disposition of ISO Shares</w:t>
      </w:r>
      <w:r>
        <w:t xml:space="preserve">.  If the Optionee sells or otherwise disposes of any of the Shares acquired pursuant to an ISO on or before the later of (i) two years after the grant date, or (ii) one year after the exercise date, the Optionee shall promptly notify the Company in writing of such disposition.  </w:t>
      </w:r>
    </w:p>
    <w:p w14:paraId="7DA569A3" w14:textId="77777777" w:rsidR="009A374E" w:rsidRDefault="00134770">
      <w:pPr>
        <w:pStyle w:val="NOINDENTS"/>
        <w:rPr>
          <w:b/>
          <w:bCs/>
        </w:rPr>
      </w:pPr>
      <w:r>
        <w:rPr>
          <w:b/>
        </w:rPr>
        <w:t>K.</w:t>
      </w:r>
      <w:r>
        <w:tab/>
      </w:r>
      <w:r>
        <w:rPr>
          <w:b/>
          <w:bCs/>
        </w:rPr>
        <w:t>NON-TRANSFERABILITY OF OPTION</w:t>
      </w:r>
      <w:r>
        <w:t>.  This Option (including, without limitation, any economic right therein or related thereto) may not be transferred in any manner otherwise than by will or by the laws of descent or distribution and may be exercised during the lifetime of the Optionee only by the Optionee</w:t>
      </w:r>
      <w:r>
        <w:rPr>
          <w:rFonts w:eastAsia="Times New Roman"/>
          <w:szCs w:val="24"/>
        </w:rPr>
        <w:t xml:space="preserve"> </w:t>
      </w:r>
      <w:r>
        <w:t>or, in the event of his or her Disability, by his or her personal representative.  The terms of the Plan and this Grant Agreement shall be binding upon the executors, administrators, heirs, successors and assigns of the Optionee.</w:t>
      </w:r>
    </w:p>
    <w:p w14:paraId="4DD27FD6" w14:textId="77777777" w:rsidR="009A374E" w:rsidRDefault="00134770">
      <w:pPr>
        <w:pStyle w:val="NOINDENTS"/>
      </w:pPr>
      <w:r>
        <w:rPr>
          <w:b/>
        </w:rPr>
        <w:lastRenderedPageBreak/>
        <w:t>L.</w:t>
      </w:r>
      <w:r>
        <w:tab/>
      </w:r>
      <w:r>
        <w:rPr>
          <w:b/>
          <w:bCs/>
        </w:rPr>
        <w:t>SECURITIES MATTERS</w:t>
      </w:r>
      <w:r>
        <w:t>.  All Shares and Exercised Shares shall be subject to the restrictions on sale, encumbrance and other disposition provided by Federal or state law.  The Company shall not be obligated to sell or issue any Shares or Exercised Shares pursuant to this Grant Agreement unless, on the date of sale and issuance thereof, such Shares are either registered under the Securities Act of 1933, as amended, and all applicable state securities laws, or are exempt from registration thereunder. The Shares and Exercised Shares may be subject to transferability restrictions and other encumbrances pursuant to the Company’s bylaws, the Restrictions Agreement and Stockholders Agreements, as applicable.</w:t>
      </w:r>
    </w:p>
    <w:p w14:paraId="1F7F04B1" w14:textId="77777777" w:rsidR="009A374E" w:rsidRDefault="00134770">
      <w:pPr>
        <w:pStyle w:val="NOINDENTS"/>
      </w:pPr>
      <w:r>
        <w:rPr>
          <w:b/>
        </w:rPr>
        <w:t>M.</w:t>
      </w:r>
      <w:r>
        <w:tab/>
      </w:r>
      <w:r>
        <w:rPr>
          <w:b/>
          <w:bCs/>
        </w:rPr>
        <w:t>OTHER PLANS</w:t>
      </w:r>
      <w:r>
        <w:t>.</w:t>
      </w:r>
      <w:r>
        <w:rPr>
          <w:b/>
        </w:rPr>
        <w:t xml:space="preserve">  </w:t>
      </w:r>
      <w:r>
        <w:t>No amounts of income received by the Optionee pursuant to this Grant Agreement shall be considered compensation for purposes of any pension or retirement plan, insurance plan or any other employee benefit plan of the Company or its subsidiaries, unless otherwise provided in such plan.</w:t>
      </w:r>
    </w:p>
    <w:p w14:paraId="66E3CCDF" w14:textId="77777777" w:rsidR="009A374E" w:rsidRDefault="00134770">
      <w:pPr>
        <w:pStyle w:val="NOINDENTS"/>
        <w:rPr>
          <w:b/>
        </w:rPr>
      </w:pPr>
      <w:r>
        <w:rPr>
          <w:b/>
        </w:rPr>
        <w:t>N.</w:t>
      </w:r>
      <w:r>
        <w:rPr>
          <w:b/>
        </w:rPr>
        <w:tab/>
        <w:t>NO GUARANTEE OF CONTINUED SERVICE.  THE OPTIONEE ACKNOWLEDGES AND AGREES THAT THE RIGHT TO EXERCISE SHARES PURSUANT TO THE EXERCISE SCHEDULE HEREOF IS EARNED ONLY BY CONTINUING EMPLOYMENT OR SERVICE WITH THE COMPANY (AND NOT THROUGH THE ACT OF BEING HIRED, BEING GRANTED AN OPTION OR PURCHASING SHARES HEREUNDER). THE OPTIONEE FURTHER ACKNOWLEDGES AND AGREES THAT THIS GRANT AGREEMENT, THE TRANSACTIONS CONTEMPLATED HEREUNDER AND THE EXERCISE SCHEDULE SET FORTH HEREIN DO NOT CONSTITUTE AN EXPRESS OR IMPLIED PROMISE OF CONTINUED EMPLOYMENT OR SERVICE FOR THE EXERCISE PERIOD, FOR ANY PERIOD, OR AT ALL, AND SHALL NOT INTERFERE WITH THE OPTIONEE’S RIGHT OR THE COMPANY’S RIGHT TO TERMINATE THE EMPLOYMENT OR SERVICE RELATIONSHIP AT ANY TIME, WITH OR WITHOUT CAUSE.</w:t>
      </w:r>
    </w:p>
    <w:p w14:paraId="4C37674B" w14:textId="77777777" w:rsidR="009A374E" w:rsidRDefault="00134770">
      <w:pPr>
        <w:pStyle w:val="NOINDENTS"/>
      </w:pPr>
      <w:r>
        <w:rPr>
          <w:b/>
        </w:rPr>
        <w:t>O.</w:t>
      </w:r>
      <w:r>
        <w:tab/>
      </w:r>
      <w:r>
        <w:rPr>
          <w:b/>
          <w:bCs/>
        </w:rPr>
        <w:t>ENTIRE AGREEMENT; GOVERNING LAW</w:t>
      </w:r>
      <w:r>
        <w:t>.  The Plan is incorporated herein by reference.  The Plan, this Grant Agreement and the Grant Notice constitute the entire agreement of the parties with respect to the subject matter hereof and supersede in their entirety all prior undertakings and agreements of the Company and the Optionee with respect to the subject matter hereof, and may not be modified adversely to the Optionee’s interest except by means of a writing signed by the Company and Optionee.  This Grant Agreement is governed by the internal substantive laws, but not the choice of law rules, of the State of Delaware.</w:t>
      </w:r>
    </w:p>
    <w:p w14:paraId="201E1CA3" w14:textId="77777777" w:rsidR="009A374E" w:rsidRDefault="009A374E">
      <w:pPr>
        <w:sectPr w:rsidR="009A374E">
          <w:pgSz w:w="12240" w:h="15840"/>
          <w:pgMar w:top="1440" w:right="1440" w:bottom="1440" w:left="1440" w:header="720" w:footer="720" w:gutter="0"/>
          <w:cols w:space="720"/>
          <w:titlePg/>
          <w:docGrid w:linePitch="360"/>
        </w:sectPr>
      </w:pPr>
    </w:p>
    <w:p w14:paraId="3E3D614C" w14:textId="77777777" w:rsidR="009A374E" w:rsidRDefault="009A374E">
      <w:pPr>
        <w:pStyle w:val="Heading1"/>
      </w:pPr>
      <w:bookmarkStart w:id="6" w:name="ElPgBr8"/>
      <w:bookmarkStart w:id="7" w:name="_Ref34376416"/>
      <w:bookmarkEnd w:id="6"/>
    </w:p>
    <w:bookmarkEnd w:id="7"/>
    <w:p w14:paraId="53CA7068" w14:textId="0E4966CE" w:rsidR="009A374E" w:rsidRDefault="007551A3">
      <w:pPr>
        <w:pStyle w:val="LSTitle2"/>
      </w:pPr>
      <w:r>
        <w:t>SENTRAIS, INC</w:t>
      </w:r>
      <w:r w:rsidR="002918B8" w:rsidRPr="002918B8">
        <w:t xml:space="preserve">. </w:t>
      </w:r>
      <w:r w:rsidR="00134770">
        <w:br/>
      </w:r>
      <w:r>
        <w:rPr>
          <w:rFonts w:ascii="Times New Roman Bold" w:hAnsi="Times New Roman Bold"/>
          <w:bCs/>
          <w:caps/>
        </w:rPr>
        <w:t>2026</w:t>
      </w:r>
      <w:r w:rsidR="00134770">
        <w:rPr>
          <w:bCs/>
        </w:rPr>
        <w:t xml:space="preserve"> EQUITY INCENTIVE PLAN</w:t>
      </w:r>
      <w:r w:rsidR="00134770">
        <w:rPr>
          <w:bCs/>
        </w:rPr>
        <w:br/>
      </w:r>
      <w:r w:rsidR="00134770">
        <w:t>NOTICE OF EXERCISE</w:t>
      </w:r>
    </w:p>
    <w:p w14:paraId="184730C8" w14:textId="77777777" w:rsidR="009A374E" w:rsidRDefault="009A374E">
      <w:pPr>
        <w:pStyle w:val="Style"/>
        <w:widowControl/>
        <w:jc w:val="both"/>
        <w:rPr>
          <w:sz w:val="24"/>
        </w:rPr>
      </w:pPr>
    </w:p>
    <w:p w14:paraId="7E272AD1" w14:textId="77777777" w:rsidR="009A374E" w:rsidRDefault="009A374E">
      <w:pPr>
        <w:pStyle w:val="Style"/>
        <w:widowControl/>
        <w:jc w:val="both"/>
        <w:rPr>
          <w:sz w:val="24"/>
        </w:rPr>
      </w:pPr>
    </w:p>
    <w:p w14:paraId="33A1004F" w14:textId="30C4853E" w:rsidR="002918B8" w:rsidRDefault="007551A3">
      <w:pPr>
        <w:pStyle w:val="NOINDENTS"/>
        <w:rPr>
          <w:rFonts w:ascii="Times New Roman Bold" w:hAnsi="Times New Roman Bold"/>
          <w:caps/>
        </w:rPr>
      </w:pPr>
      <w:r>
        <w:rPr>
          <w:rFonts w:ascii="Times New Roman Bold" w:hAnsi="Times New Roman Bold"/>
          <w:caps/>
        </w:rPr>
        <w:t>Sentrais, Inc</w:t>
      </w:r>
      <w:r w:rsidR="00134770" w:rsidRPr="00134770">
        <w:rPr>
          <w:rFonts w:ascii="Times New Roman Bold" w:hAnsi="Times New Roman Bold"/>
          <w:caps/>
        </w:rPr>
        <w:t>.</w:t>
      </w:r>
      <w:r w:rsidR="002918B8" w:rsidRPr="002918B8">
        <w:rPr>
          <w:rFonts w:ascii="Times New Roman Bold" w:hAnsi="Times New Roman Bold"/>
          <w:caps/>
        </w:rPr>
        <w:t xml:space="preserve"> </w:t>
      </w:r>
    </w:p>
    <w:p w14:paraId="5795D04A" w14:textId="75435857" w:rsidR="009A374E" w:rsidRDefault="00134770">
      <w:pPr>
        <w:pStyle w:val="NOINDENTS"/>
      </w:pPr>
      <w:r>
        <w:t>Attention</w:t>
      </w:r>
      <w:proofErr w:type="gramStart"/>
      <w:r>
        <w:t>:  [</w:t>
      </w:r>
      <w:proofErr w:type="gramEnd"/>
      <w:r>
        <w:t>Corporate Secretary]</w:t>
      </w:r>
    </w:p>
    <w:p w14:paraId="29647FC0" w14:textId="75B595A4" w:rsidR="009A374E" w:rsidRDefault="00134770">
      <w:pPr>
        <w:pStyle w:val="NOINDENTS"/>
      </w:pPr>
      <w:r>
        <w:t>1.</w:t>
      </w:r>
      <w:r>
        <w:tab/>
      </w:r>
      <w:r>
        <w:rPr>
          <w:b/>
        </w:rPr>
        <w:t>Exercise of Option</w:t>
      </w:r>
      <w:r>
        <w:t>.  Effective as of today, ________________, 20__, the undersigned (“</w:t>
      </w:r>
      <w:r>
        <w:rPr>
          <w:b/>
        </w:rPr>
        <w:t>Purchaser</w:t>
      </w:r>
      <w:r>
        <w:rPr>
          <w:b/>
        </w:rPr>
        <w:fldChar w:fldCharType="begin"/>
      </w:r>
      <w:r>
        <w:instrText xml:space="preserve"> XE "Purchaser" </w:instrText>
      </w:r>
      <w:r>
        <w:rPr>
          <w:b/>
        </w:rPr>
        <w:fldChar w:fldCharType="end"/>
      </w:r>
      <w:r>
        <w:t>”) hereby elects to purchase ______________ shares (the “</w:t>
      </w:r>
      <w:r>
        <w:rPr>
          <w:b/>
        </w:rPr>
        <w:t>Shares</w:t>
      </w:r>
      <w:r>
        <w:rPr>
          <w:b/>
        </w:rPr>
        <w:fldChar w:fldCharType="begin"/>
      </w:r>
      <w:r>
        <w:instrText xml:space="preserve"> XE "Shares" </w:instrText>
      </w:r>
      <w:r>
        <w:rPr>
          <w:b/>
        </w:rPr>
        <w:fldChar w:fldCharType="end"/>
      </w:r>
      <w:r>
        <w:t xml:space="preserve">”) of the Common Stock of </w:t>
      </w:r>
      <w:r w:rsidR="007551A3">
        <w:t>Sentrais, Inc</w:t>
      </w:r>
      <w:r w:rsidRPr="00134770">
        <w:t>.</w:t>
      </w:r>
      <w:r>
        <w:t xml:space="preserve"> (the “</w:t>
      </w:r>
      <w:r>
        <w:rPr>
          <w:b/>
        </w:rPr>
        <w:t>Company</w:t>
      </w:r>
      <w:r>
        <w:rPr>
          <w:b/>
        </w:rPr>
        <w:fldChar w:fldCharType="begin"/>
      </w:r>
      <w:r>
        <w:instrText xml:space="preserve"> XE "Company" </w:instrText>
      </w:r>
      <w:r>
        <w:rPr>
          <w:b/>
        </w:rPr>
        <w:fldChar w:fldCharType="end"/>
      </w:r>
      <w:r>
        <w:t xml:space="preserve">”) under and pursuant to the </w:t>
      </w:r>
      <w:r w:rsidR="007551A3">
        <w:t>Sentrais, Inc</w:t>
      </w:r>
      <w:r w:rsidRPr="00134770">
        <w:t>.</w:t>
      </w:r>
      <w:r>
        <w:t xml:space="preserve"> </w:t>
      </w:r>
      <w:r w:rsidR="007551A3">
        <w:t>2026</w:t>
      </w:r>
      <w:r>
        <w:t xml:space="preserve"> Equity Incentive Plan (the “</w:t>
      </w:r>
      <w:r>
        <w:rPr>
          <w:b/>
        </w:rPr>
        <w:t>Plan</w:t>
      </w:r>
      <w:r>
        <w:rPr>
          <w:b/>
        </w:rPr>
        <w:fldChar w:fldCharType="begin"/>
      </w:r>
      <w:r>
        <w:instrText xml:space="preserve"> XE "Plan" </w:instrText>
      </w:r>
      <w:r>
        <w:rPr>
          <w:b/>
        </w:rPr>
        <w:fldChar w:fldCharType="end"/>
      </w:r>
      <w:r>
        <w:t>”), the Stock Option Grant Notice and the Stock Option Grant Agreement dated _____________ (collectively, the “</w:t>
      </w:r>
      <w:r>
        <w:rPr>
          <w:b/>
        </w:rPr>
        <w:t>Grant Documents</w:t>
      </w:r>
      <w:bookmarkStart w:id="8" w:name="_Hlk190795423"/>
      <w:r>
        <w:rPr>
          <w:b/>
        </w:rPr>
        <w:fldChar w:fldCharType="begin"/>
      </w:r>
      <w:r>
        <w:instrText xml:space="preserve"> XE "Grant Documents" </w:instrText>
      </w:r>
      <w:r>
        <w:rPr>
          <w:b/>
        </w:rPr>
        <w:fldChar w:fldCharType="end"/>
      </w:r>
      <w:r>
        <w:t xml:space="preserve">”). </w:t>
      </w:r>
      <w:bookmarkEnd w:id="8"/>
      <w:r>
        <w:t xml:space="preserve"> The per share purchase price for the Shares shall be $_____ for an aggregate purchase price of $_____, as required by the Grant Documents.  </w:t>
      </w:r>
      <w:proofErr w:type="gramStart"/>
      <w:r>
        <w:t>All of</w:t>
      </w:r>
      <w:proofErr w:type="gramEnd"/>
      <w:r>
        <w:t xml:space="preserve"> the Shares shall represent Shares acquired by reason of the exercise of [a Non-Qualified Stock Option] [an Incentive Stock Option].</w:t>
      </w:r>
    </w:p>
    <w:p w14:paraId="0F85AC90" w14:textId="77777777" w:rsidR="009A374E" w:rsidRDefault="00134770">
      <w:pPr>
        <w:pStyle w:val="NOINDENTS"/>
        <w:rPr>
          <w:szCs w:val="24"/>
        </w:rPr>
      </w:pPr>
      <w:r>
        <w:t>2.</w:t>
      </w:r>
      <w:r>
        <w:tab/>
      </w:r>
      <w:r>
        <w:rPr>
          <w:b/>
        </w:rPr>
        <w:t>Delivery of Payment, Restrictions Agreement and Stockholders Agreement</w:t>
      </w:r>
      <w:r>
        <w:t>.  Purchaser herewith delivers to the Company the full purchase price for the Shares and the applicable Restrictions Agreement and Stockholders Agreement(s) required by the Board, duly executed by Purchaser. Purchaser acknowledges and agrees that any breach of the terms of the Plan would result in substantial harm to the Company and its stockholders for which monetary damages alone could not adequately compensate.  Therefore, Purchaser unconditionally and irrevocably agrees that the Company shall be entitled to seek protective orders, injunctive relief and other remedies available at law or in equity (including, without limitation, seeking specific performance or the rescission of purchases, sales and other transfers of the Shares not made in strict compliance with the Plan).</w:t>
      </w:r>
    </w:p>
    <w:p w14:paraId="1639D28D" w14:textId="77777777" w:rsidR="009A374E" w:rsidRDefault="00134770">
      <w:pPr>
        <w:pStyle w:val="NOINDENTS"/>
      </w:pPr>
      <w:r>
        <w:t>3.</w:t>
      </w:r>
      <w:r>
        <w:tab/>
      </w:r>
      <w:r>
        <w:rPr>
          <w:b/>
        </w:rPr>
        <w:t>Rights as Stockholder</w:t>
      </w:r>
      <w:r>
        <w:t xml:space="preserve">. Until the issuance (as evidenced by the appropriate entry on the books of the Company or of a duly authorized transfer agent of the Company) of the Shares, no right to vote or receive dividends or any other rights as a stockholder shall exist with respect to the Shares covered by the Option, notwithstanding the exercise of the Option.  The Shares so acquired shall be issued to the Purchaser as soon as practicable after exercise of the Option.  No adjustment will be made for a dividend or other right for which the record date is prior to the date of issuance.  </w:t>
      </w:r>
    </w:p>
    <w:p w14:paraId="434F3494" w14:textId="77777777" w:rsidR="009A374E" w:rsidRDefault="00134770">
      <w:pPr>
        <w:pStyle w:val="NOINDENTS"/>
      </w:pPr>
      <w:r>
        <w:t>4.</w:t>
      </w:r>
      <w:r>
        <w:tab/>
      </w:r>
      <w:r>
        <w:rPr>
          <w:b/>
        </w:rPr>
        <w:t>Tax Consultation</w:t>
      </w:r>
      <w:r>
        <w:t xml:space="preserve">. Purchaser understands that Purchaser may suffer adverse tax consequences </w:t>
      </w:r>
      <w:proofErr w:type="gramStart"/>
      <w:r>
        <w:t>as a result of</w:t>
      </w:r>
      <w:proofErr w:type="gramEnd"/>
      <w:r>
        <w:t xml:space="preserve"> Purchaser’s purchase or disposition of the Shares. Purchaser represents that Purchaser has consulted with any tax consultants Purchaser deems advisable in connection with the purchase or disposition of the Shares and that Purchaser is not relying on the Company for any tax advice. </w:t>
      </w:r>
    </w:p>
    <w:p w14:paraId="50A0E4EF" w14:textId="77777777" w:rsidR="009A374E" w:rsidRDefault="00134770">
      <w:pPr>
        <w:pStyle w:val="NOINDENTS"/>
      </w:pPr>
      <w:r>
        <w:t>5.</w:t>
      </w:r>
      <w:r>
        <w:tab/>
      </w:r>
      <w:r>
        <w:rPr>
          <w:b/>
        </w:rPr>
        <w:t>Investment Representations</w:t>
      </w:r>
      <w:r>
        <w:t>.  Purchaser represents, warrants and covenants as follows:</w:t>
      </w:r>
    </w:p>
    <w:p w14:paraId="477B967E" w14:textId="77777777" w:rsidR="009A374E" w:rsidRDefault="00134770">
      <w:pPr>
        <w:pStyle w:val="LS1SGL"/>
      </w:pPr>
      <w:bookmarkStart w:id="9" w:name="ElPgBr9"/>
      <w:bookmarkEnd w:id="9"/>
      <w:r>
        <w:lastRenderedPageBreak/>
        <w:t>(a)</w:t>
      </w:r>
      <w:r>
        <w:tab/>
        <w:t>Purchaser is purchasing the Shares for the Purchaser’s own account for investment only, and not with a view to, or for sale in connection with, any distribution of the Shares in violation of the Securities Act of 1933, as amended (the “</w:t>
      </w:r>
      <w:r>
        <w:rPr>
          <w:b/>
        </w:rPr>
        <w:t>Securities Act</w:t>
      </w:r>
      <w:r>
        <w:rPr>
          <w:b/>
        </w:rPr>
        <w:fldChar w:fldCharType="begin"/>
      </w:r>
      <w:r>
        <w:instrText xml:space="preserve"> XE "Securities Act" </w:instrText>
      </w:r>
      <w:r>
        <w:rPr>
          <w:b/>
        </w:rPr>
        <w:fldChar w:fldCharType="end"/>
      </w:r>
      <w:r>
        <w:t>”), or any rule or regulation under the Securities Act.</w:t>
      </w:r>
    </w:p>
    <w:p w14:paraId="6B49284D" w14:textId="77777777" w:rsidR="009A374E" w:rsidRDefault="00134770">
      <w:pPr>
        <w:pStyle w:val="LS1SGL"/>
      </w:pPr>
      <w:r>
        <w:t>(b)</w:t>
      </w:r>
      <w:r>
        <w:tab/>
        <w:t>Purchaser has had such opportunity as the Purchaser deemed adequate to obtain from representatives of the Company such information as is necessary to permit the Purchaser to evaluate the merits and risks of the Purchaser’s investment in the Company.</w:t>
      </w:r>
    </w:p>
    <w:p w14:paraId="709C0B94" w14:textId="77777777" w:rsidR="009A374E" w:rsidRDefault="00134770">
      <w:pPr>
        <w:pStyle w:val="LS1SGL"/>
      </w:pPr>
      <w:r>
        <w:t>(c)</w:t>
      </w:r>
      <w:r>
        <w:tab/>
        <w:t>Purchaser has sufficient experience in business, financial and investment matters to be able to evaluate the risks involved in the purchase of the Shares and to make an informed investment decision with respect to such purchase.</w:t>
      </w:r>
    </w:p>
    <w:p w14:paraId="2D75257A" w14:textId="77777777" w:rsidR="009A374E" w:rsidRDefault="00134770">
      <w:pPr>
        <w:pStyle w:val="LS1SGL"/>
      </w:pPr>
      <w:r>
        <w:t>(d)</w:t>
      </w:r>
      <w:r>
        <w:tab/>
        <w:t>Purchaser can afford a complete loss of the value of the Shares and is able to bear the economic risk of holding such Shares for an indefinite period.</w:t>
      </w:r>
    </w:p>
    <w:p w14:paraId="022B84C7" w14:textId="77777777" w:rsidR="009A374E" w:rsidRDefault="00134770">
      <w:pPr>
        <w:pStyle w:val="LS1SGL"/>
      </w:pPr>
      <w:r>
        <w:t>(e)</w:t>
      </w:r>
      <w:r>
        <w:tab/>
        <w:t>Purchaser understands that (i) the Shares have not been registered under the Securities Act and are “restricted securities” within the meaning of Rule 144 under the Securities Act; (ii) the Shares cannot be sold, transferred or otherwise disposed of unless they are subsequently registered under the Securities Act or an exemption from registration is then available; (iii) in any event, the exemption from registration under Rule 144 will not be available for at least one year (or, if the Shares were acquired in compliance with Rule 701 of the Securities Act, ninety days after an initial public offering of the Common Stock) and even then will not be available unless a public market then exists for the Common Stock, adequate information concerning the Company is then available to the public, and other terms and conditions of Rule 144 are met; and (iv) there is now no registration statement on file with the Securities and Exchange Commission with respect to any stock of the Company and the Company has no obligation or current intention to register the Shares under the Securities Act.</w:t>
      </w:r>
    </w:p>
    <w:p w14:paraId="5A917665" w14:textId="6AA38FF1" w:rsidR="009A374E" w:rsidRDefault="00134770">
      <w:pPr>
        <w:pStyle w:val="NOINDENTS"/>
      </w:pPr>
      <w:r>
        <w:t>6.</w:t>
      </w:r>
      <w:r>
        <w:tab/>
      </w:r>
      <w:r>
        <w:rPr>
          <w:b/>
        </w:rPr>
        <w:t>Notice</w:t>
      </w:r>
      <w:r>
        <w:t>.  All notices and other communications given or made hereunder shall be in writing and shall be deemed effectively given:  (a) upon personal delivery to the party to be notified, (b) when sent by confirmed electronic mail or facsimile if sent during normal business hours of the recipient, and if not so confirmed, then on the next business day, (c) five (5) days after having been sent by registered or certified mail, return receipt requested, postage prepaid, or (d) one (1) business day after the business day of deposit with a nationally recognized overnight courier, specifying next business day delivery, with written verification of receipt.  Subject to the limitations set forth in Section 232(e) of the General Corporation Law of the state of Delaware (the “</w:t>
      </w:r>
      <w:r>
        <w:rPr>
          <w:b/>
        </w:rPr>
        <w:t>DGCL</w:t>
      </w:r>
      <w:r>
        <w:rPr>
          <w:b/>
        </w:rPr>
        <w:fldChar w:fldCharType="begin"/>
      </w:r>
      <w:r>
        <w:instrText xml:space="preserve"> XE "DGCL" </w:instrText>
      </w:r>
      <w:r>
        <w:rPr>
          <w:b/>
        </w:rPr>
        <w:fldChar w:fldCharType="end"/>
      </w:r>
      <w:r>
        <w:t>”), the Purchaser consents to the delivery of any notice or communications to stockholders given by the Company under this Agreement, the DGCL or the Company’s Certificate of Incorporation or Bylaws by (i) facsimile telecommunication to the facsimile number set forth below (or to any other facsimile number for the Purchaser in the Company’s records), (ii) electronic mail to the electronic mail address set forth below (or to any other electronic mail address for the Purchaser in the Company’s records), (iii) posting on an electronic network together with separate notice to the Purchaser of such specific posting or (iv) any other form of electronic transmission (as defined in the DGCL) directed to the Purchaser. This consent may be revoked by the Purchaser by written notice to the Company (the “</w:t>
      </w:r>
      <w:r>
        <w:rPr>
          <w:b/>
        </w:rPr>
        <w:t>Consent Revocation</w:t>
      </w:r>
      <w:r>
        <w:rPr>
          <w:b/>
        </w:rPr>
        <w:fldChar w:fldCharType="begin"/>
      </w:r>
      <w:r>
        <w:instrText xml:space="preserve"> XE "Consent Revocation" </w:instrText>
      </w:r>
      <w:r>
        <w:rPr>
          <w:b/>
        </w:rPr>
        <w:fldChar w:fldCharType="end"/>
      </w:r>
      <w:r>
        <w:t xml:space="preserve">”) and may be deemed revoked in the circumstances </w:t>
      </w:r>
      <w:bookmarkStart w:id="10" w:name="ElPgBr10"/>
      <w:bookmarkEnd w:id="10"/>
      <w:r>
        <w:t xml:space="preserve">specified in Section 232 of the DGCL.   A copy of the Consent </w:t>
      </w:r>
      <w:r>
        <w:lastRenderedPageBreak/>
        <w:t>Revocation (which shall not constitute notice) shall also be sent to Ed Zimmerman, Esq. at Lowenstein Sandler LLP, 1251 Avenue of the Americas New York, NY 10020.</w:t>
      </w:r>
    </w:p>
    <w:p w14:paraId="1977F210" w14:textId="77777777" w:rsidR="009A374E" w:rsidRDefault="00134770">
      <w:pPr>
        <w:pStyle w:val="NOINDENTS"/>
      </w:pPr>
      <w:r>
        <w:t>7.</w:t>
      </w:r>
      <w:r>
        <w:tab/>
      </w:r>
      <w:r>
        <w:rPr>
          <w:b/>
        </w:rPr>
        <w:t>Entire Agreement; Governing Law</w:t>
      </w:r>
      <w:r>
        <w:t>. The Plan and Grant Documents are incorporated herein by reference.  This Agreement, the Plan and the Grant Documents constitute the entire agreement of the parties with respect to the subject matter hereof and supersede in their entirety all prior undertakings and agreements of the Company and the Purchaser with respect to the subject matter hereof, and may not be modified adversely to the Purchaser’s interest except by means of a writing signed by the Company and Purchaser.  This Agreement will be interpreted and enforced under the laws of the State of Delaware, without regard to conflict or choice of law principles.</w:t>
      </w:r>
    </w:p>
    <w:p w14:paraId="298E1379" w14:textId="77777777" w:rsidR="009A374E" w:rsidRDefault="00134770">
      <w:pPr>
        <w:pStyle w:val="NOINDENTS"/>
      </w:pPr>
      <w:r>
        <w:t xml:space="preserve">By delivering this Notice of Exercise, the undersigned acknowledges receipt of the Plan and the Company’s Bylaws, each of which may be different from those previously delivered to Purchaser.  Purchaser understands and acknowledges that Purchaser and the Shares shall be, if not already, subject to certain terms and provisions of the Plan only applicable to Shares (as opposed to Options) and holders of Shares, including but not limited to: the drag-along, voting agreement, proxy and power of attorney contained in Section 11 of the Plan, market stand-off provision contained in Section 12 of the Plan and right of first refusal contained in Section 13 of the Plan. Sections 11 and 13 of the Plan shall lapse upon the occurrence of an initial public offering of the Company. </w:t>
      </w:r>
    </w:p>
    <w:p w14:paraId="4A8DE39F" w14:textId="77777777" w:rsidR="009A374E" w:rsidRDefault="009A374E">
      <w:pPr>
        <w:pStyle w:val="Style"/>
        <w:widowControl/>
        <w:jc w:val="both"/>
        <w:rPr>
          <w:sz w:val="24"/>
        </w:rPr>
      </w:pPr>
    </w:p>
    <w:p w14:paraId="40621C5C" w14:textId="77777777" w:rsidR="009A374E" w:rsidRDefault="00134770">
      <w:pPr>
        <w:pStyle w:val="Style"/>
        <w:widowControl/>
        <w:tabs>
          <w:tab w:val="left" w:pos="4000"/>
        </w:tabs>
        <w:jc w:val="both"/>
        <w:rPr>
          <w:sz w:val="24"/>
        </w:rPr>
      </w:pPr>
      <w:r>
        <w:rPr>
          <w:sz w:val="24"/>
        </w:rPr>
        <w:t>Submitted by:</w:t>
      </w:r>
      <w:r>
        <w:rPr>
          <w:sz w:val="24"/>
        </w:rPr>
        <w:tab/>
      </w:r>
      <w:r>
        <w:rPr>
          <w:sz w:val="24"/>
        </w:rPr>
        <w:tab/>
      </w:r>
      <w:r>
        <w:rPr>
          <w:sz w:val="24"/>
        </w:rPr>
        <w:tab/>
        <w:t>Accepted by:</w:t>
      </w:r>
    </w:p>
    <w:p w14:paraId="0EE6C7D9" w14:textId="77777777" w:rsidR="009A374E" w:rsidRDefault="009A374E">
      <w:pPr>
        <w:pStyle w:val="Style"/>
        <w:widowControl/>
        <w:jc w:val="both"/>
        <w:rPr>
          <w:sz w:val="24"/>
        </w:rPr>
      </w:pPr>
    </w:p>
    <w:tbl>
      <w:tblPr>
        <w:tblW w:w="9728" w:type="dxa"/>
        <w:tblInd w:w="-72" w:type="dxa"/>
        <w:tblLook w:val="0000" w:firstRow="0" w:lastRow="0" w:firstColumn="0" w:lastColumn="0" w:noHBand="0" w:noVBand="0"/>
      </w:tblPr>
      <w:tblGrid>
        <w:gridCol w:w="5040"/>
        <w:gridCol w:w="4688"/>
      </w:tblGrid>
      <w:tr w:rsidR="009A374E" w14:paraId="17D4D955" w14:textId="77777777">
        <w:trPr>
          <w:trHeight w:val="2512"/>
        </w:trPr>
        <w:tc>
          <w:tcPr>
            <w:tcW w:w="5040" w:type="dxa"/>
          </w:tcPr>
          <w:p w14:paraId="468D7BD1" w14:textId="77777777" w:rsidR="009A374E" w:rsidRDefault="00134770">
            <w:pPr>
              <w:pStyle w:val="Style"/>
              <w:tabs>
                <w:tab w:val="left" w:pos="4032"/>
              </w:tabs>
              <w:ind w:left="72"/>
              <w:jc w:val="both"/>
              <w:rPr>
                <w:b/>
                <w:bCs/>
                <w:sz w:val="24"/>
              </w:rPr>
            </w:pPr>
            <w:r>
              <w:rPr>
                <w:b/>
                <w:bCs/>
                <w:sz w:val="24"/>
              </w:rPr>
              <w:t>PURCHASER</w:t>
            </w:r>
          </w:p>
          <w:p w14:paraId="3CD3CC4E" w14:textId="77777777" w:rsidR="009A374E" w:rsidRDefault="009A374E">
            <w:pPr>
              <w:pStyle w:val="Style"/>
              <w:tabs>
                <w:tab w:val="left" w:pos="4032"/>
              </w:tabs>
              <w:ind w:left="72"/>
              <w:jc w:val="both"/>
              <w:rPr>
                <w:b/>
                <w:bCs/>
                <w:sz w:val="24"/>
              </w:rPr>
            </w:pPr>
          </w:p>
          <w:p w14:paraId="24519BD6" w14:textId="77777777" w:rsidR="009A374E" w:rsidRDefault="00134770">
            <w:pPr>
              <w:pStyle w:val="Style"/>
              <w:tabs>
                <w:tab w:val="left" w:pos="4032"/>
              </w:tabs>
              <w:ind w:left="72"/>
              <w:jc w:val="both"/>
              <w:rPr>
                <w:sz w:val="24"/>
              </w:rPr>
            </w:pPr>
            <w:r>
              <w:rPr>
                <w:sz w:val="24"/>
                <w:u w:val="single"/>
              </w:rPr>
              <w:tab/>
            </w:r>
          </w:p>
          <w:p w14:paraId="69D42FDD" w14:textId="77777777" w:rsidR="009A374E" w:rsidRDefault="009A374E">
            <w:pPr>
              <w:pStyle w:val="Style"/>
              <w:tabs>
                <w:tab w:val="left" w:pos="3600"/>
                <w:tab w:val="left" w:pos="4032"/>
                <w:tab w:val="left" w:pos="4680"/>
                <w:tab w:val="left" w:pos="8280"/>
              </w:tabs>
              <w:ind w:left="72"/>
              <w:jc w:val="both"/>
              <w:rPr>
                <w:sz w:val="24"/>
              </w:rPr>
            </w:pPr>
          </w:p>
          <w:p w14:paraId="0C3D2A4C" w14:textId="77777777" w:rsidR="009A374E" w:rsidRDefault="00134770">
            <w:pPr>
              <w:pStyle w:val="Style"/>
              <w:tabs>
                <w:tab w:val="left" w:pos="4032"/>
                <w:tab w:val="left" w:pos="4680"/>
                <w:tab w:val="left" w:pos="8280"/>
              </w:tabs>
              <w:ind w:left="72"/>
              <w:jc w:val="both"/>
              <w:rPr>
                <w:sz w:val="24"/>
                <w:u w:val="single"/>
              </w:rPr>
            </w:pPr>
            <w:r>
              <w:rPr>
                <w:sz w:val="24"/>
              </w:rPr>
              <w:t>Name:</w:t>
            </w:r>
            <w:r>
              <w:rPr>
                <w:sz w:val="24"/>
                <w:u w:val="single"/>
              </w:rPr>
              <w:tab/>
            </w:r>
          </w:p>
          <w:p w14:paraId="218C6680" w14:textId="77777777" w:rsidR="009A374E" w:rsidRDefault="009A374E">
            <w:pPr>
              <w:pStyle w:val="Style"/>
              <w:tabs>
                <w:tab w:val="left" w:pos="4032"/>
                <w:tab w:val="left" w:pos="4680"/>
                <w:tab w:val="left" w:pos="8280"/>
              </w:tabs>
              <w:ind w:left="72"/>
              <w:jc w:val="both"/>
              <w:rPr>
                <w:sz w:val="24"/>
              </w:rPr>
            </w:pPr>
          </w:p>
          <w:p w14:paraId="2244FB84" w14:textId="77777777" w:rsidR="009A374E" w:rsidRDefault="00134770">
            <w:pPr>
              <w:pStyle w:val="Style"/>
              <w:tabs>
                <w:tab w:val="left" w:pos="4032"/>
                <w:tab w:val="left" w:pos="8280"/>
              </w:tabs>
              <w:ind w:left="72"/>
              <w:jc w:val="both"/>
              <w:rPr>
                <w:sz w:val="24"/>
              </w:rPr>
            </w:pPr>
            <w:r>
              <w:rPr>
                <w:sz w:val="24"/>
              </w:rPr>
              <w:t>Address:</w:t>
            </w:r>
            <w:r>
              <w:rPr>
                <w:sz w:val="24"/>
                <w:u w:val="single"/>
              </w:rPr>
              <w:tab/>
            </w:r>
            <w:r>
              <w:rPr>
                <w:sz w:val="24"/>
              </w:rPr>
              <w:tab/>
            </w:r>
          </w:p>
          <w:p w14:paraId="4B71C793" w14:textId="77777777" w:rsidR="009A374E" w:rsidRDefault="00134770">
            <w:pPr>
              <w:pStyle w:val="Style"/>
              <w:tabs>
                <w:tab w:val="left" w:pos="4032"/>
                <w:tab w:val="left" w:pos="8280"/>
              </w:tabs>
              <w:ind w:left="72"/>
              <w:jc w:val="both"/>
              <w:rPr>
                <w:sz w:val="24"/>
                <w:u w:val="single"/>
              </w:rPr>
            </w:pPr>
            <w:r>
              <w:rPr>
                <w:sz w:val="24"/>
                <w:u w:val="single"/>
              </w:rPr>
              <w:tab/>
            </w:r>
          </w:p>
          <w:p w14:paraId="67023D53" w14:textId="77777777" w:rsidR="009A374E" w:rsidRDefault="00134770">
            <w:pPr>
              <w:pStyle w:val="Style"/>
              <w:tabs>
                <w:tab w:val="left" w:pos="4032"/>
                <w:tab w:val="left" w:pos="8280"/>
              </w:tabs>
              <w:ind w:left="72"/>
              <w:jc w:val="both"/>
              <w:rPr>
                <w:sz w:val="24"/>
                <w:u w:val="single"/>
              </w:rPr>
            </w:pPr>
            <w:r>
              <w:rPr>
                <w:sz w:val="24"/>
                <w:u w:val="single"/>
              </w:rPr>
              <w:tab/>
            </w:r>
          </w:p>
          <w:p w14:paraId="5BF77AB5" w14:textId="77777777" w:rsidR="009A374E" w:rsidRDefault="00134770">
            <w:pPr>
              <w:pStyle w:val="Style"/>
              <w:tabs>
                <w:tab w:val="left" w:pos="4032"/>
                <w:tab w:val="left" w:pos="8280"/>
              </w:tabs>
              <w:ind w:left="72"/>
              <w:jc w:val="both"/>
              <w:rPr>
                <w:sz w:val="24"/>
                <w:u w:val="single"/>
              </w:rPr>
            </w:pPr>
            <w:r>
              <w:rPr>
                <w:sz w:val="24"/>
              </w:rPr>
              <w:t>E-mail:</w:t>
            </w:r>
            <w:r>
              <w:rPr>
                <w:sz w:val="24"/>
                <w:u w:val="single"/>
              </w:rPr>
              <w:tab/>
            </w:r>
          </w:p>
          <w:p w14:paraId="402B5EA0" w14:textId="77777777" w:rsidR="009A374E" w:rsidRDefault="00134770">
            <w:pPr>
              <w:pStyle w:val="Style"/>
              <w:tabs>
                <w:tab w:val="left" w:pos="4032"/>
                <w:tab w:val="left" w:pos="8280"/>
              </w:tabs>
              <w:ind w:left="72"/>
              <w:jc w:val="both"/>
              <w:rPr>
                <w:sz w:val="24"/>
                <w:u w:val="single"/>
              </w:rPr>
            </w:pPr>
            <w:r>
              <w:rPr>
                <w:sz w:val="24"/>
              </w:rPr>
              <w:t>Fax:</w:t>
            </w:r>
            <w:r>
              <w:rPr>
                <w:sz w:val="24"/>
                <w:u w:val="single"/>
              </w:rPr>
              <w:tab/>
            </w:r>
          </w:p>
          <w:p w14:paraId="5AD9F70A" w14:textId="77777777" w:rsidR="009A374E" w:rsidRDefault="009A374E">
            <w:pPr>
              <w:pStyle w:val="Style"/>
              <w:tabs>
                <w:tab w:val="left" w:pos="4032"/>
                <w:tab w:val="left" w:pos="8280"/>
              </w:tabs>
              <w:ind w:left="72"/>
              <w:jc w:val="both"/>
              <w:rPr>
                <w:sz w:val="24"/>
                <w:u w:val="single"/>
              </w:rPr>
            </w:pPr>
          </w:p>
          <w:p w14:paraId="76E72F71" w14:textId="77777777" w:rsidR="009A374E" w:rsidRDefault="00134770">
            <w:pPr>
              <w:pStyle w:val="Style"/>
              <w:tabs>
                <w:tab w:val="left" w:pos="4032"/>
                <w:tab w:val="left" w:pos="8280"/>
              </w:tabs>
              <w:ind w:left="72"/>
              <w:jc w:val="both"/>
              <w:rPr>
                <w:sz w:val="24"/>
              </w:rPr>
            </w:pPr>
            <w:r>
              <w:rPr>
                <w:sz w:val="24"/>
              </w:rPr>
              <w:t>Date:</w:t>
            </w:r>
            <w:r>
              <w:rPr>
                <w:sz w:val="24"/>
                <w:u w:val="single"/>
              </w:rPr>
              <w:tab/>
            </w:r>
          </w:p>
          <w:p w14:paraId="1E140913" w14:textId="77777777" w:rsidR="009A374E" w:rsidRDefault="009A374E">
            <w:pPr>
              <w:pStyle w:val="Style"/>
              <w:jc w:val="both"/>
              <w:rPr>
                <w:b/>
                <w:bCs/>
                <w:sz w:val="24"/>
              </w:rPr>
            </w:pPr>
          </w:p>
        </w:tc>
        <w:tc>
          <w:tcPr>
            <w:tcW w:w="4688" w:type="dxa"/>
          </w:tcPr>
          <w:p w14:paraId="5FC0B2B3" w14:textId="1F5BA8BF" w:rsidR="009A374E" w:rsidRDefault="007551A3">
            <w:pPr>
              <w:tabs>
                <w:tab w:val="left" w:pos="3923"/>
              </w:tabs>
              <w:rPr>
                <w:rFonts w:ascii="Times New Roman Bold" w:eastAsia="Times New Roman" w:hAnsi="Times New Roman Bold"/>
                <w:b/>
                <w:bCs/>
                <w:caps/>
                <w:szCs w:val="20"/>
              </w:rPr>
            </w:pPr>
            <w:r>
              <w:rPr>
                <w:rFonts w:ascii="Times New Roman Bold" w:eastAsia="Times New Roman" w:hAnsi="Times New Roman Bold"/>
                <w:b/>
                <w:bCs/>
                <w:caps/>
                <w:szCs w:val="20"/>
              </w:rPr>
              <w:t>Sentrais, Inc</w:t>
            </w:r>
            <w:r w:rsidR="00134770" w:rsidRPr="00134770">
              <w:rPr>
                <w:rFonts w:ascii="Times New Roman Bold" w:eastAsia="Times New Roman" w:hAnsi="Times New Roman Bold"/>
                <w:b/>
                <w:bCs/>
                <w:caps/>
                <w:szCs w:val="20"/>
              </w:rPr>
              <w:t>.</w:t>
            </w:r>
          </w:p>
          <w:p w14:paraId="5F6FE5EB" w14:textId="77777777" w:rsidR="00134770" w:rsidRDefault="00134770">
            <w:pPr>
              <w:tabs>
                <w:tab w:val="left" w:pos="3923"/>
              </w:tabs>
              <w:rPr>
                <w:b/>
                <w:bCs/>
                <w:szCs w:val="20"/>
              </w:rPr>
            </w:pPr>
          </w:p>
          <w:p w14:paraId="7E94651A" w14:textId="77777777" w:rsidR="009A374E" w:rsidRDefault="00134770">
            <w:pPr>
              <w:pStyle w:val="Style"/>
              <w:tabs>
                <w:tab w:val="left" w:pos="3923"/>
                <w:tab w:val="left" w:pos="8280"/>
              </w:tabs>
              <w:jc w:val="both"/>
              <w:rPr>
                <w:sz w:val="24"/>
              </w:rPr>
            </w:pPr>
            <w:r>
              <w:rPr>
                <w:sz w:val="24"/>
              </w:rPr>
              <w:t>By:</w:t>
            </w:r>
            <w:r>
              <w:rPr>
                <w:sz w:val="24"/>
                <w:u w:val="single"/>
              </w:rPr>
              <w:tab/>
            </w:r>
          </w:p>
          <w:p w14:paraId="1DF792C1" w14:textId="77777777" w:rsidR="009A374E" w:rsidRDefault="009A374E">
            <w:pPr>
              <w:tabs>
                <w:tab w:val="left" w:pos="3923"/>
              </w:tabs>
              <w:rPr>
                <w:b/>
                <w:bCs/>
                <w:szCs w:val="20"/>
              </w:rPr>
            </w:pPr>
          </w:p>
          <w:p w14:paraId="3DC5B6C7" w14:textId="77777777" w:rsidR="009A374E" w:rsidRDefault="00134770">
            <w:pPr>
              <w:pStyle w:val="Style"/>
              <w:tabs>
                <w:tab w:val="left" w:pos="3923"/>
                <w:tab w:val="left" w:pos="8280"/>
              </w:tabs>
              <w:jc w:val="both"/>
              <w:rPr>
                <w:sz w:val="24"/>
              </w:rPr>
            </w:pPr>
            <w:r>
              <w:rPr>
                <w:sz w:val="24"/>
              </w:rPr>
              <w:t>Name:</w:t>
            </w:r>
            <w:r>
              <w:rPr>
                <w:sz w:val="24"/>
                <w:u w:val="single"/>
              </w:rPr>
              <w:tab/>
            </w:r>
            <w:r>
              <w:rPr>
                <w:sz w:val="24"/>
              </w:rPr>
              <w:tab/>
            </w:r>
          </w:p>
          <w:p w14:paraId="6501C0C4" w14:textId="77777777" w:rsidR="009A374E" w:rsidRDefault="00134770">
            <w:pPr>
              <w:tabs>
                <w:tab w:val="left" w:pos="3923"/>
              </w:tabs>
              <w:rPr>
                <w:bCs/>
                <w:szCs w:val="20"/>
                <w:u w:val="single"/>
              </w:rPr>
            </w:pPr>
            <w:r>
              <w:rPr>
                <w:bCs/>
                <w:szCs w:val="20"/>
              </w:rPr>
              <w:t>Title:</w:t>
            </w:r>
            <w:r>
              <w:rPr>
                <w:bCs/>
                <w:szCs w:val="20"/>
                <w:u w:val="single"/>
              </w:rPr>
              <w:tab/>
            </w:r>
          </w:p>
          <w:p w14:paraId="0F4CFC31" w14:textId="77777777" w:rsidR="009A374E" w:rsidRDefault="009A374E">
            <w:pPr>
              <w:tabs>
                <w:tab w:val="left" w:pos="3923"/>
              </w:tabs>
              <w:rPr>
                <w:b/>
                <w:bCs/>
                <w:szCs w:val="20"/>
              </w:rPr>
            </w:pPr>
          </w:p>
          <w:p w14:paraId="1773A73D" w14:textId="77777777" w:rsidR="009A374E" w:rsidRDefault="00134770">
            <w:pPr>
              <w:pStyle w:val="Style"/>
              <w:tabs>
                <w:tab w:val="left" w:pos="3923"/>
                <w:tab w:val="left" w:pos="8280"/>
              </w:tabs>
              <w:jc w:val="both"/>
              <w:rPr>
                <w:sz w:val="24"/>
                <w:u w:val="single"/>
              </w:rPr>
            </w:pPr>
            <w:r>
              <w:rPr>
                <w:sz w:val="24"/>
              </w:rPr>
              <w:t>Date:</w:t>
            </w:r>
            <w:r>
              <w:rPr>
                <w:sz w:val="24"/>
                <w:u w:val="single"/>
              </w:rPr>
              <w:tab/>
            </w:r>
          </w:p>
          <w:p w14:paraId="4AE394EB" w14:textId="77777777" w:rsidR="009A374E" w:rsidRDefault="009A374E">
            <w:pPr>
              <w:pStyle w:val="Style"/>
              <w:jc w:val="both"/>
              <w:rPr>
                <w:b/>
                <w:bCs/>
                <w:sz w:val="24"/>
              </w:rPr>
            </w:pPr>
          </w:p>
        </w:tc>
      </w:tr>
    </w:tbl>
    <w:p w14:paraId="5BA2632D" w14:textId="77777777" w:rsidR="009A374E" w:rsidRDefault="009A374E"/>
    <w:sectPr w:rsidR="009A374E">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6B5A9" w14:textId="77777777" w:rsidR="00A66E33" w:rsidRDefault="00A66E33">
      <w:r>
        <w:separator/>
      </w:r>
    </w:p>
  </w:endnote>
  <w:endnote w:type="continuationSeparator" w:id="0">
    <w:p w14:paraId="5DAABCAC" w14:textId="77777777" w:rsidR="00A66E33" w:rsidRDefault="00A66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oudyOlSt BT">
    <w:altName w:val="Times New Roman"/>
    <w:panose1 w:val="020B0604020202020204"/>
    <w:charset w:val="00"/>
    <w:family w:val="roman"/>
    <w:pitch w:val="variable"/>
    <w:sig w:usb0="00000001" w:usb1="00000000" w:usb2="00000000" w:usb3="00000000" w:csb0="0000001B" w:csb1="00000000"/>
  </w:font>
  <w:font w:name="Courier">
    <w:panose1 w:val="00000000000000000000"/>
    <w:charset w:val="00"/>
    <w:family w:val="modern"/>
    <w:pitch w:val="fixed"/>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95D75" w14:textId="77777777" w:rsidR="009A374E" w:rsidRDefault="0013477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14:paraId="61331743" w14:textId="77777777" w:rsidR="009A374E" w:rsidRDefault="009A37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2B246" w14:textId="77777777" w:rsidR="009A374E" w:rsidRDefault="0013477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BADDDFB" w14:textId="77777777" w:rsidR="009A374E" w:rsidRDefault="009A374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C552F" w14:textId="77777777" w:rsidR="009A374E" w:rsidRDefault="009A374E">
    <w:pPr>
      <w:pStyle w:val="Footer"/>
      <w:rPr>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BAEB4" w14:textId="77777777" w:rsidR="00A66E33" w:rsidRDefault="00A66E33">
      <w:r>
        <w:separator/>
      </w:r>
    </w:p>
  </w:footnote>
  <w:footnote w:type="continuationSeparator" w:id="0">
    <w:p w14:paraId="19D0CD00" w14:textId="77777777" w:rsidR="00A66E33" w:rsidRDefault="00A66E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67E07746"/>
    <w:lvl w:ilvl="0">
      <w:numFmt w:val="none"/>
      <w:lvlText w:val=""/>
      <w:lvlJc w:val="left"/>
      <w:pPr>
        <w:tabs>
          <w:tab w:val="num" w:pos="360"/>
        </w:tabs>
      </w:pPr>
    </w:lvl>
  </w:abstractNum>
  <w:abstractNum w:abstractNumId="1" w15:restartNumberingAfterBreak="0">
    <w:nsid w:val="26EE454D"/>
    <w:multiLevelType w:val="hybridMultilevel"/>
    <w:tmpl w:val="59E4F316"/>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B869DF"/>
    <w:multiLevelType w:val="hybridMultilevel"/>
    <w:tmpl w:val="B172D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7336B7"/>
    <w:multiLevelType w:val="hybridMultilevel"/>
    <w:tmpl w:val="87FAEB82"/>
    <w:lvl w:ilvl="0" w:tplc="938E3FEC">
      <w:start w:val="1"/>
      <w:numFmt w:val="decimal"/>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4E4528"/>
    <w:multiLevelType w:val="multilevel"/>
    <w:tmpl w:val="82FC6D14"/>
    <w:name w:val="Heading"/>
    <w:lvl w:ilvl="0">
      <w:start w:val="1"/>
      <w:numFmt w:val="upperLetter"/>
      <w:pStyle w:val="Heading1"/>
      <w:suff w:val="nothing"/>
      <w:lvlText w:val="EXHIBIT %1"/>
      <w:lvlJc w:val="left"/>
      <w:pPr>
        <w:ind w:left="0" w:firstLine="0"/>
      </w:pPr>
      <w:rPr>
        <w:b/>
        <w:i w:val="0"/>
        <w:strike w:val="0"/>
        <w:dstrike w:val="0"/>
        <w:color w:val="auto"/>
        <w:sz w:val="24"/>
        <w:u w:val="single"/>
        <w:effect w:val="none"/>
      </w:rPr>
    </w:lvl>
    <w:lvl w:ilvl="1">
      <w:start w:val="1"/>
      <w:numFmt w:val="lowerRoman"/>
      <w:pStyle w:val="Heading2"/>
      <w:lvlText w:val="(%2)"/>
      <w:lvlJc w:val="left"/>
      <w:pPr>
        <w:ind w:left="1440" w:hanging="720"/>
      </w:pPr>
      <w:rPr>
        <w:i w:val="0"/>
        <w:strike w:val="0"/>
        <w:dstrike w:val="0"/>
        <w:color w:val="auto"/>
        <w:sz w:val="24"/>
        <w:u w:val="none"/>
        <w:effect w:val="none"/>
      </w:rPr>
    </w:lvl>
    <w:lvl w:ilvl="2">
      <w:start w:val="1"/>
      <w:numFmt w:val="lowerLetter"/>
      <w:pStyle w:val="Heading3"/>
      <w:lvlText w:val="(%3)"/>
      <w:lvlJc w:val="left"/>
      <w:pPr>
        <w:ind w:left="2160" w:hanging="720"/>
      </w:pPr>
      <w:rPr>
        <w:i w:val="0"/>
        <w:strike w:val="0"/>
        <w:dstrike w:val="0"/>
        <w:color w:val="auto"/>
        <w:sz w:val="24"/>
        <w:u w:val="none"/>
        <w:effect w:val="none"/>
      </w:rPr>
    </w:lvl>
    <w:lvl w:ilvl="3">
      <w:start w:val="1"/>
      <w:numFmt w:val="lowerRoman"/>
      <w:pStyle w:val="Heading4"/>
      <w:lvlText w:val="(%4)"/>
      <w:lvlJc w:val="left"/>
      <w:pPr>
        <w:ind w:left="2880" w:hanging="720"/>
      </w:pPr>
      <w:rPr>
        <w:i w:val="0"/>
        <w:strike w:val="0"/>
        <w:dstrike w:val="0"/>
        <w:color w:val="auto"/>
        <w:sz w:val="24"/>
        <w:u w:val="none"/>
        <w:effect w:val="none"/>
      </w:rPr>
    </w:lvl>
    <w:lvl w:ilvl="4">
      <w:start w:val="1"/>
      <w:numFmt w:val="upperLetter"/>
      <w:pStyle w:val="Heading5"/>
      <w:lvlText w:val="(%5)"/>
      <w:lvlJc w:val="left"/>
      <w:pPr>
        <w:ind w:left="2880" w:hanging="702"/>
      </w:pPr>
      <w:rPr>
        <w:i w:val="0"/>
        <w:strike w:val="0"/>
        <w:dstrike w:val="0"/>
        <w:color w:val="auto"/>
        <w:sz w:val="24"/>
        <w:u w:val="none"/>
        <w:effect w:val="none"/>
      </w:rPr>
    </w:lvl>
    <w:lvl w:ilvl="5">
      <w:start w:val="1"/>
      <w:numFmt w:val="none"/>
      <w:pStyle w:val="Heading6"/>
      <w:lvlText w:val="  "/>
      <w:lvlJc w:val="left"/>
      <w:pPr>
        <w:ind w:left="1152" w:hanging="432"/>
      </w:pPr>
      <w:rPr>
        <w:i w:val="0"/>
        <w:strike w:val="0"/>
        <w:dstrike w:val="0"/>
        <w:color w:val="auto"/>
        <w:sz w:val="24"/>
        <w:u w:val="none"/>
        <w:effect w:val="none"/>
      </w:rPr>
    </w:lvl>
    <w:lvl w:ilvl="6">
      <w:start w:val="1"/>
      <w:numFmt w:val="none"/>
      <w:pStyle w:val="Heading7"/>
      <w:lvlText w:val="  "/>
      <w:lvlJc w:val="left"/>
      <w:pPr>
        <w:ind w:left="0" w:firstLine="0"/>
      </w:pPr>
      <w:rPr>
        <w:rFonts w:ascii="Times New Roman" w:hAnsi="Times New Roman" w:cs="Times New Roman"/>
        <w:i w:val="0"/>
        <w:strike w:val="0"/>
        <w:dstrike w:val="0"/>
        <w:color w:val="auto"/>
        <w:sz w:val="24"/>
        <w:u w:val="none"/>
        <w:effect w:val="none"/>
      </w:rPr>
    </w:lvl>
    <w:lvl w:ilvl="7">
      <w:start w:val="1"/>
      <w:numFmt w:val="none"/>
      <w:pStyle w:val="Heading8"/>
      <w:lvlText w:val="  "/>
      <w:lvlJc w:val="left"/>
      <w:pPr>
        <w:ind w:left="0" w:firstLine="0"/>
      </w:pPr>
      <w:rPr>
        <w:rFonts w:ascii="Times New Roman" w:hAnsi="Times New Roman" w:cs="Times New Roman"/>
        <w:i w:val="0"/>
        <w:strike w:val="0"/>
        <w:dstrike w:val="0"/>
        <w:color w:val="auto"/>
        <w:sz w:val="24"/>
        <w:u w:val="none"/>
        <w:effect w:val="none"/>
      </w:rPr>
    </w:lvl>
    <w:lvl w:ilvl="8">
      <w:start w:val="1"/>
      <w:numFmt w:val="none"/>
      <w:pStyle w:val="Heading9"/>
      <w:lvlText w:val="  "/>
      <w:lvlJc w:val="left"/>
      <w:pPr>
        <w:ind w:left="0" w:firstLine="0"/>
      </w:pPr>
      <w:rPr>
        <w:rFonts w:ascii="Times New Roman" w:hAnsi="Times New Roman" w:cs="Times New Roman"/>
        <w:i w:val="0"/>
        <w:strike w:val="0"/>
        <w:dstrike w:val="0"/>
        <w:color w:val="auto"/>
        <w:sz w:val="24"/>
        <w:u w:val="none"/>
        <w:effect w:val="none"/>
      </w:rPr>
    </w:lvl>
  </w:abstractNum>
  <w:abstractNum w:abstractNumId="5" w15:restartNumberingAfterBreak="0">
    <w:nsid w:val="4FC5044C"/>
    <w:multiLevelType w:val="hybridMultilevel"/>
    <w:tmpl w:val="6658CEE0"/>
    <w:lvl w:ilvl="0" w:tplc="1032BC2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81E0F88"/>
    <w:multiLevelType w:val="hybridMultilevel"/>
    <w:tmpl w:val="6B609B6C"/>
    <w:lvl w:ilvl="0" w:tplc="25A0C9A4">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263298">
    <w:abstractNumId w:val="2"/>
  </w:num>
  <w:num w:numId="2" w16cid:durableId="987586449">
    <w:abstractNumId w:val="1"/>
  </w:num>
  <w:num w:numId="3" w16cid:durableId="437531195">
    <w:abstractNumId w:val="6"/>
  </w:num>
  <w:num w:numId="4" w16cid:durableId="870612670">
    <w:abstractNumId w:val="4"/>
  </w:num>
  <w:num w:numId="5" w16cid:durableId="2126000106">
    <w:abstractNumId w:val="0"/>
  </w:num>
  <w:num w:numId="6" w16cid:durableId="1236628765">
    <w:abstractNumId w:val="3"/>
  </w:num>
  <w:num w:numId="7" w16cid:durableId="4015657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Ver" w:val="01"/>
    <w:docVar w:name="SWActiveDesign" w:val="Heading"/>
    <w:docVar w:name="SWAllDesigns" w:val="Heading|"/>
    <w:docVar w:name="SWAllLineBreaks" w:val="Heading~~0|0|0|0|0|0|0|0|0|@@"/>
  </w:docVars>
  <w:rsids>
    <w:rsidRoot w:val="009A374E"/>
    <w:rsid w:val="00134770"/>
    <w:rsid w:val="002918B8"/>
    <w:rsid w:val="00306C9F"/>
    <w:rsid w:val="00546A19"/>
    <w:rsid w:val="00553433"/>
    <w:rsid w:val="005F716E"/>
    <w:rsid w:val="00653E0F"/>
    <w:rsid w:val="006628FF"/>
    <w:rsid w:val="007551A3"/>
    <w:rsid w:val="00981F81"/>
    <w:rsid w:val="009A374E"/>
    <w:rsid w:val="00A66E33"/>
    <w:rsid w:val="00FA2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BC31DD"/>
  <w15:chartTrackingRefBased/>
  <w15:docId w15:val="{C8BDA380-0DFB-4CD8-AEB7-53E1F920C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nhideWhenUsed="1" w:qFormat="1"/>
    <w:lsdException w:name="Title" w:qFormat="1"/>
    <w:lsdException w:name="Default Paragraph Font" w:uiPriority="1"/>
    <w:lsdException w:name="Body Text" w:uiPriority="99"/>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Calibri"/>
      <w:sz w:val="24"/>
      <w:szCs w:val="22"/>
    </w:rPr>
  </w:style>
  <w:style w:type="paragraph" w:styleId="Heading1">
    <w:name w:val="heading 1"/>
    <w:basedOn w:val="Normal"/>
    <w:next w:val="LS1DBL"/>
    <w:link w:val="Heading1Char"/>
    <w:uiPriority w:val="9"/>
    <w:qFormat/>
    <w:pPr>
      <w:numPr>
        <w:numId w:val="4"/>
      </w:numPr>
      <w:spacing w:after="240"/>
      <w:jc w:val="center"/>
      <w:outlineLvl w:val="0"/>
    </w:pPr>
    <w:rPr>
      <w:rFonts w:eastAsia="Times New Roman"/>
      <w:bCs/>
      <w:szCs w:val="32"/>
    </w:rPr>
  </w:style>
  <w:style w:type="paragraph" w:styleId="Heading2">
    <w:name w:val="heading 2"/>
    <w:basedOn w:val="Normal"/>
    <w:next w:val="LS1DBL"/>
    <w:link w:val="Heading2Char"/>
    <w:uiPriority w:val="9"/>
    <w:unhideWhenUsed/>
    <w:qFormat/>
    <w:pPr>
      <w:widowControl w:val="0"/>
      <w:numPr>
        <w:ilvl w:val="1"/>
        <w:numId w:val="4"/>
      </w:numPr>
      <w:spacing w:after="240"/>
      <w:outlineLvl w:val="1"/>
    </w:pPr>
    <w:rPr>
      <w:rFonts w:eastAsia="Times New Roman"/>
      <w:bCs/>
      <w:iCs/>
      <w:szCs w:val="28"/>
    </w:rPr>
  </w:style>
  <w:style w:type="paragraph" w:styleId="Heading3">
    <w:name w:val="heading 3"/>
    <w:basedOn w:val="Normal"/>
    <w:next w:val="LS1DBL"/>
    <w:link w:val="Heading3Char"/>
    <w:uiPriority w:val="9"/>
    <w:unhideWhenUsed/>
    <w:qFormat/>
    <w:pPr>
      <w:widowControl w:val="0"/>
      <w:numPr>
        <w:ilvl w:val="2"/>
        <w:numId w:val="4"/>
      </w:numPr>
      <w:spacing w:after="240"/>
      <w:outlineLvl w:val="2"/>
    </w:pPr>
    <w:rPr>
      <w:rFonts w:eastAsia="Times New Roman"/>
      <w:bCs/>
      <w:szCs w:val="26"/>
    </w:rPr>
  </w:style>
  <w:style w:type="paragraph" w:styleId="Heading4">
    <w:name w:val="heading 4"/>
    <w:basedOn w:val="Normal"/>
    <w:next w:val="LS1DBL"/>
    <w:link w:val="Heading4Char"/>
    <w:uiPriority w:val="9"/>
    <w:unhideWhenUsed/>
    <w:qFormat/>
    <w:pPr>
      <w:widowControl w:val="0"/>
      <w:numPr>
        <w:ilvl w:val="3"/>
        <w:numId w:val="4"/>
      </w:numPr>
      <w:spacing w:after="240"/>
      <w:outlineLvl w:val="3"/>
    </w:pPr>
    <w:rPr>
      <w:rFonts w:eastAsia="Times New Roman"/>
      <w:bCs/>
      <w:szCs w:val="28"/>
    </w:rPr>
  </w:style>
  <w:style w:type="paragraph" w:styleId="Heading5">
    <w:name w:val="heading 5"/>
    <w:basedOn w:val="Normal"/>
    <w:next w:val="LS1DBL"/>
    <w:link w:val="Heading5Char"/>
    <w:uiPriority w:val="9"/>
    <w:unhideWhenUsed/>
    <w:qFormat/>
    <w:pPr>
      <w:widowControl w:val="0"/>
      <w:numPr>
        <w:ilvl w:val="4"/>
        <w:numId w:val="4"/>
      </w:numPr>
      <w:spacing w:after="240"/>
      <w:outlineLvl w:val="4"/>
    </w:pPr>
    <w:rPr>
      <w:rFonts w:eastAsia="Times New Roman"/>
      <w:bCs/>
      <w:iCs/>
      <w:szCs w:val="26"/>
    </w:rPr>
  </w:style>
  <w:style w:type="paragraph" w:styleId="Heading6">
    <w:name w:val="heading 6"/>
    <w:basedOn w:val="Normal"/>
    <w:next w:val="LS1DBL"/>
    <w:link w:val="Heading6Char"/>
    <w:uiPriority w:val="9"/>
    <w:unhideWhenUsed/>
    <w:qFormat/>
    <w:pPr>
      <w:widowControl w:val="0"/>
      <w:numPr>
        <w:ilvl w:val="5"/>
        <w:numId w:val="4"/>
      </w:numPr>
      <w:spacing w:after="240"/>
      <w:outlineLvl w:val="5"/>
    </w:pPr>
    <w:rPr>
      <w:rFonts w:eastAsia="Times New Roman"/>
      <w:bCs/>
    </w:rPr>
  </w:style>
  <w:style w:type="paragraph" w:styleId="Heading7">
    <w:name w:val="heading 7"/>
    <w:basedOn w:val="Normal"/>
    <w:next w:val="LS1DBL"/>
    <w:link w:val="Heading7Char"/>
    <w:uiPriority w:val="9"/>
    <w:unhideWhenUsed/>
    <w:qFormat/>
    <w:pPr>
      <w:numPr>
        <w:ilvl w:val="6"/>
        <w:numId w:val="4"/>
      </w:numPr>
      <w:spacing w:before="240" w:after="60"/>
      <w:outlineLvl w:val="6"/>
    </w:pPr>
    <w:rPr>
      <w:rFonts w:ascii="Arial" w:eastAsia="Times New Roman" w:hAnsi="Arial" w:cs="Arial"/>
      <w:sz w:val="20"/>
      <w:szCs w:val="24"/>
    </w:rPr>
  </w:style>
  <w:style w:type="paragraph" w:styleId="Heading8">
    <w:name w:val="heading 8"/>
    <w:basedOn w:val="Normal"/>
    <w:next w:val="LS1DBL"/>
    <w:link w:val="Heading8Char"/>
    <w:uiPriority w:val="9"/>
    <w:unhideWhenUsed/>
    <w:qFormat/>
    <w:pPr>
      <w:numPr>
        <w:ilvl w:val="7"/>
        <w:numId w:val="4"/>
      </w:numPr>
      <w:spacing w:before="240" w:after="60"/>
      <w:outlineLvl w:val="7"/>
    </w:pPr>
    <w:rPr>
      <w:rFonts w:ascii="Arial" w:eastAsia="Times New Roman" w:hAnsi="Arial" w:cs="Arial"/>
      <w:i/>
      <w:iCs/>
      <w:sz w:val="20"/>
      <w:szCs w:val="24"/>
    </w:rPr>
  </w:style>
  <w:style w:type="paragraph" w:styleId="Heading9">
    <w:name w:val="heading 9"/>
    <w:basedOn w:val="Normal"/>
    <w:next w:val="LS1DBL"/>
    <w:link w:val="Heading9Char"/>
    <w:uiPriority w:val="9"/>
    <w:unhideWhenUsed/>
    <w:qFormat/>
    <w:pPr>
      <w:numPr>
        <w:ilvl w:val="8"/>
        <w:numId w:val="4"/>
      </w:numPr>
      <w:spacing w:before="240" w:after="60"/>
      <w:outlineLvl w:val="8"/>
    </w:pPr>
    <w:rPr>
      <w:rFonts w:ascii="Arial" w:eastAsia="Times New Roman" w:hAnsi="Arial" w:cs="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
    <w:name w:val="Style"/>
    <w:pPr>
      <w:widowControl w:val="0"/>
      <w:overflowPunct w:val="0"/>
      <w:autoSpaceDE w:val="0"/>
      <w:autoSpaceDN w:val="0"/>
      <w:adjustRightInd w:val="0"/>
      <w:textAlignment w:val="baseline"/>
    </w:pPr>
    <w:rPr>
      <w:sz w:val="18"/>
    </w:rPr>
  </w:style>
  <w:style w:type="character" w:styleId="FootnoteReference">
    <w:name w:val="footnote reference"/>
    <w:semiHidden/>
    <w:rPr>
      <w:vertAlign w:val="superscript"/>
    </w:rPr>
  </w:style>
  <w:style w:type="paragraph" w:styleId="FootnoteText">
    <w:name w:val="footnote text"/>
    <w:basedOn w:val="Normal"/>
    <w:semiHidden/>
    <w:pPr>
      <w:jc w:val="both"/>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customStyle="1" w:styleId="BodyText1">
    <w:name w:val="Body Text1"/>
    <w:basedOn w:val="Normal"/>
    <w:pPr>
      <w:widowControl w:val="0"/>
      <w:spacing w:before="240"/>
      <w:ind w:firstLine="720"/>
      <w:jc w:val="both"/>
    </w:pPr>
    <w:rPr>
      <w:sz w:val="22"/>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paragraph" w:customStyle="1" w:styleId="LSBodyText">
    <w:name w:val="_LSBodyText"/>
    <w:basedOn w:val="BodyText"/>
    <w:pPr>
      <w:overflowPunct w:val="0"/>
      <w:autoSpaceDE w:val="0"/>
      <w:autoSpaceDN w:val="0"/>
      <w:adjustRightInd w:val="0"/>
      <w:spacing w:after="240"/>
      <w:jc w:val="both"/>
      <w:textAlignment w:val="baseline"/>
    </w:pPr>
    <w:rPr>
      <w:szCs w:val="20"/>
    </w:rPr>
  </w:style>
  <w:style w:type="paragraph" w:styleId="BodyText">
    <w:name w:val="Body Text"/>
    <w:basedOn w:val="Normal"/>
    <w:link w:val="BodyTextChar"/>
    <w:uiPriority w:val="99"/>
    <w:unhideWhenUsed/>
    <w:pPr>
      <w:spacing w:after="120"/>
    </w:pPr>
  </w:style>
  <w:style w:type="character" w:customStyle="1" w:styleId="BodyTextChar">
    <w:name w:val="Body Text Char"/>
    <w:link w:val="BodyText"/>
    <w:uiPriority w:val="99"/>
    <w:rPr>
      <w:rFonts w:eastAsia="Calibri"/>
      <w:sz w:val="24"/>
      <w:szCs w:val="22"/>
    </w:rPr>
  </w:style>
  <w:style w:type="paragraph" w:customStyle="1" w:styleId="LS1DBL">
    <w:name w:val="_LS1&quot;DBL"/>
    <w:basedOn w:val="LSBodyText"/>
    <w:pPr>
      <w:spacing w:after="0" w:line="480" w:lineRule="exact"/>
      <w:ind w:firstLine="1440"/>
    </w:pPr>
  </w:style>
  <w:style w:type="paragraph" w:customStyle="1" w:styleId="LS1SGL">
    <w:name w:val="_LS1&quot;SGL"/>
    <w:basedOn w:val="LSBodyText"/>
    <w:pPr>
      <w:ind w:firstLine="720"/>
    </w:pPr>
  </w:style>
  <w:style w:type="paragraph" w:customStyle="1" w:styleId="LSBlockQuote">
    <w:name w:val="_LSBlockQuote"/>
    <w:basedOn w:val="LSBodyText"/>
    <w:next w:val="LSBodyText"/>
    <w:pPr>
      <w:ind w:left="2160" w:hanging="720"/>
    </w:pPr>
  </w:style>
  <w:style w:type="paragraph" w:customStyle="1" w:styleId="LSBT-1Indent">
    <w:name w:val="_LSBT-1&quot; Indent"/>
    <w:basedOn w:val="LSBodyText"/>
    <w:pPr>
      <w:ind w:firstLine="1440"/>
    </w:pPr>
  </w:style>
  <w:style w:type="paragraph" w:customStyle="1" w:styleId="LSByLine">
    <w:name w:val="_LSByLine"/>
    <w:basedOn w:val="LSBodyText"/>
    <w:pPr>
      <w:spacing w:after="0"/>
      <w:ind w:left="4320"/>
      <w:jc w:val="left"/>
    </w:pPr>
  </w:style>
  <w:style w:type="paragraph" w:customStyle="1" w:styleId="LSByLine2">
    <w:name w:val="_LSByLine2"/>
    <w:basedOn w:val="LSByLine"/>
    <w:pPr>
      <w:ind w:left="4680"/>
    </w:pPr>
  </w:style>
  <w:style w:type="paragraph" w:customStyle="1" w:styleId="LSLTR1DBL">
    <w:name w:val="_LSLTR1&quot;DBL"/>
    <w:basedOn w:val="Normal"/>
    <w:pPr>
      <w:spacing w:line="480" w:lineRule="exact"/>
      <w:ind w:firstLine="1440"/>
    </w:pPr>
    <w:rPr>
      <w:rFonts w:ascii="GoudyOlSt BT" w:hAnsi="GoudyOlSt BT"/>
    </w:rPr>
  </w:style>
  <w:style w:type="paragraph" w:customStyle="1" w:styleId="LSLTR-Body">
    <w:name w:val="_LSLTR-Body"/>
    <w:basedOn w:val="Normal"/>
    <w:pPr>
      <w:overflowPunct w:val="0"/>
      <w:autoSpaceDE w:val="0"/>
      <w:autoSpaceDN w:val="0"/>
      <w:adjustRightInd w:val="0"/>
      <w:spacing w:after="240"/>
      <w:jc w:val="both"/>
      <w:textAlignment w:val="baseline"/>
    </w:pPr>
    <w:rPr>
      <w:rFonts w:ascii="GoudyOlSt BT" w:hAnsi="GoudyOlSt BT"/>
      <w:szCs w:val="20"/>
    </w:rPr>
  </w:style>
  <w:style w:type="paragraph" w:customStyle="1" w:styleId="LSLtrAddress">
    <w:name w:val="_LSLtrAddress"/>
    <w:basedOn w:val="LSLTR-Body"/>
    <w:pPr>
      <w:spacing w:after="0"/>
    </w:pPr>
  </w:style>
  <w:style w:type="paragraph" w:customStyle="1" w:styleId="LSLTR-Author">
    <w:name w:val="_LSLTR-Author"/>
    <w:basedOn w:val="LSLTR-Body"/>
    <w:pPr>
      <w:spacing w:after="480"/>
    </w:pPr>
  </w:style>
  <w:style w:type="paragraph" w:customStyle="1" w:styleId="LSLTRBlock">
    <w:name w:val="_LSLTRBlock"/>
    <w:basedOn w:val="LSLTR-Body"/>
    <w:next w:val="LSLTR-Body"/>
    <w:pPr>
      <w:ind w:left="1440" w:right="1440"/>
    </w:pPr>
  </w:style>
  <w:style w:type="paragraph" w:customStyle="1" w:styleId="LSLTR-cc">
    <w:name w:val="_LSLTR-cc"/>
    <w:basedOn w:val="LSLTR-Body"/>
    <w:pPr>
      <w:spacing w:after="0"/>
      <w:ind w:left="720" w:hanging="720"/>
    </w:pPr>
  </w:style>
  <w:style w:type="paragraph" w:customStyle="1" w:styleId="LSLTR-Closing">
    <w:name w:val="_LSLTR-Closing"/>
    <w:basedOn w:val="LSLTR-Body"/>
    <w:pPr>
      <w:spacing w:after="720"/>
    </w:pPr>
  </w:style>
  <w:style w:type="paragraph" w:customStyle="1" w:styleId="LSLTR-Date">
    <w:name w:val="_LSLTR-Date"/>
    <w:basedOn w:val="LSLTR-Body"/>
    <w:pPr>
      <w:spacing w:before="480" w:after="480"/>
    </w:pPr>
  </w:style>
  <w:style w:type="paragraph" w:customStyle="1" w:styleId="LSLTR-DocInfo">
    <w:name w:val="_LSLTR-DocInfo"/>
    <w:basedOn w:val="LSLtrAddress"/>
    <w:rPr>
      <w:sz w:val="16"/>
    </w:rPr>
  </w:style>
  <w:style w:type="paragraph" w:customStyle="1" w:styleId="LSLTR-enc">
    <w:name w:val="_LSLTR-enc"/>
    <w:basedOn w:val="LSLTR-Body"/>
    <w:pPr>
      <w:spacing w:after="0"/>
      <w:ind w:left="720" w:hanging="720"/>
    </w:pPr>
  </w:style>
  <w:style w:type="paragraph" w:customStyle="1" w:styleId="LSLTR-Fax">
    <w:name w:val="_LSLTR-Fax"/>
    <w:basedOn w:val="LSLTR-Closing"/>
    <w:pPr>
      <w:spacing w:after="240"/>
      <w:jc w:val="left"/>
    </w:pPr>
    <w:rPr>
      <w:rFonts w:ascii="Courier" w:hAnsi="Courier"/>
    </w:rPr>
  </w:style>
  <w:style w:type="paragraph" w:customStyle="1" w:styleId="LSLTR-Initials">
    <w:name w:val="_LSLTR-Initials"/>
    <w:basedOn w:val="LSLTR-Body"/>
  </w:style>
  <w:style w:type="paragraph" w:customStyle="1" w:styleId="LSLTR-sal">
    <w:name w:val="_LSLTR-sal"/>
    <w:basedOn w:val="Normal"/>
    <w:pPr>
      <w:overflowPunct w:val="0"/>
      <w:autoSpaceDE w:val="0"/>
      <w:autoSpaceDN w:val="0"/>
      <w:adjustRightInd w:val="0"/>
      <w:spacing w:before="240" w:after="240"/>
      <w:jc w:val="both"/>
      <w:textAlignment w:val="baseline"/>
    </w:pPr>
    <w:rPr>
      <w:rFonts w:ascii="GoudyOlSt BT" w:hAnsi="GoudyOlSt BT"/>
      <w:szCs w:val="20"/>
    </w:rPr>
  </w:style>
  <w:style w:type="paragraph" w:customStyle="1" w:styleId="LSLTR-RE">
    <w:name w:val="_LSLTR-RE"/>
    <w:basedOn w:val="LSLTR-sal"/>
    <w:next w:val="Normal"/>
    <w:pPr>
      <w:spacing w:after="0"/>
      <w:ind w:left="720" w:hanging="720"/>
      <w:jc w:val="left"/>
    </w:pPr>
    <w:rPr>
      <w:b/>
    </w:rPr>
  </w:style>
  <w:style w:type="paragraph" w:customStyle="1" w:styleId="LSLTRRE2">
    <w:name w:val="_LSLTRRE2"/>
    <w:basedOn w:val="LSLTR-RE"/>
    <w:pPr>
      <w:spacing w:before="0"/>
      <w:ind w:firstLine="0"/>
    </w:pPr>
  </w:style>
  <w:style w:type="paragraph" w:customStyle="1" w:styleId="LSLTR-VIA">
    <w:name w:val="_LSLTR-VIA"/>
    <w:basedOn w:val="LSLTR-Body"/>
    <w:pPr>
      <w:spacing w:after="0"/>
      <w:jc w:val="left"/>
    </w:pPr>
    <w:rPr>
      <w:b/>
      <w:smallCaps/>
    </w:rPr>
  </w:style>
  <w:style w:type="paragraph" w:customStyle="1" w:styleId="LSLTR-VIA2">
    <w:name w:val="_LSLTR-VIA2"/>
    <w:basedOn w:val="LSLTR-VIA"/>
  </w:style>
  <w:style w:type="paragraph" w:customStyle="1" w:styleId="LSPOINTNAME">
    <w:name w:val="_LSPOINTNAME"/>
    <w:basedOn w:val="LSBlockQuote"/>
    <w:next w:val="LS1DBL"/>
    <w:pPr>
      <w:pBdr>
        <w:bottom w:val="single" w:sz="4" w:space="1" w:color="auto"/>
      </w:pBdr>
    </w:pPr>
    <w:rPr>
      <w:b/>
      <w:caps/>
    </w:rPr>
  </w:style>
  <w:style w:type="paragraph" w:customStyle="1" w:styleId="LSTitle">
    <w:name w:val="_LSTitle"/>
    <w:basedOn w:val="LSBodyText"/>
    <w:next w:val="LSBodyText"/>
    <w:pPr>
      <w:jc w:val="center"/>
    </w:pPr>
    <w:rPr>
      <w:b/>
      <w:u w:val="single"/>
    </w:rPr>
  </w:style>
  <w:style w:type="paragraph" w:customStyle="1" w:styleId="LSTitle2">
    <w:name w:val="_LSTitle2"/>
    <w:basedOn w:val="LSBodyText"/>
    <w:next w:val="LSBodyText"/>
    <w:pPr>
      <w:jc w:val="center"/>
    </w:pPr>
    <w:rPr>
      <w:b/>
    </w:rPr>
  </w:style>
  <w:style w:type="paragraph" w:customStyle="1" w:styleId="LSTitleDbl">
    <w:name w:val="_LSTitleDbl"/>
    <w:basedOn w:val="LSTitle2"/>
    <w:pPr>
      <w:overflowPunct/>
      <w:autoSpaceDE/>
      <w:autoSpaceDN/>
      <w:adjustRightInd/>
      <w:spacing w:after="480"/>
      <w:textAlignment w:val="auto"/>
    </w:pPr>
    <w:rPr>
      <w:szCs w:val="24"/>
    </w:rPr>
  </w:style>
  <w:style w:type="paragraph" w:customStyle="1" w:styleId="NOINDENTD">
    <w:name w:val="NO_INDENT_D"/>
    <w:basedOn w:val="LS1DBL"/>
    <w:qFormat/>
    <w:pPr>
      <w:ind w:firstLine="0"/>
    </w:pPr>
  </w:style>
  <w:style w:type="paragraph" w:customStyle="1" w:styleId="NOINDENTS">
    <w:name w:val="NO_INDENT_S"/>
    <w:basedOn w:val="LS1SGL"/>
    <w:qFormat/>
    <w:pPr>
      <w:ind w:firstLine="0"/>
    </w:pPr>
  </w:style>
  <w:style w:type="paragraph" w:customStyle="1" w:styleId="BULLET">
    <w:name w:val="BULLET"/>
    <w:basedOn w:val="NOINDENTS"/>
    <w:qFormat/>
    <w:pPr>
      <w:numPr>
        <w:numId w:val="3"/>
      </w:numPr>
    </w:pPr>
    <w:rPr>
      <w:rFonts w:eastAsia="Constantia"/>
      <w:szCs w:val="24"/>
    </w:rPr>
  </w:style>
  <w:style w:type="paragraph" w:customStyle="1" w:styleId="BATOAEntry">
    <w:name w:val="BA TOA Entry"/>
    <w:basedOn w:val="Normal"/>
    <w:link w:val="BATOAEntryChar"/>
    <w:pPr>
      <w:keepLines/>
      <w:tabs>
        <w:tab w:val="right" w:leader="dot" w:pos="9360"/>
      </w:tabs>
      <w:spacing w:after="240"/>
      <w:ind w:left="360" w:hanging="360"/>
    </w:pPr>
  </w:style>
  <w:style w:type="character" w:customStyle="1" w:styleId="BATOAEntryChar">
    <w:name w:val="BA TOA Entry Char"/>
    <w:link w:val="BATOAEntry"/>
    <w:rPr>
      <w:rFonts w:eastAsia="Calibri"/>
      <w:sz w:val="24"/>
      <w:szCs w:val="22"/>
    </w:rPr>
  </w:style>
  <w:style w:type="paragraph" w:customStyle="1" w:styleId="BATOAHeading">
    <w:name w:val="BA TOA Heading"/>
    <w:basedOn w:val="Normal"/>
    <w:link w:val="BATOAHeadingChar"/>
    <w:pPr>
      <w:keepNext/>
      <w:keepLines/>
      <w:spacing w:after="240"/>
    </w:pPr>
    <w:rPr>
      <w:b/>
      <w:smallCaps/>
    </w:rPr>
  </w:style>
  <w:style w:type="character" w:customStyle="1" w:styleId="BATOAHeadingChar">
    <w:name w:val="BA TOA Heading Char"/>
    <w:link w:val="BATOAHeading"/>
    <w:rPr>
      <w:rFonts w:eastAsia="Calibri"/>
      <w:b/>
      <w:smallCaps/>
      <w:sz w:val="24"/>
      <w:szCs w:val="22"/>
    </w:rPr>
  </w:style>
  <w:style w:type="paragraph" w:customStyle="1" w:styleId="BATOATitle">
    <w:name w:val="BA TOA Title"/>
    <w:basedOn w:val="Normal"/>
    <w:link w:val="BATOATitleChar"/>
    <w:pPr>
      <w:keepNext/>
      <w:keepLines/>
      <w:spacing w:before="120" w:after="240"/>
      <w:jc w:val="center"/>
    </w:pPr>
    <w:rPr>
      <w:b/>
      <w:caps/>
      <w:u w:val="single"/>
    </w:rPr>
  </w:style>
  <w:style w:type="character" w:customStyle="1" w:styleId="BATOATitleChar">
    <w:name w:val="BA TOA Title Char"/>
    <w:link w:val="BATOATitle"/>
    <w:rPr>
      <w:rFonts w:eastAsia="Calibri"/>
      <w:b/>
      <w:caps/>
      <w:sz w:val="24"/>
      <w:szCs w:val="22"/>
      <w:u w:val="single"/>
    </w:rPr>
  </w:style>
  <w:style w:type="paragraph" w:customStyle="1" w:styleId="BATOAPageHeading">
    <w:name w:val="BA TOA Page Heading"/>
    <w:basedOn w:val="Normal"/>
    <w:link w:val="BATOAPageHeadingChar"/>
    <w:pPr>
      <w:keepNext/>
      <w:keepLines/>
      <w:spacing w:after="240"/>
      <w:jc w:val="right"/>
    </w:pPr>
    <w:rPr>
      <w:b/>
    </w:rPr>
  </w:style>
  <w:style w:type="character" w:customStyle="1" w:styleId="BATOAPageHeadingChar">
    <w:name w:val="BA TOA Page Heading Char"/>
    <w:link w:val="BATOAPageHeading"/>
    <w:rPr>
      <w:rFonts w:eastAsia="Calibri"/>
      <w:b/>
      <w:sz w:val="24"/>
      <w:szCs w:val="22"/>
    </w:rPr>
  </w:style>
  <w:style w:type="character" w:customStyle="1" w:styleId="Heading1Char">
    <w:name w:val="Heading 1 Char"/>
    <w:link w:val="Heading1"/>
    <w:uiPriority w:val="9"/>
    <w:rPr>
      <w:rFonts w:eastAsia="Times New Roman"/>
      <w:bCs/>
      <w:sz w:val="24"/>
      <w:szCs w:val="32"/>
    </w:rPr>
  </w:style>
  <w:style w:type="character" w:customStyle="1" w:styleId="Heading2Char">
    <w:name w:val="Heading 2 Char"/>
    <w:link w:val="Heading2"/>
    <w:uiPriority w:val="9"/>
    <w:rPr>
      <w:rFonts w:eastAsia="Times New Roman"/>
      <w:bCs/>
      <w:iCs/>
      <w:sz w:val="24"/>
      <w:szCs w:val="28"/>
    </w:rPr>
  </w:style>
  <w:style w:type="character" w:customStyle="1" w:styleId="Heading3Char">
    <w:name w:val="Heading 3 Char"/>
    <w:link w:val="Heading3"/>
    <w:uiPriority w:val="9"/>
    <w:rPr>
      <w:rFonts w:eastAsia="Times New Roman"/>
      <w:bCs/>
      <w:sz w:val="24"/>
      <w:szCs w:val="26"/>
    </w:rPr>
  </w:style>
  <w:style w:type="character" w:customStyle="1" w:styleId="Heading4Char">
    <w:name w:val="Heading 4 Char"/>
    <w:link w:val="Heading4"/>
    <w:uiPriority w:val="9"/>
    <w:rPr>
      <w:rFonts w:eastAsia="Times New Roman"/>
      <w:bCs/>
      <w:sz w:val="24"/>
      <w:szCs w:val="28"/>
    </w:rPr>
  </w:style>
  <w:style w:type="character" w:customStyle="1" w:styleId="Heading5Char">
    <w:name w:val="Heading 5 Char"/>
    <w:link w:val="Heading5"/>
    <w:uiPriority w:val="9"/>
    <w:rPr>
      <w:rFonts w:eastAsia="Times New Roman"/>
      <w:bCs/>
      <w:iCs/>
      <w:sz w:val="24"/>
      <w:szCs w:val="26"/>
    </w:rPr>
  </w:style>
  <w:style w:type="character" w:customStyle="1" w:styleId="Heading6Char">
    <w:name w:val="Heading 6 Char"/>
    <w:link w:val="Heading6"/>
    <w:uiPriority w:val="9"/>
    <w:rPr>
      <w:rFonts w:eastAsia="Times New Roman"/>
      <w:bCs/>
      <w:sz w:val="24"/>
      <w:szCs w:val="22"/>
    </w:rPr>
  </w:style>
  <w:style w:type="character" w:customStyle="1" w:styleId="Heading7Char">
    <w:name w:val="Heading 7 Char"/>
    <w:link w:val="Heading7"/>
    <w:uiPriority w:val="9"/>
    <w:rPr>
      <w:rFonts w:ascii="Arial" w:eastAsia="Times New Roman" w:hAnsi="Arial" w:cs="Arial"/>
      <w:szCs w:val="24"/>
    </w:rPr>
  </w:style>
  <w:style w:type="character" w:customStyle="1" w:styleId="Heading8Char">
    <w:name w:val="Heading 8 Char"/>
    <w:link w:val="Heading8"/>
    <w:uiPriority w:val="9"/>
    <w:rPr>
      <w:rFonts w:ascii="Arial" w:eastAsia="Times New Roman" w:hAnsi="Arial" w:cs="Arial"/>
      <w:i/>
      <w:iCs/>
      <w:szCs w:val="24"/>
    </w:rPr>
  </w:style>
  <w:style w:type="character" w:customStyle="1" w:styleId="Heading9Char">
    <w:name w:val="Heading 9 Char"/>
    <w:link w:val="Heading9"/>
    <w:uiPriority w:val="9"/>
    <w:rPr>
      <w:rFonts w:ascii="Arial" w:eastAsia="Times New Roman" w:hAnsi="Arial" w:cs="Arial"/>
      <w:b/>
      <w:i/>
      <w:sz w:val="18"/>
      <w:szCs w:val="22"/>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
</file>

<file path=customXml/itemProps1.xml><?xml version="1.0" encoding="utf-8"?>
<ds:datastoreItem xmlns:ds="http://schemas.openxmlformats.org/officeDocument/2006/customXml" ds:itemID="{B8D34575-E709-4FB1-BD1C-3CE80F03E3AB}">
  <ds:schemaRefs>
    <ds:schemaRef ds:uri="http://schemas.openxmlformats.org/officeDocument/2006/bibliography"/>
  </ds:schemaRefs>
</ds:datastoreItem>
</file>

<file path=customXml/itemProps2.xml><?xml version="1.0" encoding="utf-8"?>
<ds:datastoreItem xmlns:ds="http://schemas.openxmlformats.org/officeDocument/2006/customXml" ds:itemID="{5E3BFAEA-09BD-2647-AC3B-6BE9D7E38B00}">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4347</Words>
  <Characters>22870</Characters>
  <Application>Microsoft Office Word</Application>
  <DocSecurity>0</DocSecurity>
  <Lines>394</Lines>
  <Paragraphs>106</Paragraphs>
  <ScaleCrop>false</ScaleCrop>
  <HeadingPairs>
    <vt:vector size="2" baseType="variant">
      <vt:variant>
        <vt:lpstr>Title</vt:lpstr>
      </vt:variant>
      <vt:variant>
        <vt:i4>1</vt:i4>
      </vt:variant>
    </vt:vector>
  </HeadingPairs>
  <TitlesOfParts>
    <vt:vector size="1" baseType="lpstr">
      <vt:lpstr>Associate</vt:lpstr>
    </vt:vector>
  </TitlesOfParts>
  <Company/>
  <LinksUpToDate>false</LinksUpToDate>
  <CharactersWithSpaces>27111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Associate</dc:title>
  <dc:subject>99821/1</dc:subject>
  <dc:creator>Jonathan J. Chou</dc:creator>
  <cp:keywords>Tel   973 597 2530   Fax   973 597 2531</cp:keywords>
  <dc:description>JCHOU@LOWENSTEIN.COM</dc:description>
  <cp:lastModifiedBy>Chanise Anderson</cp:lastModifiedBy>
  <cp:revision>2</cp:revision>
  <cp:lastPrinted>2012-11-16T16:37:00Z</cp:lastPrinted>
  <dcterms:created xsi:type="dcterms:W3CDTF">2025-12-31T14:05:00Z</dcterms:created>
  <dcterms:modified xsi:type="dcterms:W3CDTF">2025-12-31T14:05:00Z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SAuthor">
    <vt:lpwstr>Jonathan J. Chou</vt:lpwstr>
  </property>
  <property fmtid="{D5CDD505-2E9C-101B-9397-08002B2CF9AE}" pid="3" name="LSTitle">
    <vt:lpwstr>Associate</vt:lpwstr>
  </property>
  <property fmtid="{D5CDD505-2E9C-101B-9397-08002B2CF9AE}" pid="4" name="LSPhone">
    <vt:lpwstr>973 597 2530</vt:lpwstr>
  </property>
  <property fmtid="{D5CDD505-2E9C-101B-9397-08002B2CF9AE}" pid="5" name="LSFax">
    <vt:lpwstr>973 597 2531</vt:lpwstr>
  </property>
  <property fmtid="{D5CDD505-2E9C-101B-9397-08002B2CF9AE}" pid="6" name="LSEmail">
    <vt:lpwstr>jchou@lowenstein.com</vt:lpwstr>
  </property>
  <property fmtid="{D5CDD505-2E9C-101B-9397-08002B2CF9AE}" pid="7" name="WSI_DOC_ID">
    <vt:lpwstr>e4265810-e1f9-4417-9d9f-2b860f56ba9b</vt:lpwstr>
  </property>
  <property fmtid="{D5CDD505-2E9C-101B-9397-08002B2CF9AE}" pid="8" name="GrammarlyDocumentId">
    <vt:lpwstr>7f6a3bc870fcd318230bc33cee5f2f57ec28e617ed0e062e247830980fd1c933</vt:lpwstr>
  </property>
  <property fmtid="{D5CDD505-2E9C-101B-9397-08002B2CF9AE}" pid="9" name="DocNo">
    <vt:lpwstr>313383533</vt:lpwstr>
  </property>
  <property fmtid="{D5CDD505-2E9C-101B-9397-08002B2CF9AE}" pid="10" name="DocVer">
    <vt:lpwstr>3</vt:lpwstr>
  </property>
  <property fmtid="{D5CDD505-2E9C-101B-9397-08002B2CF9AE}" pid="11" name="LSCLIENT">
    <vt:lpwstr>47163</vt:lpwstr>
  </property>
  <property fmtid="{D5CDD505-2E9C-101B-9397-08002B2CF9AE}" pid="12" name="LSCLIENTNAME">
    <vt:lpwstr>N-Ovate Solutions</vt:lpwstr>
  </property>
  <property fmtid="{D5CDD505-2E9C-101B-9397-08002B2CF9AE}" pid="13" name="LSMATTER">
    <vt:lpwstr>1</vt:lpwstr>
  </property>
  <property fmtid="{D5CDD505-2E9C-101B-9397-08002B2CF9AE}" pid="14" name="LSMATTERNAME">
    <vt:lpwstr>General</vt:lpwstr>
  </property>
  <property fmtid="{D5CDD505-2E9C-101B-9397-08002B2CF9AE}" pid="15" name="LSTypist">
    <vt:lpwstr>Santiago, Anthony Christian</vt:lpwstr>
  </property>
</Properties>
</file>