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B4C" w:val="clear"/>
            <w:tcMar>
              <w:top w:type="dxa" w:w="400"/>
              <w:left w:type="dxa" w:w="400"/>
              <w:bottom w:type="dxa" w:w="400"/>
              <w:right w:type="dxa" w:w="400"/>
            </w:tcMar>
          </w:tcPr>
          <w:p>
            <w:pPr>
              <w:jc w:val="center"/>
            </w:pPr>
            <w:r>
              <w:rPr>
                <w:rFonts w:ascii="Arial" w:cs="Arial" w:eastAsia="Arial" w:hAnsi="Arial"/>
                <w:b/>
                <w:bCs/>
                <w:color w:val="FFFFFF"/>
                <w:sz w:val="52"/>
                <w:szCs w:val="52"/>
              </w:rPr>
              <w:t xml:space="preserve">SENTRAIS</w:t>
            </w:r>
          </w:p>
          <w:p>
            <w:pPr>
              <w:spacing w:before="80"/>
              <w:jc w:val="center"/>
            </w:pPr>
            <w:r>
              <w:rPr>
                <w:rFonts w:ascii="Arial" w:cs="Arial" w:eastAsia="Arial" w:hAnsi="Arial"/>
                <w:color w:val="3FA5A5"/>
                <w:sz w:val="22"/>
                <w:szCs w:val="22"/>
              </w:rPr>
              <w:t xml:space="preserve">Powered by NOVATE</w:t>
            </w:r>
          </w:p>
        </w:tc>
      </w:tr>
      <w:tr>
        <w:tc>
          <w:tcPr>
            <w:tcBorders>
              <w:top w:val="none" w:color="FFFFFF" w:sz="0"/>
              <w:left w:val="none" w:color="FFFFFF" w:sz="0"/>
              <w:bottom w:val="none" w:color="FFFFFF" w:sz="0"/>
              <w:right w:val="none" w:color="FFFFFF" w:sz="0"/>
            </w:tcBorders>
            <w:shd w:fill="2E8B8B" w:val="clear"/>
            <w:tcMar>
              <w:top w:type="dxa" w:w="300"/>
              <w:left w:type="dxa" w:w="400"/>
              <w:bottom w:type="dxa" w:w="300"/>
              <w:right w:type="dxa" w:w="400"/>
            </w:tcMar>
          </w:tcPr>
          <w:p>
            <w:pPr>
              <w:jc w:val="center"/>
            </w:pPr>
            <w:r>
              <w:rPr>
                <w:rFonts w:ascii="Arial" w:cs="Arial" w:eastAsia="Arial" w:hAnsi="Arial"/>
                <w:b/>
                <w:bCs/>
                <w:color w:val="FFFFFF"/>
                <w:sz w:val="36"/>
                <w:szCs w:val="36"/>
              </w:rPr>
              <w:t xml:space="preserve">ARTIFICIAL INTELLIGENCE</w:t>
            </w:r>
          </w:p>
          <w:p>
            <w:pPr>
              <w:spacing w:before="100"/>
              <w:jc w:val="center"/>
            </w:pPr>
            <w:r>
              <w:rPr>
                <w:rFonts w:ascii="Arial" w:cs="Arial" w:eastAsia="Arial" w:hAnsi="Arial"/>
                <w:b/>
                <w:bCs/>
                <w:color w:val="F5F7FA"/>
                <w:sz w:val="32"/>
                <w:szCs w:val="32"/>
              </w:rPr>
              <w:t xml:space="preserve">POSITION STATEMENT</w:t>
            </w:r>
          </w:p>
        </w:tc>
      </w:tr>
      <w:tr>
        <w:tc>
          <w:tcPr>
            <w:tcBorders>
              <w:top w:val="none" w:color="FFFFFF" w:sz="0"/>
              <w:left w:val="none" w:color="FFFFFF" w:sz="0"/>
              <w:bottom w:val="none" w:color="FFFFFF" w:sz="0"/>
              <w:right w:val="none" w:color="FFFFFF" w:sz="0"/>
            </w:tcBorders>
            <w:shd w:fill="F5F7FA" w:val="clear"/>
            <w:tcMar>
              <w:top w:type="dxa" w:w="200"/>
              <w:left w:type="dxa" w:w="400"/>
              <w:bottom w:type="dxa" w:w="200"/>
              <w:right w:type="dxa" w:w="400"/>
            </w:tcMar>
          </w:tcPr>
          <w:p>
            <w:pPr>
              <w:jc w:val="center"/>
            </w:pPr>
            <w:r>
              <w:rPr>
                <w:i/>
                <w:iCs/>
                <w:color w:val="2B5A8F"/>
                <w:sz w:val="22"/>
                <w:szCs w:val="22"/>
              </w:rPr>
              <w:t xml:space="preserve">Our Commitment to Responsible, Ethical, and Transparent AI</w:t>
            </w:r>
          </w:p>
          <w:p>
            <w:pPr>
              <w:spacing w:before="150"/>
              <w:jc w:val="center"/>
            </w:pPr>
            <w:r>
              <w:rPr>
                <w:color w:val="4A5568"/>
                <w:sz w:val="20"/>
                <w:szCs w:val="20"/>
              </w:rPr>
              <w:t xml:space="preserve">Version 1.0  |  Effective January 2026</w:t>
            </w:r>
          </w:p>
        </w:tc>
      </w:tr>
    </w:tbl>
    <w:p>
      <w:pPr>
        <w:pStyle w:val="Heading1"/>
      </w:pPr>
      <w:r>
        <w:t xml:space="preserve">I. Purpose &amp; Scope</w:t>
      </w:r>
    </w:p>
    <w:p>
      <w:pPr>
        <w:spacing w:after="150"/>
      </w:pPr>
      <w:r>
        <w:t xml:space="preserve">This AI Position Statement establishes Sentrais's foundational commitments regarding the development, deployment, and governance of Artificial Intelligence within our platform and client engagements. It reflects our belief that AI, when implemented responsibly, serves as a powerful tool for operational excellence, innovation acceleration, and evidence-based decision making.</w:t>
      </w:r>
    </w:p>
    <w:p>
      <w:pPr>
        <w:spacing w:after="150"/>
      </w:pPr>
      <w:r>
        <w:t xml:space="preserve">This statement applies to all Sentrais products and services, including but not limited to the Sentrais Innovation Playbook Engine (SIPE), CiviGrid emergency management platform, EVERGAME IT compliance systems, and all future AI-enabled capabilities developed under the Sentrais family of products.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B8B" w:sz="8"/>
              <w:left w:val="single" w:color="2E8B8B" w:sz="8"/>
              <w:bottom w:val="single" w:color="2E8B8B" w:sz="8"/>
              <w:right w:val="single" w:color="2E8B8B" w:sz="8"/>
            </w:tcBorders>
            <w:shd w:fill="E8F4F4" w:val="clear"/>
            <w:tcMar>
              <w:top w:type="dxa" w:w="150"/>
              <w:left w:type="dxa" w:w="200"/>
              <w:bottom w:type="dxa" w:w="150"/>
              <w:right w:type="dxa" w:w="200"/>
            </w:tcMar>
          </w:tcPr>
          <w:p>
            <w:r>
              <w:rPr>
                <w:b/>
                <w:bCs/>
                <w:color w:val="2E8B8B"/>
                <w:sz w:val="22"/>
                <w:szCs w:val="22"/>
              </w:rPr>
              <w:t xml:space="preserve">OUR POSITION: </w:t>
            </w:r>
            <w:r>
              <w:rPr>
                <w:color w:val="4A5568"/>
                <w:sz w:val="22"/>
                <w:szCs w:val="22"/>
              </w:rPr>
              <w:t xml:space="preserve">Sentrais views Artificial Intelligence as an augmentation technology—designed to enhance human judgment, not replace it. Every AI component within our platform operates under human oversight with full transparency, accountability, and ethical safeguards.</w:t>
            </w:r>
          </w:p>
        </w:tc>
      </w:tr>
    </w:tbl>
    <w:p>
      <w:pPr>
        <w:pStyle w:val="Heading1"/>
      </w:pPr>
      <w:r>
        <w:t xml:space="preserve">II. Core Principles</w:t>
      </w:r>
    </w:p>
    <w:p>
      <w:pPr>
        <w:spacing w:after="150"/>
      </w:pPr>
      <w:r>
        <w:t xml:space="preserve">Sentrais AI capabilities are built upon seven foundational principles that guide all development, deployment, and operational decisions: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2B4C" w:sz="1"/>
              <w:left w:val="single" w:color="1A2B4C" w:sz="1"/>
              <w:bottom w:val="single" w:color="1A2B4C" w:sz="1"/>
              <w:right w:val="single" w:color="1A2B4C" w:sz="1"/>
            </w:tcBorders>
            <w:shd w:fill="1A2B4C" w:val="clear"/>
            <w:tcMar>
              <w:top w:type="dxa" w:w="80"/>
              <w:left w:type="dxa" w:w="120"/>
              <w:bottom w:type="dxa" w:w="80"/>
              <w:right w:type="dxa" w:w="120"/>
            </w:tcMar>
          </w:tcPr>
          <w:p>
            <w:r>
              <w:rPr>
                <w:b/>
                <w:bCs/>
                <w:color w:val="FFFFFF"/>
                <w:sz w:val="20"/>
                <w:szCs w:val="20"/>
              </w:rPr>
              <w:t xml:space="preserve">PRINCIPLE</w:t>
            </w:r>
          </w:p>
        </w:tc>
        <w:tc>
          <w:tcPr>
            <w:tcW w:type="dxa" w:w="6960"/>
            <w:tcBorders>
              <w:top w:val="single" w:color="1A2B4C" w:sz="1"/>
              <w:left w:val="single" w:color="1A2B4C" w:sz="1"/>
              <w:bottom w:val="single" w:color="1A2B4C" w:sz="1"/>
              <w:right w:val="single" w:color="1A2B4C" w:sz="1"/>
            </w:tcBorders>
            <w:shd w:fill="1A2B4C" w:val="clear"/>
            <w:tcMar>
              <w:top w:type="dxa" w:w="80"/>
              <w:left w:type="dxa" w:w="120"/>
              <w:bottom w:type="dxa" w:w="80"/>
              <w:right w:type="dxa" w:w="120"/>
            </w:tcMar>
          </w:tcPr>
          <w:p>
            <w:r>
              <w:rPr>
                <w:b/>
                <w:bCs/>
                <w:color w:val="FFFFFF"/>
                <w:sz w:val="20"/>
                <w:szCs w:val="20"/>
              </w:rPr>
              <w:t xml:space="preserve">COMMITMENT</w:t>
            </w:r>
          </w:p>
        </w:tc>
      </w:tr>
      <w:tr>
        <w:tc>
          <w:tcPr>
            <w:tcW w:type="dxa" w:w="2400"/>
            <w:tcBorders>
              <w:top w:val="single" w:color="E8ECF0" w:sz="1"/>
              <w:left w:val="single" w:color="E8ECF0" w:sz="1"/>
              <w:bottom w:val="single" w:color="E8ECF0" w:sz="1"/>
              <w:right w:val="single" w:color="E8ECF0" w:sz="1"/>
            </w:tcBorders>
            <w:shd w:fill="F5F7FA" w:val="clear"/>
            <w:tcMar>
              <w:top w:type="dxa" w:w="80"/>
              <w:left w:type="dxa" w:w="120"/>
              <w:bottom w:type="dxa" w:w="80"/>
              <w:right w:type="dxa" w:w="120"/>
            </w:tcMar>
          </w:tcPr>
          <w:p>
            <w:r>
              <w:rPr>
                <w:b/>
                <w:bCs/>
                <w:color w:val="1A2B4C"/>
                <w:sz w:val="20"/>
                <w:szCs w:val="20"/>
              </w:rPr>
              <w:t xml:space="preserve">Human Sovereignty</w:t>
            </w:r>
          </w:p>
        </w:tc>
        <w:tc>
          <w:tcPr>
            <w:tcW w:type="dxa" w:w="6960"/>
            <w:tcBorders>
              <w:top w:val="single" w:color="E8ECF0" w:sz="1"/>
              <w:left w:val="single" w:color="E8ECF0" w:sz="1"/>
              <w:bottom w:val="single" w:color="E8ECF0" w:sz="1"/>
              <w:right w:val="single" w:color="E8ECF0" w:sz="1"/>
            </w:tcBorders>
            <w:shd w:fill="F5F7FA" w:val="clear"/>
            <w:tcMar>
              <w:top w:type="dxa" w:w="80"/>
              <w:left w:type="dxa" w:w="120"/>
              <w:bottom w:type="dxa" w:w="80"/>
              <w:right w:type="dxa" w:w="120"/>
            </w:tcMar>
          </w:tcPr>
          <w:p>
            <w:r>
              <w:rPr>
                <w:color w:val="4A5568"/>
                <w:sz w:val="20"/>
                <w:szCs w:val="20"/>
              </w:rPr>
              <w:t xml:space="preserve">AI serves as a tool to augment human intelligence, never to supplant human judgment on critical decisions. All AI outputs require human validation before action.</w:t>
            </w:r>
          </w:p>
        </w:tc>
      </w:tr>
      <w:tr>
        <w:tc>
          <w:tcPr>
            <w:tcW w:type="dxa" w:w="240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b/>
                <w:bCs/>
                <w:color w:val="1A2B4C"/>
                <w:sz w:val="20"/>
                <w:szCs w:val="20"/>
              </w:rPr>
              <w:t xml:space="preserve">Transparency</w:t>
            </w:r>
          </w:p>
        </w:tc>
        <w:tc>
          <w:tcPr>
            <w:tcW w:type="dxa" w:w="696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color w:val="4A5568"/>
                <w:sz w:val="20"/>
                <w:szCs w:val="20"/>
              </w:rPr>
              <w:t xml:space="preserve">AI decision-making processes are explainable and documented. Users understand how AI components function, what data they use, and how conclusions are derived.</w:t>
            </w:r>
          </w:p>
        </w:tc>
      </w:tr>
      <w:tr>
        <w:tc>
          <w:tcPr>
            <w:tcW w:type="dxa" w:w="2400"/>
            <w:tcBorders>
              <w:top w:val="single" w:color="E8ECF0" w:sz="1"/>
              <w:left w:val="single" w:color="E8ECF0" w:sz="1"/>
              <w:bottom w:val="single" w:color="E8ECF0" w:sz="1"/>
              <w:right w:val="single" w:color="E8ECF0" w:sz="1"/>
            </w:tcBorders>
            <w:shd w:fill="F5F7FA" w:val="clear"/>
            <w:tcMar>
              <w:top w:type="dxa" w:w="80"/>
              <w:left w:type="dxa" w:w="120"/>
              <w:bottom w:type="dxa" w:w="80"/>
              <w:right w:type="dxa" w:w="120"/>
            </w:tcMar>
          </w:tcPr>
          <w:p>
            <w:r>
              <w:rPr>
                <w:b/>
                <w:bCs/>
                <w:color w:val="1A2B4C"/>
                <w:sz w:val="20"/>
                <w:szCs w:val="20"/>
              </w:rPr>
              <w:t xml:space="preserve">Accountability</w:t>
            </w:r>
          </w:p>
        </w:tc>
        <w:tc>
          <w:tcPr>
            <w:tcW w:type="dxa" w:w="6960"/>
            <w:tcBorders>
              <w:top w:val="single" w:color="E8ECF0" w:sz="1"/>
              <w:left w:val="single" w:color="E8ECF0" w:sz="1"/>
              <w:bottom w:val="single" w:color="E8ECF0" w:sz="1"/>
              <w:right w:val="single" w:color="E8ECF0" w:sz="1"/>
            </w:tcBorders>
            <w:shd w:fill="F5F7FA" w:val="clear"/>
            <w:tcMar>
              <w:top w:type="dxa" w:w="80"/>
              <w:left w:type="dxa" w:w="120"/>
              <w:bottom w:type="dxa" w:w="80"/>
              <w:right w:type="dxa" w:w="120"/>
            </w:tcMar>
          </w:tcPr>
          <w:p>
            <w:r>
              <w:rPr>
                <w:color w:val="4A5568"/>
                <w:sz w:val="20"/>
                <w:szCs w:val="20"/>
              </w:rPr>
              <w:t xml:space="preserve">Clear ownership exists for all AI systems. Human operators remain accountable for AI-assisted decisions, with audit trails capturing all AI interactions.</w:t>
            </w:r>
          </w:p>
        </w:tc>
      </w:tr>
      <w:tr>
        <w:tc>
          <w:tcPr>
            <w:tcW w:type="dxa" w:w="240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b/>
                <w:bCs/>
                <w:color w:val="1A2B4C"/>
                <w:sz w:val="20"/>
                <w:szCs w:val="20"/>
              </w:rPr>
              <w:t xml:space="preserve">Fairness</w:t>
            </w:r>
          </w:p>
        </w:tc>
        <w:tc>
          <w:tcPr>
            <w:tcW w:type="dxa" w:w="696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color w:val="4A5568"/>
                <w:sz w:val="20"/>
                <w:szCs w:val="20"/>
              </w:rPr>
              <w:t xml:space="preserve">AI systems are designed and continuously monitored to prevent bias, discrimination, or unfair treatment based on protected characteristics.</w:t>
            </w:r>
          </w:p>
        </w:tc>
      </w:tr>
      <w:tr>
        <w:tc>
          <w:tcPr>
            <w:tcW w:type="dxa" w:w="2400"/>
            <w:tcBorders>
              <w:top w:val="single" w:color="E8ECF0" w:sz="1"/>
              <w:left w:val="single" w:color="E8ECF0" w:sz="1"/>
              <w:bottom w:val="single" w:color="E8ECF0" w:sz="1"/>
              <w:right w:val="single" w:color="E8ECF0" w:sz="1"/>
            </w:tcBorders>
            <w:shd w:fill="F5F7FA" w:val="clear"/>
            <w:tcMar>
              <w:top w:type="dxa" w:w="80"/>
              <w:left w:type="dxa" w:w="120"/>
              <w:bottom w:type="dxa" w:w="80"/>
              <w:right w:type="dxa" w:w="120"/>
            </w:tcMar>
          </w:tcPr>
          <w:p>
            <w:r>
              <w:rPr>
                <w:b/>
                <w:bCs/>
                <w:color w:val="1A2B4C"/>
                <w:sz w:val="20"/>
                <w:szCs w:val="20"/>
              </w:rPr>
              <w:t xml:space="preserve">Privacy</w:t>
            </w:r>
          </w:p>
        </w:tc>
        <w:tc>
          <w:tcPr>
            <w:tcW w:type="dxa" w:w="6960"/>
            <w:tcBorders>
              <w:top w:val="single" w:color="E8ECF0" w:sz="1"/>
              <w:left w:val="single" w:color="E8ECF0" w:sz="1"/>
              <w:bottom w:val="single" w:color="E8ECF0" w:sz="1"/>
              <w:right w:val="single" w:color="E8ECF0" w:sz="1"/>
            </w:tcBorders>
            <w:shd w:fill="F5F7FA" w:val="clear"/>
            <w:tcMar>
              <w:top w:type="dxa" w:w="80"/>
              <w:left w:type="dxa" w:w="120"/>
              <w:bottom w:type="dxa" w:w="80"/>
              <w:right w:type="dxa" w:w="120"/>
            </w:tcMar>
          </w:tcPr>
          <w:p>
            <w:r>
              <w:rPr>
                <w:color w:val="4A5568"/>
                <w:sz w:val="20"/>
                <w:szCs w:val="20"/>
              </w:rPr>
              <w:t xml:space="preserve">AI operations respect data privacy principles, minimizing data collection, ensuring purpose limitation, and protecting personal information.</w:t>
            </w:r>
          </w:p>
        </w:tc>
      </w:tr>
      <w:tr>
        <w:tc>
          <w:tcPr>
            <w:tcW w:type="dxa" w:w="240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b/>
                <w:bCs/>
                <w:color w:val="1A2B4C"/>
                <w:sz w:val="20"/>
                <w:szCs w:val="20"/>
              </w:rPr>
              <w:t xml:space="preserve">Security</w:t>
            </w:r>
          </w:p>
        </w:tc>
        <w:tc>
          <w:tcPr>
            <w:tcW w:type="dxa" w:w="696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color w:val="4A5568"/>
                <w:sz w:val="20"/>
                <w:szCs w:val="20"/>
              </w:rPr>
              <w:t xml:space="preserve">AI systems incorporate security-by-design principles, protecting against adversarial attacks, data breaches, and unauthorized access.</w:t>
            </w:r>
          </w:p>
        </w:tc>
      </w:tr>
      <w:tr>
        <w:tc>
          <w:tcPr>
            <w:tcW w:type="dxa" w:w="2400"/>
            <w:tcBorders>
              <w:top w:val="single" w:color="E8ECF0" w:sz="1"/>
              <w:left w:val="single" w:color="E8ECF0" w:sz="1"/>
              <w:bottom w:val="single" w:color="E8ECF0" w:sz="1"/>
              <w:right w:val="single" w:color="E8ECF0" w:sz="1"/>
            </w:tcBorders>
            <w:shd w:fill="F5F7FA" w:val="clear"/>
            <w:tcMar>
              <w:top w:type="dxa" w:w="80"/>
              <w:left w:type="dxa" w:w="120"/>
              <w:bottom w:type="dxa" w:w="80"/>
              <w:right w:type="dxa" w:w="120"/>
            </w:tcMar>
          </w:tcPr>
          <w:p>
            <w:r>
              <w:rPr>
                <w:b/>
                <w:bCs/>
                <w:color w:val="1A2B4C"/>
                <w:sz w:val="20"/>
                <w:szCs w:val="20"/>
              </w:rPr>
              <w:t xml:space="preserve">Continuous Improvement</w:t>
            </w:r>
          </w:p>
        </w:tc>
        <w:tc>
          <w:tcPr>
            <w:tcW w:type="dxa" w:w="6960"/>
            <w:tcBorders>
              <w:top w:val="single" w:color="E8ECF0" w:sz="1"/>
              <w:left w:val="single" w:color="E8ECF0" w:sz="1"/>
              <w:bottom w:val="single" w:color="E8ECF0" w:sz="1"/>
              <w:right w:val="single" w:color="E8ECF0" w:sz="1"/>
            </w:tcBorders>
            <w:shd w:fill="F5F7FA" w:val="clear"/>
            <w:tcMar>
              <w:top w:type="dxa" w:w="80"/>
              <w:left w:type="dxa" w:w="120"/>
              <w:bottom w:type="dxa" w:w="80"/>
              <w:right w:type="dxa" w:w="120"/>
            </w:tcMar>
          </w:tcPr>
          <w:p>
            <w:r>
              <w:rPr>
                <w:color w:val="4A5568"/>
                <w:sz w:val="20"/>
                <w:szCs w:val="20"/>
              </w:rPr>
              <w:t xml:space="preserve">AI systems are regularly evaluated, updated, and improved based on performance data, emerging best practices, and stakeholder feedback.</w:t>
            </w:r>
          </w:p>
        </w:tc>
      </w:tr>
    </w:tbl>
    <w:p>
      <w:r>
        <w:br w:type="page"/>
      </w:r>
    </w:p>
    <w:p>
      <w:pPr>
        <w:pStyle w:val="Heading1"/>
      </w:pPr>
      <w:r>
        <w:t xml:space="preserve">III. AI Governance Framework</w:t>
      </w:r>
    </w:p>
    <w:p>
      <w:pPr>
        <w:spacing w:after="150"/>
      </w:pPr>
      <w:r>
        <w:t xml:space="preserve">Sentrais maintains a structured governance framework ensuring responsible AI deployment across all products and engagements:</w:t>
      </w:r>
    </w:p>
    <w:p>
      <w:pPr>
        <w:pStyle w:val="Heading2"/>
      </w:pPr>
      <w:r>
        <w:t xml:space="preserve">3.1 Governance Structure</w:t>
      </w:r>
    </w:p>
    <w:p>
      <w:pPr>
        <w:pStyle w:val="ListParagraph"/>
        <w:numPr>
          <w:ilvl w:val="0"/>
          <w:numId w:val="2"/>
        </w:numPr>
        <w:spacing w:after="100"/>
      </w:pPr>
      <w:r>
        <w:rPr>
          <w:b/>
          <w:bCs/>
        </w:rPr>
        <w:t xml:space="preserve">AI Ethics Board: </w:t>
      </w:r>
      <w:r>
        <w:t xml:space="preserve">Cross-functional oversight body responsible for AI policy development, ethical review of new capabilities, and incident escalation.</w:t>
      </w:r>
    </w:p>
    <w:p>
      <w:pPr>
        <w:pStyle w:val="ListParagraph"/>
        <w:numPr>
          <w:ilvl w:val="0"/>
          <w:numId w:val="2"/>
        </w:numPr>
        <w:spacing w:after="100"/>
      </w:pPr>
      <w:r>
        <w:rPr>
          <w:b/>
          <w:bCs/>
        </w:rPr>
        <w:t xml:space="preserve">Technical Review Committee: </w:t>
      </w:r>
      <w:r>
        <w:t xml:space="preserve">Engineering leadership responsible for AI system architecture, security validation, and performance monitoring.</w:t>
      </w:r>
    </w:p>
    <w:p>
      <w:pPr>
        <w:pStyle w:val="ListParagraph"/>
        <w:numPr>
          <w:ilvl w:val="0"/>
          <w:numId w:val="2"/>
        </w:numPr>
        <w:spacing w:after="100"/>
      </w:pPr>
      <w:r>
        <w:rPr>
          <w:b/>
          <w:bCs/>
        </w:rPr>
        <w:t xml:space="preserve">Client Advisory Council: </w:t>
      </w:r>
      <w:r>
        <w:t xml:space="preserve">Stakeholder input mechanism ensuring AI capabilities align with client needs, industry standards, and regulatory requirements.</w:t>
      </w:r>
    </w:p>
    <w:p>
      <w:pPr>
        <w:pStyle w:val="Heading2"/>
      </w:pPr>
      <w:r>
        <w:t xml:space="preserve">3.2 Review &amp; Approval Process</w:t>
      </w:r>
    </w:p>
    <w:p>
      <w:pPr>
        <w:spacing w:after="150"/>
      </w:pPr>
      <w:r>
        <w:t xml:space="preserve">All new AI capabilities undergo a structured review process before deployment: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2B5A8F" w:sz="1"/>
              <w:left w:val="single" w:color="2B5A8F" w:sz="1"/>
              <w:bottom w:val="single" w:color="2B5A8F" w:sz="1"/>
              <w:right w:val="single" w:color="2B5A8F" w:sz="1"/>
            </w:tcBorders>
            <w:shd w:fill="2B5A8F" w:val="clear"/>
            <w:tcMar>
              <w:top w:type="dxa" w:w="60"/>
              <w:left w:type="dxa" w:w="100"/>
              <w:bottom w:type="dxa" w:w="60"/>
              <w:right w:type="dxa" w:w="100"/>
            </w:tcMar>
          </w:tcPr>
          <w:p>
            <w:r>
              <w:rPr>
                <w:b/>
                <w:bCs/>
                <w:color w:val="FFFFFF"/>
                <w:sz w:val="18"/>
                <w:szCs w:val="18"/>
              </w:rPr>
              <w:t xml:space="preserve">STAGE</w:t>
            </w:r>
          </w:p>
        </w:tc>
        <w:tc>
          <w:tcPr>
            <w:tcBorders>
              <w:top w:val="single" w:color="2B5A8F" w:sz="1"/>
              <w:left w:val="single" w:color="2B5A8F" w:sz="1"/>
              <w:bottom w:val="single" w:color="2B5A8F" w:sz="1"/>
              <w:right w:val="single" w:color="2B5A8F" w:sz="1"/>
            </w:tcBorders>
            <w:shd w:fill="2B5A8F" w:val="clear"/>
            <w:tcMar>
              <w:top w:type="dxa" w:w="60"/>
              <w:left w:type="dxa" w:w="100"/>
              <w:bottom w:type="dxa" w:w="60"/>
              <w:right w:type="dxa" w:w="100"/>
            </w:tcMar>
          </w:tcPr>
          <w:p>
            <w:r>
              <w:rPr>
                <w:b/>
                <w:bCs/>
                <w:color w:val="FFFFFF"/>
                <w:sz w:val="18"/>
                <w:szCs w:val="18"/>
              </w:rPr>
              <w:t xml:space="preserve">DESCRIPTION</w:t>
            </w:r>
          </w:p>
        </w:tc>
      </w:tr>
      <w:tr>
        <w:tc>
          <w:tcPr>
            <w:tcBorders>
              <w:top w:val="single" w:color="E8ECF0" w:sz="1"/>
              <w:left w:val="single" w:color="E8ECF0" w:sz="1"/>
              <w:bottom w:val="single" w:color="E8ECF0" w:sz="1"/>
              <w:right w:val="single" w:color="E8ECF0" w:sz="1"/>
            </w:tcBorders>
            <w:shd w:fill="F5F7FA" w:val="clear"/>
            <w:tcMar>
              <w:top w:type="dxa" w:w="60"/>
              <w:left w:type="dxa" w:w="100"/>
              <w:bottom w:type="dxa" w:w="60"/>
              <w:right w:type="dxa" w:w="100"/>
            </w:tcMar>
          </w:tcPr>
          <w:p>
            <w:r>
              <w:rPr>
                <w:b/>
                <w:bCs/>
                <w:color w:val="1A2B4C"/>
                <w:sz w:val="18"/>
                <w:szCs w:val="18"/>
              </w:rPr>
              <w:t xml:space="preserve">1. Concept Review</w:t>
            </w:r>
          </w:p>
        </w:tc>
        <w:tc>
          <w:tcPr>
            <w:tcBorders>
              <w:top w:val="single" w:color="E8ECF0" w:sz="1"/>
              <w:left w:val="single" w:color="E8ECF0" w:sz="1"/>
              <w:bottom w:val="single" w:color="E8ECF0" w:sz="1"/>
              <w:right w:val="single" w:color="E8ECF0" w:sz="1"/>
            </w:tcBorders>
            <w:shd w:fill="F5F7FA" w:val="clear"/>
            <w:tcMar>
              <w:top w:type="dxa" w:w="60"/>
              <w:left w:type="dxa" w:w="100"/>
              <w:bottom w:type="dxa" w:w="60"/>
              <w:right w:type="dxa" w:w="100"/>
            </w:tcMar>
          </w:tcPr>
          <w:p>
            <w:r>
              <w:rPr>
                <w:color w:val="4A5568"/>
                <w:sz w:val="18"/>
                <w:szCs w:val="18"/>
              </w:rPr>
              <w:t xml:space="preserve">Initial assessment of AI capability against ethical principles and business requirements</w:t>
            </w:r>
          </w:p>
        </w:tc>
      </w:tr>
      <w:tr>
        <w:tc>
          <w:tcPr>
            <w:tcBorders>
              <w:top w:val="single" w:color="E8ECF0" w:sz="1"/>
              <w:left w:val="single" w:color="E8ECF0" w:sz="1"/>
              <w:bottom w:val="single" w:color="E8ECF0" w:sz="1"/>
              <w:right w:val="single" w:color="E8ECF0" w:sz="1"/>
            </w:tcBorders>
            <w:shd w:fill="FFFFFF" w:val="clear"/>
            <w:tcMar>
              <w:top w:type="dxa" w:w="60"/>
              <w:left w:type="dxa" w:w="100"/>
              <w:bottom w:type="dxa" w:w="60"/>
              <w:right w:type="dxa" w:w="100"/>
            </w:tcMar>
          </w:tcPr>
          <w:p>
            <w:r>
              <w:rPr>
                <w:b/>
                <w:bCs/>
                <w:color w:val="1A2B4C"/>
                <w:sz w:val="18"/>
                <w:szCs w:val="18"/>
              </w:rPr>
              <w:t xml:space="preserve">2. Technical Design</w:t>
            </w:r>
          </w:p>
        </w:tc>
        <w:tc>
          <w:tcPr>
            <w:tcBorders>
              <w:top w:val="single" w:color="E8ECF0" w:sz="1"/>
              <w:left w:val="single" w:color="E8ECF0" w:sz="1"/>
              <w:bottom w:val="single" w:color="E8ECF0" w:sz="1"/>
              <w:right w:val="single" w:color="E8ECF0" w:sz="1"/>
            </w:tcBorders>
            <w:shd w:fill="FFFFFF" w:val="clear"/>
            <w:tcMar>
              <w:top w:type="dxa" w:w="60"/>
              <w:left w:type="dxa" w:w="100"/>
              <w:bottom w:type="dxa" w:w="60"/>
              <w:right w:type="dxa" w:w="100"/>
            </w:tcMar>
          </w:tcPr>
          <w:p>
            <w:r>
              <w:rPr>
                <w:color w:val="4A5568"/>
                <w:sz w:val="18"/>
                <w:szCs w:val="18"/>
              </w:rPr>
              <w:t xml:space="preserve">Architecture review including data flows, model selection, and security controls</w:t>
            </w:r>
          </w:p>
        </w:tc>
      </w:tr>
      <w:tr>
        <w:tc>
          <w:tcPr>
            <w:tcBorders>
              <w:top w:val="single" w:color="E8ECF0" w:sz="1"/>
              <w:left w:val="single" w:color="E8ECF0" w:sz="1"/>
              <w:bottom w:val="single" w:color="E8ECF0" w:sz="1"/>
              <w:right w:val="single" w:color="E8ECF0" w:sz="1"/>
            </w:tcBorders>
            <w:shd w:fill="F5F7FA" w:val="clear"/>
            <w:tcMar>
              <w:top w:type="dxa" w:w="60"/>
              <w:left w:type="dxa" w:w="100"/>
              <w:bottom w:type="dxa" w:w="60"/>
              <w:right w:type="dxa" w:w="100"/>
            </w:tcMar>
          </w:tcPr>
          <w:p>
            <w:r>
              <w:rPr>
                <w:b/>
                <w:bCs/>
                <w:color w:val="1A2B4C"/>
                <w:sz w:val="18"/>
                <w:szCs w:val="18"/>
              </w:rPr>
              <w:t xml:space="preserve">3. Bias Assessment</w:t>
            </w:r>
          </w:p>
        </w:tc>
        <w:tc>
          <w:tcPr>
            <w:tcBorders>
              <w:top w:val="single" w:color="E8ECF0" w:sz="1"/>
              <w:left w:val="single" w:color="E8ECF0" w:sz="1"/>
              <w:bottom w:val="single" w:color="E8ECF0" w:sz="1"/>
              <w:right w:val="single" w:color="E8ECF0" w:sz="1"/>
            </w:tcBorders>
            <w:shd w:fill="F5F7FA" w:val="clear"/>
            <w:tcMar>
              <w:top w:type="dxa" w:w="60"/>
              <w:left w:type="dxa" w:w="100"/>
              <w:bottom w:type="dxa" w:w="60"/>
              <w:right w:type="dxa" w:w="100"/>
            </w:tcMar>
          </w:tcPr>
          <w:p>
            <w:r>
              <w:rPr>
                <w:color w:val="4A5568"/>
                <w:sz w:val="18"/>
                <w:szCs w:val="18"/>
              </w:rPr>
              <w:t xml:space="preserve">Evaluation of training data, model outputs, and potential fairness concerns</w:t>
            </w:r>
          </w:p>
        </w:tc>
      </w:tr>
      <w:tr>
        <w:tc>
          <w:tcPr>
            <w:tcBorders>
              <w:top w:val="single" w:color="E8ECF0" w:sz="1"/>
              <w:left w:val="single" w:color="E8ECF0" w:sz="1"/>
              <w:bottom w:val="single" w:color="E8ECF0" w:sz="1"/>
              <w:right w:val="single" w:color="E8ECF0" w:sz="1"/>
            </w:tcBorders>
            <w:shd w:fill="FFFFFF" w:val="clear"/>
            <w:tcMar>
              <w:top w:type="dxa" w:w="60"/>
              <w:left w:type="dxa" w:w="100"/>
              <w:bottom w:type="dxa" w:w="60"/>
              <w:right w:type="dxa" w:w="100"/>
            </w:tcMar>
          </w:tcPr>
          <w:p>
            <w:r>
              <w:rPr>
                <w:b/>
                <w:bCs/>
                <w:color w:val="1A2B4C"/>
                <w:sz w:val="18"/>
                <w:szCs w:val="18"/>
              </w:rPr>
              <w:t xml:space="preserve">4. Security Validation</w:t>
            </w:r>
          </w:p>
        </w:tc>
        <w:tc>
          <w:tcPr>
            <w:tcBorders>
              <w:top w:val="single" w:color="E8ECF0" w:sz="1"/>
              <w:left w:val="single" w:color="E8ECF0" w:sz="1"/>
              <w:bottom w:val="single" w:color="E8ECF0" w:sz="1"/>
              <w:right w:val="single" w:color="E8ECF0" w:sz="1"/>
            </w:tcBorders>
            <w:shd w:fill="FFFFFF" w:val="clear"/>
            <w:tcMar>
              <w:top w:type="dxa" w:w="60"/>
              <w:left w:type="dxa" w:w="100"/>
              <w:bottom w:type="dxa" w:w="60"/>
              <w:right w:type="dxa" w:w="100"/>
            </w:tcMar>
          </w:tcPr>
          <w:p>
            <w:r>
              <w:rPr>
                <w:color w:val="4A5568"/>
                <w:sz w:val="18"/>
                <w:szCs w:val="18"/>
              </w:rPr>
              <w:t xml:space="preserve">Penetration testing, vulnerability assessment, and adversarial robustness testing</w:t>
            </w:r>
          </w:p>
        </w:tc>
      </w:tr>
      <w:tr>
        <w:tc>
          <w:tcPr>
            <w:tcBorders>
              <w:top w:val="single" w:color="E8ECF0" w:sz="1"/>
              <w:left w:val="single" w:color="E8ECF0" w:sz="1"/>
              <w:bottom w:val="single" w:color="E8ECF0" w:sz="1"/>
              <w:right w:val="single" w:color="E8ECF0" w:sz="1"/>
            </w:tcBorders>
            <w:shd w:fill="F5F7FA" w:val="clear"/>
            <w:tcMar>
              <w:top w:type="dxa" w:w="60"/>
              <w:left w:type="dxa" w:w="100"/>
              <w:bottom w:type="dxa" w:w="60"/>
              <w:right w:type="dxa" w:w="100"/>
            </w:tcMar>
          </w:tcPr>
          <w:p>
            <w:r>
              <w:rPr>
                <w:b/>
                <w:bCs/>
                <w:color w:val="1A2B4C"/>
                <w:sz w:val="18"/>
                <w:szCs w:val="18"/>
              </w:rPr>
              <w:t xml:space="preserve">5. Pilot Testing</w:t>
            </w:r>
          </w:p>
        </w:tc>
        <w:tc>
          <w:tcPr>
            <w:tcBorders>
              <w:top w:val="single" w:color="E8ECF0" w:sz="1"/>
              <w:left w:val="single" w:color="E8ECF0" w:sz="1"/>
              <w:bottom w:val="single" w:color="E8ECF0" w:sz="1"/>
              <w:right w:val="single" w:color="E8ECF0" w:sz="1"/>
            </w:tcBorders>
            <w:shd w:fill="F5F7FA" w:val="clear"/>
            <w:tcMar>
              <w:top w:type="dxa" w:w="60"/>
              <w:left w:type="dxa" w:w="100"/>
              <w:bottom w:type="dxa" w:w="60"/>
              <w:right w:type="dxa" w:w="100"/>
            </w:tcMar>
          </w:tcPr>
          <w:p>
            <w:r>
              <w:rPr>
                <w:color w:val="4A5568"/>
                <w:sz w:val="18"/>
                <w:szCs w:val="18"/>
              </w:rPr>
              <w:t xml:space="preserve">Controlled deployment with monitoring, feedback collection, and iteration</w:t>
            </w:r>
          </w:p>
        </w:tc>
      </w:tr>
      <w:tr>
        <w:tc>
          <w:tcPr>
            <w:tcBorders>
              <w:top w:val="single" w:color="E8ECF0" w:sz="1"/>
              <w:left w:val="single" w:color="E8ECF0" w:sz="1"/>
              <w:bottom w:val="single" w:color="E8ECF0" w:sz="1"/>
              <w:right w:val="single" w:color="E8ECF0" w:sz="1"/>
            </w:tcBorders>
            <w:shd w:fill="FFFFFF" w:val="clear"/>
            <w:tcMar>
              <w:top w:type="dxa" w:w="60"/>
              <w:left w:type="dxa" w:w="100"/>
              <w:bottom w:type="dxa" w:w="60"/>
              <w:right w:type="dxa" w:w="100"/>
            </w:tcMar>
          </w:tcPr>
          <w:p>
            <w:r>
              <w:rPr>
                <w:b/>
                <w:bCs/>
                <w:color w:val="1A2B4C"/>
                <w:sz w:val="18"/>
                <w:szCs w:val="18"/>
              </w:rPr>
              <w:t xml:space="preserve">6. Ethics Certification</w:t>
            </w:r>
          </w:p>
        </w:tc>
        <w:tc>
          <w:tcPr>
            <w:tcBorders>
              <w:top w:val="single" w:color="E8ECF0" w:sz="1"/>
              <w:left w:val="single" w:color="E8ECF0" w:sz="1"/>
              <w:bottom w:val="single" w:color="E8ECF0" w:sz="1"/>
              <w:right w:val="single" w:color="E8ECF0" w:sz="1"/>
            </w:tcBorders>
            <w:shd w:fill="FFFFFF" w:val="clear"/>
            <w:tcMar>
              <w:top w:type="dxa" w:w="60"/>
              <w:left w:type="dxa" w:w="100"/>
              <w:bottom w:type="dxa" w:w="60"/>
              <w:right w:type="dxa" w:w="100"/>
            </w:tcMar>
          </w:tcPr>
          <w:p>
            <w:r>
              <w:rPr>
                <w:color w:val="4A5568"/>
                <w:sz w:val="18"/>
                <w:szCs w:val="18"/>
              </w:rPr>
              <w:t xml:space="preserve">Final AI Ethics Board review and approval for production deployment</w:t>
            </w:r>
          </w:p>
        </w:tc>
      </w:tr>
      <w:tr>
        <w:tc>
          <w:tcPr>
            <w:tcBorders>
              <w:top w:val="single" w:color="E8ECF0" w:sz="1"/>
              <w:left w:val="single" w:color="E8ECF0" w:sz="1"/>
              <w:bottom w:val="single" w:color="E8ECF0" w:sz="1"/>
              <w:right w:val="single" w:color="E8ECF0" w:sz="1"/>
            </w:tcBorders>
            <w:shd w:fill="F5F7FA" w:val="clear"/>
            <w:tcMar>
              <w:top w:type="dxa" w:w="60"/>
              <w:left w:type="dxa" w:w="100"/>
              <w:bottom w:type="dxa" w:w="60"/>
              <w:right w:type="dxa" w:w="100"/>
            </w:tcMar>
          </w:tcPr>
          <w:p>
            <w:r>
              <w:rPr>
                <w:b/>
                <w:bCs/>
                <w:color w:val="1A2B4C"/>
                <w:sz w:val="18"/>
                <w:szCs w:val="18"/>
              </w:rPr>
              <w:t xml:space="preserve">7. Continuous Monitoring</w:t>
            </w:r>
          </w:p>
        </w:tc>
        <w:tc>
          <w:tcPr>
            <w:tcBorders>
              <w:top w:val="single" w:color="E8ECF0" w:sz="1"/>
              <w:left w:val="single" w:color="E8ECF0" w:sz="1"/>
              <w:bottom w:val="single" w:color="E8ECF0" w:sz="1"/>
              <w:right w:val="single" w:color="E8ECF0" w:sz="1"/>
            </w:tcBorders>
            <w:shd w:fill="F5F7FA" w:val="clear"/>
            <w:tcMar>
              <w:top w:type="dxa" w:w="60"/>
              <w:left w:type="dxa" w:w="100"/>
              <w:bottom w:type="dxa" w:w="60"/>
              <w:right w:type="dxa" w:w="100"/>
            </w:tcMar>
          </w:tcPr>
          <w:p>
            <w:r>
              <w:rPr>
                <w:color w:val="4A5568"/>
                <w:sz w:val="18"/>
                <w:szCs w:val="18"/>
              </w:rPr>
              <w:t xml:space="preserve">Ongoing performance tracking, bias detection, and compliance validation</w:t>
            </w:r>
          </w:p>
        </w:tc>
      </w:tr>
    </w:tbl>
    <w:p>
      <w:pPr>
        <w:pStyle w:val="Heading1"/>
      </w:pPr>
      <w:r>
        <w:t xml:space="preserve">IV. Ethical Standards</w:t>
      </w:r>
    </w:p>
    <w:p>
      <w:pPr>
        <w:pStyle w:val="Heading2"/>
      </w:pPr>
      <w:r>
        <w:t xml:space="preserve">4.1 Prohibited Uses</w:t>
      </w:r>
    </w:p>
    <w:p>
      <w:pPr>
        <w:spacing w:after="100"/>
      </w:pPr>
      <w:r>
        <w:t xml:space="preserve">Sentrais AI systems are explicitly prohibited from the following applications:</w:t>
      </w:r>
    </w:p>
    <w:p>
      <w:pPr>
        <w:pStyle w:val="ListParagraph"/>
        <w:numPr>
          <w:ilvl w:val="0"/>
          <w:numId w:val="2"/>
        </w:numPr>
        <w:spacing w:after="80"/>
      </w:pPr>
      <w:r>
        <w:t xml:space="preserve">Autonomous decision-making on matters affecting individual rights, employment, or safety without human review</w:t>
      </w:r>
    </w:p>
    <w:p>
      <w:pPr>
        <w:pStyle w:val="ListParagraph"/>
        <w:numPr>
          <w:ilvl w:val="0"/>
          <w:numId w:val="2"/>
        </w:numPr>
        <w:spacing w:after="80"/>
      </w:pPr>
      <w:r>
        <w:t xml:space="preserve">Surveillance or monitoring that infringes on reasonable privacy expectations</w:t>
      </w:r>
    </w:p>
    <w:p>
      <w:pPr>
        <w:pStyle w:val="ListParagraph"/>
        <w:numPr>
          <w:ilvl w:val="0"/>
          <w:numId w:val="2"/>
        </w:numPr>
        <w:spacing w:after="80"/>
      </w:pPr>
      <w:r>
        <w:t xml:space="preserve">Generation of deceptive content (deepfakes, misinformation, or content designed to mislead)</w:t>
      </w:r>
    </w:p>
    <w:p>
      <w:pPr>
        <w:pStyle w:val="ListParagraph"/>
        <w:numPr>
          <w:ilvl w:val="0"/>
          <w:numId w:val="2"/>
        </w:numPr>
        <w:spacing w:after="80"/>
      </w:pPr>
      <w:r>
        <w:t xml:space="preserve">Discriminatory profiling or scoring based on protected characteristics</w:t>
      </w:r>
    </w:p>
    <w:p>
      <w:pPr>
        <w:pStyle w:val="ListParagraph"/>
        <w:numPr>
          <w:ilvl w:val="0"/>
          <w:numId w:val="2"/>
        </w:numPr>
        <w:spacing w:after="80"/>
      </w:pPr>
      <w:r>
        <w:t xml:space="preserve">Manipulation of human behavior through exploitative design patterns</w:t>
      </w:r>
    </w:p>
    <w:p>
      <w:pPr>
        <w:pStyle w:val="ListParagraph"/>
        <w:numPr>
          <w:ilvl w:val="0"/>
          <w:numId w:val="2"/>
        </w:numPr>
        <w:spacing w:after="150"/>
      </w:pPr>
      <w:r>
        <w:t xml:space="preserve">Processing of credentials, passwords, or security tokens that could enable unauthorized system access</w:t>
      </w:r>
    </w:p>
    <w:p>
      <w:pPr>
        <w:pStyle w:val="Heading2"/>
      </w:pPr>
      <w:r>
        <w:t xml:space="preserve">4.2 Bias Prevention</w:t>
      </w:r>
    </w:p>
    <w:p>
      <w:pPr>
        <w:spacing w:after="150"/>
      </w:pPr>
      <w:r>
        <w:t xml:space="preserve">Sentrais implements comprehensive bias prevention measures throughout the AI lifecycle, including diverse training data curation, regular fairness audits, demographic impact analysis, and bias detection monitoring. When potential bias is identified, affected systems are immediately flagged for review and remediation before continued operation.</w:t>
      </w:r>
    </w:p>
    <w:p>
      <w:r>
        <w:br w:type="page"/>
      </w:r>
    </w:p>
    <w:p>
      <w:pPr>
        <w:pStyle w:val="Heading1"/>
      </w:pPr>
      <w:r>
        <w:t xml:space="preserve">V. Data Protection &amp; Privacy</w:t>
      </w:r>
    </w:p>
    <w:p>
      <w:pPr>
        <w:pStyle w:val="Heading2"/>
      </w:pPr>
      <w:r>
        <w:t xml:space="preserve">5.1 Data Handling Principles</w:t>
      </w:r>
    </w:p>
    <w:p>
      <w:pPr>
        <w:spacing w:after="150"/>
      </w:pPr>
      <w:r>
        <w:t xml:space="preserve">All data processed by Sentrais AI systems adheres to the following principles:</w:t>
      </w:r>
    </w:p>
    <w:p>
      <w:pPr>
        <w:pStyle w:val="ListParagraph"/>
        <w:numPr>
          <w:ilvl w:val="0"/>
          <w:numId w:val="2"/>
        </w:numPr>
        <w:spacing w:after="100"/>
      </w:pPr>
      <w:r>
        <w:rPr>
          <w:b/>
          <w:bCs/>
        </w:rPr>
        <w:t xml:space="preserve">Data Minimization: </w:t>
      </w:r>
      <w:r>
        <w:t xml:space="preserve">AI systems collect and process only the minimum data necessary for their intended function.</w:t>
      </w:r>
    </w:p>
    <w:p>
      <w:pPr>
        <w:pStyle w:val="ListParagraph"/>
        <w:numPr>
          <w:ilvl w:val="0"/>
          <w:numId w:val="2"/>
        </w:numPr>
        <w:spacing w:after="100"/>
      </w:pPr>
      <w:r>
        <w:rPr>
          <w:b/>
          <w:bCs/>
        </w:rPr>
        <w:t xml:space="preserve">Purpose Limitation: </w:t>
      </w:r>
      <w:r>
        <w:t xml:space="preserve">Data collected for one purpose is not repurposed for AI training or other uses without explicit authorization.</w:t>
      </w:r>
    </w:p>
    <w:p>
      <w:pPr>
        <w:pStyle w:val="ListParagraph"/>
        <w:numPr>
          <w:ilvl w:val="0"/>
          <w:numId w:val="2"/>
        </w:numPr>
        <w:spacing w:after="100"/>
      </w:pPr>
      <w:r>
        <w:rPr>
          <w:b/>
          <w:bCs/>
        </w:rPr>
        <w:t xml:space="preserve">Storage Limitation: </w:t>
      </w:r>
      <w:r>
        <w:t xml:space="preserve">AI-processed data is retained only as long as necessary, with automated purging protocols.</w:t>
      </w:r>
    </w:p>
    <w:p>
      <w:pPr>
        <w:pStyle w:val="ListParagraph"/>
        <w:numPr>
          <w:ilvl w:val="0"/>
          <w:numId w:val="2"/>
        </w:numPr>
        <w:spacing w:after="100"/>
      </w:pPr>
      <w:r>
        <w:rPr>
          <w:b/>
          <w:bCs/>
        </w:rPr>
        <w:t xml:space="preserve">Integrity &amp; Confidentiality: </w:t>
      </w:r>
      <w:r>
        <w:t xml:space="preserve">Encryption at rest and in transit, access controls, and audit logging protect all AI data flows.</w:t>
      </w:r>
    </w:p>
    <w:p>
      <w:pPr>
        <w:pStyle w:val="Heading2"/>
      </w:pPr>
      <w:r>
        <w:t xml:space="preserve">5.2 Client Data Commitments</w:t>
      </w:r>
    </w:p>
    <w:p>
      <w:pPr>
        <w:spacing w:after="150"/>
      </w:pPr>
      <w:r>
        <w:t xml:space="preserve">Sentrais makes the following commitments regarding client data in AI systems:</w:t>
      </w:r>
    </w:p>
    <w:p>
      <w:pPr>
        <w:pStyle w:val="ListParagraph"/>
        <w:numPr>
          <w:ilvl w:val="0"/>
          <w:numId w:val="3"/>
        </w:numPr>
        <w:spacing w:after="80"/>
      </w:pPr>
      <w:r>
        <w:t xml:space="preserve">Client data is never used to train general-purpose AI models without explicit written consent.</w:t>
      </w:r>
    </w:p>
    <w:p>
      <w:pPr>
        <w:pStyle w:val="ListParagraph"/>
        <w:numPr>
          <w:ilvl w:val="0"/>
          <w:numId w:val="3"/>
        </w:numPr>
        <w:spacing w:after="80"/>
      </w:pPr>
      <w:r>
        <w:t xml:space="preserve">Client-specific AI models remain the intellectual property of the client.</w:t>
      </w:r>
    </w:p>
    <w:p>
      <w:pPr>
        <w:pStyle w:val="ListParagraph"/>
        <w:numPr>
          <w:ilvl w:val="0"/>
          <w:numId w:val="3"/>
        </w:numPr>
        <w:spacing w:after="80"/>
      </w:pPr>
      <w:r>
        <w:t xml:space="preserve">AI outputs derived from client data are not shared across client boundaries.</w:t>
      </w:r>
    </w:p>
    <w:p>
      <w:pPr>
        <w:pStyle w:val="ListParagraph"/>
        <w:numPr>
          <w:ilvl w:val="0"/>
          <w:numId w:val="3"/>
        </w:numPr>
        <w:spacing w:after="80"/>
      </w:pPr>
      <w:r>
        <w:t xml:space="preserve">Clients may request complete data deletion, including AI model artifacts, upon engagement termination.</w:t>
      </w:r>
    </w:p>
    <w:p>
      <w:pPr>
        <w:pStyle w:val="ListParagraph"/>
        <w:numPr>
          <w:ilvl w:val="0"/>
          <w:numId w:val="3"/>
        </w:numPr>
        <w:spacing w:after="150"/>
      </w:pPr>
      <w:r>
        <w:t xml:space="preserve">All AI data processing activities are documented and available for client audit upon request.</w:t>
      </w:r>
    </w:p>
    <w:p>
      <w:pPr>
        <w:pStyle w:val="Heading1"/>
      </w:pPr>
      <w:r>
        <w:t xml:space="preserve">VI. Human-AI Partnership Model</w:t>
      </w:r>
    </w:p>
    <w:p>
      <w:pPr>
        <w:spacing w:after="150"/>
      </w:pPr>
      <w:r>
        <w:t xml:space="preserve">Sentrais implements a structured Human-AI Partnership Model that defines clear boundaries between AI assistance and human authority: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2E8B8B" w:sz="1"/>
              <w:left w:val="single" w:color="2E8B8B" w:sz="1"/>
              <w:bottom w:val="single" w:color="2E8B8B" w:sz="1"/>
              <w:right w:val="single" w:color="2E8B8B" w:sz="1"/>
            </w:tcBorders>
            <w:shd w:fill="2E8B8B" w:val="clear"/>
            <w:tcMar>
              <w:top w:type="dxa" w:w="80"/>
              <w:left w:type="dxa" w:w="120"/>
              <w:bottom w:type="dxa" w:w="80"/>
              <w:right w:type="dxa" w:w="120"/>
            </w:tcMar>
          </w:tcPr>
          <w:p>
            <w:r>
              <w:rPr>
                <w:b/>
                <w:bCs/>
                <w:color w:val="FFFFFF"/>
                <w:sz w:val="18"/>
                <w:szCs w:val="18"/>
              </w:rPr>
              <w:t xml:space="preserve">FUNCTION</w:t>
            </w:r>
          </w:p>
        </w:tc>
        <w:tc>
          <w:tcPr>
            <w:tcBorders>
              <w:top w:val="single" w:color="2E8B8B" w:sz="1"/>
              <w:left w:val="single" w:color="2E8B8B" w:sz="1"/>
              <w:bottom w:val="single" w:color="2E8B8B" w:sz="1"/>
              <w:right w:val="single" w:color="2E8B8B" w:sz="1"/>
            </w:tcBorders>
            <w:shd w:fill="2E8B8B" w:val="clear"/>
            <w:tcMar>
              <w:top w:type="dxa" w:w="80"/>
              <w:left w:type="dxa" w:w="120"/>
              <w:bottom w:type="dxa" w:w="80"/>
              <w:right w:type="dxa" w:w="120"/>
            </w:tcMar>
          </w:tcPr>
          <w:p>
            <w:pPr>
              <w:jc w:val="center"/>
            </w:pPr>
            <w:r>
              <w:rPr>
                <w:b/>
                <w:bCs/>
                <w:color w:val="FFFFFF"/>
                <w:sz w:val="18"/>
                <w:szCs w:val="18"/>
              </w:rPr>
              <w:t xml:space="preserve">AI ROLE</w:t>
            </w:r>
          </w:p>
        </w:tc>
        <w:tc>
          <w:tcPr>
            <w:tcBorders>
              <w:top w:val="single" w:color="2E8B8B" w:sz="1"/>
              <w:left w:val="single" w:color="2E8B8B" w:sz="1"/>
              <w:bottom w:val="single" w:color="2E8B8B" w:sz="1"/>
              <w:right w:val="single" w:color="2E8B8B" w:sz="1"/>
            </w:tcBorders>
            <w:shd w:fill="2E8B8B" w:val="clear"/>
            <w:tcMar>
              <w:top w:type="dxa" w:w="80"/>
              <w:left w:type="dxa" w:w="120"/>
              <w:bottom w:type="dxa" w:w="80"/>
              <w:right w:type="dxa" w:w="120"/>
            </w:tcMar>
          </w:tcPr>
          <w:p>
            <w:pPr>
              <w:jc w:val="center"/>
            </w:pPr>
            <w:r>
              <w:rPr>
                <w:b/>
                <w:bCs/>
                <w:color w:val="FFFFFF"/>
                <w:sz w:val="18"/>
                <w:szCs w:val="18"/>
              </w:rPr>
              <w:t xml:space="preserve">HUMAN ROLE</w:t>
            </w:r>
          </w:p>
        </w:tc>
      </w:tr>
      <w:tr>
        <w:tc>
          <w:tcPr>
            <w:tcBorders>
              <w:top w:val="single" w:color="E8ECF0" w:sz="1"/>
              <w:left w:val="single" w:color="E8ECF0" w:sz="1"/>
              <w:bottom w:val="single" w:color="E8ECF0" w:sz="1"/>
              <w:right w:val="single" w:color="E8ECF0" w:sz="1"/>
            </w:tcBorders>
            <w:shd w:fill="F5F7FA" w:val="clear"/>
            <w:tcMar>
              <w:top w:type="dxa" w:w="60"/>
              <w:left w:type="dxa" w:w="120"/>
              <w:bottom w:type="dxa" w:w="60"/>
              <w:right w:type="dxa" w:w="120"/>
            </w:tcMar>
          </w:tcPr>
          <w:p>
            <w:r>
              <w:rPr>
                <w:b/>
                <w:bCs/>
                <w:color w:val="1A2B4C"/>
                <w:sz w:val="18"/>
                <w:szCs w:val="18"/>
              </w:rPr>
              <w:t xml:space="preserve">Data Analysis</w:t>
            </w:r>
          </w:p>
        </w:tc>
        <w:tc>
          <w:tcPr>
            <w:tcBorders>
              <w:top w:val="single" w:color="E8ECF0" w:sz="1"/>
              <w:left w:val="single" w:color="E8ECF0" w:sz="1"/>
              <w:bottom w:val="single" w:color="E8ECF0" w:sz="1"/>
              <w:right w:val="single" w:color="E8ECF0" w:sz="1"/>
            </w:tcBorders>
            <w:shd w:fill="F5F7FA" w:val="clear"/>
            <w:tcMar>
              <w:top w:type="dxa" w:w="60"/>
              <w:left w:type="dxa" w:w="120"/>
              <w:bottom w:type="dxa" w:w="60"/>
              <w:right w:type="dxa" w:w="120"/>
            </w:tcMar>
          </w:tcPr>
          <w:p>
            <w:pPr>
              <w:jc w:val="center"/>
            </w:pPr>
            <w:r>
              <w:rPr>
                <w:color w:val="4A5568"/>
                <w:sz w:val="18"/>
                <w:szCs w:val="18"/>
              </w:rPr>
              <w:t xml:space="preserve">Process, identify patterns</w:t>
            </w:r>
          </w:p>
        </w:tc>
        <w:tc>
          <w:tcPr>
            <w:tcBorders>
              <w:top w:val="single" w:color="E8ECF0" w:sz="1"/>
              <w:left w:val="single" w:color="E8ECF0" w:sz="1"/>
              <w:bottom w:val="single" w:color="E8ECF0" w:sz="1"/>
              <w:right w:val="single" w:color="E8ECF0" w:sz="1"/>
            </w:tcBorders>
            <w:shd w:fill="F5F7FA" w:val="clear"/>
            <w:tcMar>
              <w:top w:type="dxa" w:w="60"/>
              <w:left w:type="dxa" w:w="120"/>
              <w:bottom w:type="dxa" w:w="60"/>
              <w:right w:type="dxa" w:w="120"/>
            </w:tcMar>
          </w:tcPr>
          <w:p>
            <w:pPr>
              <w:jc w:val="center"/>
            </w:pPr>
            <w:r>
              <w:rPr>
                <w:color w:val="4A5568"/>
                <w:sz w:val="18"/>
                <w:szCs w:val="18"/>
              </w:rPr>
              <w:t xml:space="preserve">Interpret, validate findings</w:t>
            </w:r>
          </w:p>
        </w:tc>
      </w:tr>
      <w:tr>
        <w:tc>
          <w:tcPr>
            <w:tcBorders>
              <w:top w:val="single" w:color="E8ECF0" w:sz="1"/>
              <w:left w:val="single" w:color="E8ECF0" w:sz="1"/>
              <w:bottom w:val="single" w:color="E8ECF0" w:sz="1"/>
              <w:right w:val="single" w:color="E8ECF0" w:sz="1"/>
            </w:tcBorders>
            <w:shd w:fill="FFFFFF" w:val="clear"/>
            <w:tcMar>
              <w:top w:type="dxa" w:w="60"/>
              <w:left w:type="dxa" w:w="120"/>
              <w:bottom w:type="dxa" w:w="60"/>
              <w:right w:type="dxa" w:w="120"/>
            </w:tcMar>
          </w:tcPr>
          <w:p>
            <w:r>
              <w:rPr>
                <w:b/>
                <w:bCs/>
                <w:color w:val="1A2B4C"/>
                <w:sz w:val="18"/>
                <w:szCs w:val="18"/>
              </w:rPr>
              <w:t xml:space="preserve">Predictions</w:t>
            </w:r>
          </w:p>
        </w:tc>
        <w:tc>
          <w:tcPr>
            <w:tcBorders>
              <w:top w:val="single" w:color="E8ECF0" w:sz="1"/>
              <w:left w:val="single" w:color="E8ECF0" w:sz="1"/>
              <w:bottom w:val="single" w:color="E8ECF0" w:sz="1"/>
              <w:right w:val="single" w:color="E8ECF0" w:sz="1"/>
            </w:tcBorders>
            <w:shd w:fill="FFFFFF" w:val="clear"/>
            <w:tcMar>
              <w:top w:type="dxa" w:w="60"/>
              <w:left w:type="dxa" w:w="120"/>
              <w:bottom w:type="dxa" w:w="60"/>
              <w:right w:type="dxa" w:w="120"/>
            </w:tcMar>
          </w:tcPr>
          <w:p>
            <w:pPr>
              <w:jc w:val="center"/>
            </w:pPr>
            <w:r>
              <w:rPr>
                <w:color w:val="4A5568"/>
                <w:sz w:val="18"/>
                <w:szCs w:val="18"/>
              </w:rPr>
              <w:t xml:space="preserve">Generate forecasts</w:t>
            </w:r>
          </w:p>
        </w:tc>
        <w:tc>
          <w:tcPr>
            <w:tcBorders>
              <w:top w:val="single" w:color="E8ECF0" w:sz="1"/>
              <w:left w:val="single" w:color="E8ECF0" w:sz="1"/>
              <w:bottom w:val="single" w:color="E8ECF0" w:sz="1"/>
              <w:right w:val="single" w:color="E8ECF0" w:sz="1"/>
            </w:tcBorders>
            <w:shd w:fill="FFFFFF" w:val="clear"/>
            <w:tcMar>
              <w:top w:type="dxa" w:w="60"/>
              <w:left w:type="dxa" w:w="120"/>
              <w:bottom w:type="dxa" w:w="60"/>
              <w:right w:type="dxa" w:w="120"/>
            </w:tcMar>
          </w:tcPr>
          <w:p>
            <w:pPr>
              <w:jc w:val="center"/>
            </w:pPr>
            <w:r>
              <w:rPr>
                <w:color w:val="4A5568"/>
                <w:sz w:val="18"/>
                <w:szCs w:val="18"/>
              </w:rPr>
              <w:t xml:space="preserve">Approve, act on insights</w:t>
            </w:r>
          </w:p>
        </w:tc>
      </w:tr>
      <w:tr>
        <w:tc>
          <w:tcPr>
            <w:tcBorders>
              <w:top w:val="single" w:color="E8ECF0" w:sz="1"/>
              <w:left w:val="single" w:color="E8ECF0" w:sz="1"/>
              <w:bottom w:val="single" w:color="E8ECF0" w:sz="1"/>
              <w:right w:val="single" w:color="E8ECF0" w:sz="1"/>
            </w:tcBorders>
            <w:shd w:fill="F5F7FA" w:val="clear"/>
            <w:tcMar>
              <w:top w:type="dxa" w:w="60"/>
              <w:left w:type="dxa" w:w="120"/>
              <w:bottom w:type="dxa" w:w="60"/>
              <w:right w:type="dxa" w:w="120"/>
            </w:tcMar>
          </w:tcPr>
          <w:p>
            <w:r>
              <w:rPr>
                <w:b/>
                <w:bCs/>
                <w:color w:val="1A2B4C"/>
                <w:sz w:val="18"/>
                <w:szCs w:val="18"/>
              </w:rPr>
              <w:t xml:space="preserve">Recommendations</w:t>
            </w:r>
          </w:p>
        </w:tc>
        <w:tc>
          <w:tcPr>
            <w:tcBorders>
              <w:top w:val="single" w:color="E8ECF0" w:sz="1"/>
              <w:left w:val="single" w:color="E8ECF0" w:sz="1"/>
              <w:bottom w:val="single" w:color="E8ECF0" w:sz="1"/>
              <w:right w:val="single" w:color="E8ECF0" w:sz="1"/>
            </w:tcBorders>
            <w:shd w:fill="F5F7FA" w:val="clear"/>
            <w:tcMar>
              <w:top w:type="dxa" w:w="60"/>
              <w:left w:type="dxa" w:w="120"/>
              <w:bottom w:type="dxa" w:w="60"/>
              <w:right w:type="dxa" w:w="120"/>
            </w:tcMar>
          </w:tcPr>
          <w:p>
            <w:pPr>
              <w:jc w:val="center"/>
            </w:pPr>
            <w:r>
              <w:rPr>
                <w:color w:val="4A5568"/>
                <w:sz w:val="18"/>
                <w:szCs w:val="18"/>
              </w:rPr>
              <w:t xml:space="preserve">Suggest options</w:t>
            </w:r>
          </w:p>
        </w:tc>
        <w:tc>
          <w:tcPr>
            <w:tcBorders>
              <w:top w:val="single" w:color="E8ECF0" w:sz="1"/>
              <w:left w:val="single" w:color="E8ECF0" w:sz="1"/>
              <w:bottom w:val="single" w:color="E8ECF0" w:sz="1"/>
              <w:right w:val="single" w:color="E8ECF0" w:sz="1"/>
            </w:tcBorders>
            <w:shd w:fill="F5F7FA" w:val="clear"/>
            <w:tcMar>
              <w:top w:type="dxa" w:w="60"/>
              <w:left w:type="dxa" w:w="120"/>
              <w:bottom w:type="dxa" w:w="60"/>
              <w:right w:type="dxa" w:w="120"/>
            </w:tcMar>
          </w:tcPr>
          <w:p>
            <w:pPr>
              <w:jc w:val="center"/>
            </w:pPr>
            <w:r>
              <w:rPr>
                <w:color w:val="4A5568"/>
                <w:sz w:val="18"/>
                <w:szCs w:val="18"/>
              </w:rPr>
              <w:t xml:space="preserve">Select, authorize actions</w:t>
            </w:r>
          </w:p>
        </w:tc>
      </w:tr>
      <w:tr>
        <w:tc>
          <w:tcPr>
            <w:tcBorders>
              <w:top w:val="single" w:color="E8ECF0" w:sz="1"/>
              <w:left w:val="single" w:color="E8ECF0" w:sz="1"/>
              <w:bottom w:val="single" w:color="E8ECF0" w:sz="1"/>
              <w:right w:val="single" w:color="E8ECF0" w:sz="1"/>
            </w:tcBorders>
            <w:shd w:fill="FFFFFF" w:val="clear"/>
            <w:tcMar>
              <w:top w:type="dxa" w:w="60"/>
              <w:left w:type="dxa" w:w="120"/>
              <w:bottom w:type="dxa" w:w="60"/>
              <w:right w:type="dxa" w:w="120"/>
            </w:tcMar>
          </w:tcPr>
          <w:p>
            <w:r>
              <w:rPr>
                <w:b/>
                <w:bCs/>
                <w:color w:val="1A2B4C"/>
                <w:sz w:val="18"/>
                <w:szCs w:val="18"/>
              </w:rPr>
              <w:t xml:space="preserve">Documentation</w:t>
            </w:r>
          </w:p>
        </w:tc>
        <w:tc>
          <w:tcPr>
            <w:tcBorders>
              <w:top w:val="single" w:color="E8ECF0" w:sz="1"/>
              <w:left w:val="single" w:color="E8ECF0" w:sz="1"/>
              <w:bottom w:val="single" w:color="E8ECF0" w:sz="1"/>
              <w:right w:val="single" w:color="E8ECF0" w:sz="1"/>
            </w:tcBorders>
            <w:shd w:fill="FFFFFF" w:val="clear"/>
            <w:tcMar>
              <w:top w:type="dxa" w:w="60"/>
              <w:left w:type="dxa" w:w="120"/>
              <w:bottom w:type="dxa" w:w="60"/>
              <w:right w:type="dxa" w:w="120"/>
            </w:tcMar>
          </w:tcPr>
          <w:p>
            <w:pPr>
              <w:jc w:val="center"/>
            </w:pPr>
            <w:r>
              <w:rPr>
                <w:color w:val="4A5568"/>
                <w:sz w:val="18"/>
                <w:szCs w:val="18"/>
              </w:rPr>
              <w:t xml:space="preserve">Draft, organize content</w:t>
            </w:r>
          </w:p>
        </w:tc>
        <w:tc>
          <w:tcPr>
            <w:tcBorders>
              <w:top w:val="single" w:color="E8ECF0" w:sz="1"/>
              <w:left w:val="single" w:color="E8ECF0" w:sz="1"/>
              <w:bottom w:val="single" w:color="E8ECF0" w:sz="1"/>
              <w:right w:val="single" w:color="E8ECF0" w:sz="1"/>
            </w:tcBorders>
            <w:shd w:fill="FFFFFF" w:val="clear"/>
            <w:tcMar>
              <w:top w:type="dxa" w:w="60"/>
              <w:left w:type="dxa" w:w="120"/>
              <w:bottom w:type="dxa" w:w="60"/>
              <w:right w:type="dxa" w:w="120"/>
            </w:tcMar>
          </w:tcPr>
          <w:p>
            <w:pPr>
              <w:jc w:val="center"/>
            </w:pPr>
            <w:r>
              <w:rPr>
                <w:color w:val="4A5568"/>
                <w:sz w:val="18"/>
                <w:szCs w:val="18"/>
              </w:rPr>
              <w:t xml:space="preserve">Review, approve, sign-off</w:t>
            </w:r>
          </w:p>
        </w:tc>
      </w:tr>
      <w:tr>
        <w:tc>
          <w:tcPr>
            <w:tcBorders>
              <w:top w:val="single" w:color="E8ECF0" w:sz="1"/>
              <w:left w:val="single" w:color="E8ECF0" w:sz="1"/>
              <w:bottom w:val="single" w:color="E8ECF0" w:sz="1"/>
              <w:right w:val="single" w:color="E8ECF0" w:sz="1"/>
            </w:tcBorders>
            <w:shd w:fill="F5F7FA" w:val="clear"/>
            <w:tcMar>
              <w:top w:type="dxa" w:w="60"/>
              <w:left w:type="dxa" w:w="120"/>
              <w:bottom w:type="dxa" w:w="60"/>
              <w:right w:type="dxa" w:w="120"/>
            </w:tcMar>
          </w:tcPr>
          <w:p>
            <w:r>
              <w:rPr>
                <w:b/>
                <w:bCs/>
                <w:color w:val="1A2B4C"/>
                <w:sz w:val="18"/>
                <w:szCs w:val="18"/>
              </w:rPr>
              <w:t xml:space="preserve">Monitoring</w:t>
            </w:r>
          </w:p>
        </w:tc>
        <w:tc>
          <w:tcPr>
            <w:tcBorders>
              <w:top w:val="single" w:color="E8ECF0" w:sz="1"/>
              <w:left w:val="single" w:color="E8ECF0" w:sz="1"/>
              <w:bottom w:val="single" w:color="E8ECF0" w:sz="1"/>
              <w:right w:val="single" w:color="E8ECF0" w:sz="1"/>
            </w:tcBorders>
            <w:shd w:fill="F5F7FA" w:val="clear"/>
            <w:tcMar>
              <w:top w:type="dxa" w:w="60"/>
              <w:left w:type="dxa" w:w="120"/>
              <w:bottom w:type="dxa" w:w="60"/>
              <w:right w:type="dxa" w:w="120"/>
            </w:tcMar>
          </w:tcPr>
          <w:p>
            <w:pPr>
              <w:jc w:val="center"/>
            </w:pPr>
            <w:r>
              <w:rPr>
                <w:color w:val="4A5568"/>
                <w:sz w:val="18"/>
                <w:szCs w:val="18"/>
              </w:rPr>
              <w:t xml:space="preserve">Detect anomalies, alert</w:t>
            </w:r>
          </w:p>
        </w:tc>
        <w:tc>
          <w:tcPr>
            <w:tcBorders>
              <w:top w:val="single" w:color="E8ECF0" w:sz="1"/>
              <w:left w:val="single" w:color="E8ECF0" w:sz="1"/>
              <w:bottom w:val="single" w:color="E8ECF0" w:sz="1"/>
              <w:right w:val="single" w:color="E8ECF0" w:sz="1"/>
            </w:tcBorders>
            <w:shd w:fill="F5F7FA" w:val="clear"/>
            <w:tcMar>
              <w:top w:type="dxa" w:w="60"/>
              <w:left w:type="dxa" w:w="120"/>
              <w:bottom w:type="dxa" w:w="60"/>
              <w:right w:type="dxa" w:w="120"/>
            </w:tcMar>
          </w:tcPr>
          <w:p>
            <w:pPr>
              <w:jc w:val="center"/>
            </w:pPr>
            <w:r>
              <w:rPr>
                <w:color w:val="4A5568"/>
                <w:sz w:val="18"/>
                <w:szCs w:val="18"/>
              </w:rPr>
              <w:t xml:space="preserve">Investigate, decide response</w:t>
            </w:r>
          </w:p>
        </w:tc>
      </w:tr>
      <w:tr>
        <w:tc>
          <w:tcPr>
            <w:tcBorders>
              <w:top w:val="single" w:color="E8ECF0" w:sz="1"/>
              <w:left w:val="single" w:color="E8ECF0" w:sz="1"/>
              <w:bottom w:val="single" w:color="E8ECF0" w:sz="1"/>
              <w:right w:val="single" w:color="E8ECF0" w:sz="1"/>
            </w:tcBorders>
            <w:shd w:fill="FFFFFF" w:val="clear"/>
            <w:tcMar>
              <w:top w:type="dxa" w:w="60"/>
              <w:left w:type="dxa" w:w="120"/>
              <w:bottom w:type="dxa" w:w="60"/>
              <w:right w:type="dxa" w:w="120"/>
            </w:tcMar>
          </w:tcPr>
          <w:p>
            <w:r>
              <w:rPr>
                <w:b/>
                <w:bCs/>
                <w:color w:val="1A2B4C"/>
                <w:sz w:val="18"/>
                <w:szCs w:val="18"/>
              </w:rPr>
              <w:t xml:space="preserve">Compliance</w:t>
            </w:r>
          </w:p>
        </w:tc>
        <w:tc>
          <w:tcPr>
            <w:tcBorders>
              <w:top w:val="single" w:color="E8ECF0" w:sz="1"/>
              <w:left w:val="single" w:color="E8ECF0" w:sz="1"/>
              <w:bottom w:val="single" w:color="E8ECF0" w:sz="1"/>
              <w:right w:val="single" w:color="E8ECF0" w:sz="1"/>
            </w:tcBorders>
            <w:shd w:fill="FFFFFF" w:val="clear"/>
            <w:tcMar>
              <w:top w:type="dxa" w:w="60"/>
              <w:left w:type="dxa" w:w="120"/>
              <w:bottom w:type="dxa" w:w="60"/>
              <w:right w:type="dxa" w:w="120"/>
            </w:tcMar>
          </w:tcPr>
          <w:p>
            <w:pPr>
              <w:jc w:val="center"/>
            </w:pPr>
            <w:r>
              <w:rPr>
                <w:color w:val="4A5568"/>
                <w:sz w:val="18"/>
                <w:szCs w:val="18"/>
              </w:rPr>
              <w:t xml:space="preserve">Track, flag issues</w:t>
            </w:r>
          </w:p>
        </w:tc>
        <w:tc>
          <w:tcPr>
            <w:tcBorders>
              <w:top w:val="single" w:color="E8ECF0" w:sz="1"/>
              <w:left w:val="single" w:color="E8ECF0" w:sz="1"/>
              <w:bottom w:val="single" w:color="E8ECF0" w:sz="1"/>
              <w:right w:val="single" w:color="E8ECF0" w:sz="1"/>
            </w:tcBorders>
            <w:shd w:fill="FFFFFF" w:val="clear"/>
            <w:tcMar>
              <w:top w:type="dxa" w:w="60"/>
              <w:left w:type="dxa" w:w="120"/>
              <w:bottom w:type="dxa" w:w="60"/>
              <w:right w:type="dxa" w:w="120"/>
            </w:tcMar>
          </w:tcPr>
          <w:p>
            <w:pPr>
              <w:jc w:val="center"/>
            </w:pPr>
            <w:r>
              <w:rPr>
                <w:color w:val="4A5568"/>
                <w:sz w:val="18"/>
                <w:szCs w:val="18"/>
              </w:rPr>
              <w:t xml:space="preserve">Verify, certify, remediate</w:t>
            </w:r>
          </w:p>
        </w:tc>
      </w:tr>
      <w:tr>
        <w:tc>
          <w:tcPr>
            <w:tcBorders>
              <w:top w:val="single" w:color="E8ECF0" w:sz="1"/>
              <w:left w:val="single" w:color="E8ECF0" w:sz="1"/>
              <w:bottom w:val="single" w:color="E8ECF0" w:sz="1"/>
              <w:right w:val="single" w:color="E8ECF0" w:sz="1"/>
            </w:tcBorders>
            <w:shd w:fill="F5F7FA" w:val="clear"/>
            <w:tcMar>
              <w:top w:type="dxa" w:w="60"/>
              <w:left w:type="dxa" w:w="120"/>
              <w:bottom w:type="dxa" w:w="60"/>
              <w:right w:type="dxa" w:w="120"/>
            </w:tcMar>
          </w:tcPr>
          <w:p>
            <w:r>
              <w:rPr>
                <w:b/>
                <w:bCs/>
                <w:color w:val="1A2B4C"/>
                <w:sz w:val="18"/>
                <w:szCs w:val="18"/>
              </w:rPr>
              <w:t xml:space="preserve">Critical Decisions</w:t>
            </w:r>
          </w:p>
        </w:tc>
        <w:tc>
          <w:tcPr>
            <w:tcBorders>
              <w:top w:val="single" w:color="E8ECF0" w:sz="1"/>
              <w:left w:val="single" w:color="E8ECF0" w:sz="1"/>
              <w:bottom w:val="single" w:color="E8ECF0" w:sz="1"/>
              <w:right w:val="single" w:color="E8ECF0" w:sz="1"/>
            </w:tcBorders>
            <w:shd w:fill="F5F7FA" w:val="clear"/>
            <w:tcMar>
              <w:top w:type="dxa" w:w="60"/>
              <w:left w:type="dxa" w:w="120"/>
              <w:bottom w:type="dxa" w:w="60"/>
              <w:right w:type="dxa" w:w="120"/>
            </w:tcMar>
          </w:tcPr>
          <w:p>
            <w:pPr>
              <w:jc w:val="center"/>
            </w:pPr>
            <w:r>
              <w:rPr>
                <w:color w:val="4A5568"/>
                <w:sz w:val="18"/>
                <w:szCs w:val="18"/>
              </w:rPr>
              <w:t xml:space="preserve">Provide information only</w:t>
            </w:r>
          </w:p>
        </w:tc>
        <w:tc>
          <w:tcPr>
            <w:tcBorders>
              <w:top w:val="single" w:color="E8ECF0" w:sz="1"/>
              <w:left w:val="single" w:color="E8ECF0" w:sz="1"/>
              <w:bottom w:val="single" w:color="E8ECF0" w:sz="1"/>
              <w:right w:val="single" w:color="E8ECF0" w:sz="1"/>
            </w:tcBorders>
            <w:shd w:fill="F5F7FA" w:val="clear"/>
            <w:tcMar>
              <w:top w:type="dxa" w:w="60"/>
              <w:left w:type="dxa" w:w="120"/>
              <w:bottom w:type="dxa" w:w="60"/>
              <w:right w:type="dxa" w:w="120"/>
            </w:tcMar>
          </w:tcPr>
          <w:p>
            <w:pPr>
              <w:jc w:val="center"/>
            </w:pPr>
            <w:r>
              <w:rPr>
                <w:color w:val="4A5568"/>
                <w:sz w:val="18"/>
                <w:szCs w:val="18"/>
              </w:rPr>
              <w:t xml:space="preserve">Full authority &amp; accountability</w:t>
            </w:r>
          </w:p>
        </w:tc>
      </w:tr>
    </w:tbl>
    <w:p>
      <w:pPr>
        <w:spacing w:before="200" w:after="150"/>
      </w:pPr>
      <w:r>
        <w:rPr>
          <w:b/>
          <w:bCs/>
          <w:color w:val="2E8B8B"/>
        </w:rPr>
        <w:t xml:space="preserve">Critical Principle: </w:t>
      </w:r>
      <w:r>
        <w:t xml:space="preserve">No AI system within the Sentrais platform makes autonomous decisions that affect safety, compliance, resource allocation, or personnel matters. Human operators retain final authority on all consequential actions.</w:t>
      </w:r>
    </w:p>
    <w:p>
      <w:r>
        <w:br w:type="page"/>
      </w:r>
    </w:p>
    <w:p>
      <w:pPr>
        <w:pStyle w:val="Heading1"/>
      </w:pPr>
      <w:r>
        <w:t xml:space="preserve">VII. Transparency Commitment</w:t>
      </w:r>
    </w:p>
    <w:p>
      <w:pPr>
        <w:spacing w:after="150"/>
      </w:pPr>
      <w:r>
        <w:t xml:space="preserve">Sentrais is committed to full transparency regarding AI capabilities within our platform:</w:t>
      </w:r>
    </w:p>
    <w:p>
      <w:pPr>
        <w:pStyle w:val="ListParagraph"/>
        <w:numPr>
          <w:ilvl w:val="0"/>
          <w:numId w:val="2"/>
        </w:numPr>
        <w:spacing w:after="100"/>
      </w:pPr>
      <w:r>
        <w:rPr>
          <w:b/>
          <w:bCs/>
        </w:rPr>
        <w:t xml:space="preserve">AI Disclosure: </w:t>
      </w:r>
      <w:r>
        <w:t xml:space="preserve">Users are clearly informed when they are interacting with AI-generated content or AI-assisted features.</w:t>
      </w:r>
    </w:p>
    <w:p>
      <w:pPr>
        <w:pStyle w:val="ListParagraph"/>
        <w:numPr>
          <w:ilvl w:val="0"/>
          <w:numId w:val="2"/>
        </w:numPr>
        <w:spacing w:after="100"/>
      </w:pPr>
      <w:r>
        <w:rPr>
          <w:b/>
          <w:bCs/>
        </w:rPr>
        <w:t xml:space="preserve">Explainability: </w:t>
      </w:r>
      <w:r>
        <w:t xml:space="preserve">AI recommendations include explanations of the factors and data that influenced the output.</w:t>
      </w:r>
    </w:p>
    <w:p>
      <w:pPr>
        <w:pStyle w:val="ListParagraph"/>
        <w:numPr>
          <w:ilvl w:val="0"/>
          <w:numId w:val="2"/>
        </w:numPr>
        <w:spacing w:after="100"/>
      </w:pPr>
      <w:r>
        <w:rPr>
          <w:b/>
          <w:bCs/>
        </w:rPr>
        <w:t xml:space="preserve">Audit Trails: </w:t>
      </w:r>
      <w:r>
        <w:t xml:space="preserve">All AI interactions are logged in the Sentrais Evidence Ledger, providing complete traceability.</w:t>
      </w:r>
    </w:p>
    <w:p>
      <w:pPr>
        <w:pStyle w:val="ListParagraph"/>
        <w:numPr>
          <w:ilvl w:val="0"/>
          <w:numId w:val="2"/>
        </w:numPr>
        <w:spacing w:after="100"/>
      </w:pPr>
      <w:r>
        <w:rPr>
          <w:b/>
          <w:bCs/>
        </w:rPr>
        <w:t xml:space="preserve">Documentation: </w:t>
      </w:r>
      <w:r>
        <w:t xml:space="preserve">Technical documentation describing AI system capabilities, limitations, and operational parameters is available to clients.</w:t>
      </w:r>
    </w:p>
    <w:p>
      <w:pPr>
        <w:pStyle w:val="ListParagraph"/>
        <w:numPr>
          <w:ilvl w:val="0"/>
          <w:numId w:val="2"/>
        </w:numPr>
        <w:spacing w:after="150"/>
      </w:pPr>
      <w:r>
        <w:rPr>
          <w:b/>
          <w:bCs/>
        </w:rPr>
        <w:t xml:space="preserve">Incident Reporting: </w:t>
      </w:r>
      <w:r>
        <w:t xml:space="preserve">Any AI-related incidents, including bias detection, errors, or security events, are promptly disclosed to affected stakeholders.</w:t>
      </w:r>
    </w:p>
    <w:p>
      <w:pPr>
        <w:pStyle w:val="Heading1"/>
      </w:pPr>
      <w:r>
        <w:t xml:space="preserve">VIII. Continuous Improvement</w:t>
      </w:r>
    </w:p>
    <w:p>
      <w:pPr>
        <w:spacing w:after="150"/>
      </w:pPr>
      <w:r>
        <w:t xml:space="preserve">Sentrais maintains a continuous improvement program for all AI systems:</w:t>
      </w:r>
    </w:p>
    <w:p>
      <w:pPr>
        <w:pStyle w:val="ListParagraph"/>
        <w:numPr>
          <w:ilvl w:val="0"/>
          <w:numId w:val="2"/>
        </w:numPr>
        <w:spacing w:after="80"/>
      </w:pPr>
      <w:r>
        <w:rPr>
          <w:b/>
          <w:bCs/>
        </w:rPr>
        <w:t xml:space="preserve">Quarterly Performance Reviews: </w:t>
      </w:r>
      <w:r>
        <w:t xml:space="preserve">Systematic evaluation of AI accuracy, fairness, and operational effectiveness.</w:t>
      </w:r>
    </w:p>
    <w:p>
      <w:pPr>
        <w:pStyle w:val="ListParagraph"/>
        <w:numPr>
          <w:ilvl w:val="0"/>
          <w:numId w:val="2"/>
        </w:numPr>
        <w:spacing w:after="80"/>
      </w:pPr>
      <w:r>
        <w:rPr>
          <w:b/>
          <w:bCs/>
        </w:rPr>
        <w:t xml:space="preserve">Annual Ethics Audits: </w:t>
      </w:r>
      <w:r>
        <w:t xml:space="preserve">Third-party assessment of AI systems against ethical standards and industry best practices.</w:t>
      </w:r>
    </w:p>
    <w:p>
      <w:pPr>
        <w:pStyle w:val="ListParagraph"/>
        <w:numPr>
          <w:ilvl w:val="0"/>
          <w:numId w:val="2"/>
        </w:numPr>
        <w:spacing w:after="80"/>
      </w:pPr>
      <w:r>
        <w:rPr>
          <w:b/>
          <w:bCs/>
        </w:rPr>
        <w:t xml:space="preserve">Stakeholder Feedback Integration: </w:t>
      </w:r>
      <w:r>
        <w:t xml:space="preserve">Structured mechanisms for incorporating user feedback into AI improvement roadmaps.</w:t>
      </w:r>
    </w:p>
    <w:p>
      <w:pPr>
        <w:pStyle w:val="ListParagraph"/>
        <w:numPr>
          <w:ilvl w:val="0"/>
          <w:numId w:val="2"/>
        </w:numPr>
        <w:spacing w:after="80"/>
      </w:pPr>
      <w:r>
        <w:rPr>
          <w:b/>
          <w:bCs/>
        </w:rPr>
        <w:t xml:space="preserve">Regulatory Monitoring: </w:t>
      </w:r>
      <w:r>
        <w:t xml:space="preserve">Ongoing tracking of AI legislation and standards to ensure continued compliance.</w:t>
      </w:r>
    </w:p>
    <w:p>
      <w:pPr>
        <w:pStyle w:val="ListParagraph"/>
        <w:numPr>
          <w:ilvl w:val="0"/>
          <w:numId w:val="2"/>
        </w:numPr>
        <w:spacing w:after="150"/>
      </w:pPr>
      <w:r>
        <w:rPr>
          <w:b/>
          <w:bCs/>
        </w:rPr>
        <w:t xml:space="preserve">Technology Evolution: </w:t>
      </w:r>
      <w:r>
        <w:t xml:space="preserve">Regular assessment and adoption of emerging AI safety techniques and best practices.</w:t>
      </w:r>
    </w:p>
    <w:p>
      <w:pPr>
        <w:pStyle w:val="Heading1"/>
      </w:pPr>
      <w:r>
        <w:t xml:space="preserve">IX. Regulatory &amp; Standards Compliance</w:t>
      </w:r>
    </w:p>
    <w:p>
      <w:pPr>
        <w:spacing w:after="150"/>
      </w:pPr>
      <w:r>
        <w:t xml:space="preserve">Sentrais AI systems are designed to comply with applicable laws, regulations, and industry standards, including:</w:t>
      </w:r>
    </w:p>
    <w:p>
      <w:pPr>
        <w:pStyle w:val="ListParagraph"/>
        <w:numPr>
          <w:ilvl w:val="0"/>
          <w:numId w:val="2"/>
        </w:numPr>
        <w:spacing w:after="80"/>
      </w:pPr>
      <w:r>
        <w:t xml:space="preserve">General Data Protection Regulation (GDPR)</w:t>
      </w:r>
    </w:p>
    <w:p>
      <w:pPr>
        <w:pStyle w:val="ListParagraph"/>
        <w:numPr>
          <w:ilvl w:val="0"/>
          <w:numId w:val="2"/>
        </w:numPr>
        <w:spacing w:after="80"/>
      </w:pPr>
      <w:r>
        <w:t xml:space="preserve">California Consumer Privacy Act (CCPA) and California Privacy Rights Act (CPRA)</w:t>
      </w:r>
    </w:p>
    <w:p>
      <w:pPr>
        <w:pStyle w:val="ListParagraph"/>
        <w:numPr>
          <w:ilvl w:val="0"/>
          <w:numId w:val="2"/>
        </w:numPr>
        <w:spacing w:after="80"/>
      </w:pPr>
      <w:r>
        <w:t xml:space="preserve">NIST AI Risk Management Framework</w:t>
      </w:r>
    </w:p>
    <w:p>
      <w:pPr>
        <w:pStyle w:val="ListParagraph"/>
        <w:numPr>
          <w:ilvl w:val="0"/>
          <w:numId w:val="2"/>
        </w:numPr>
        <w:spacing w:after="80"/>
      </w:pPr>
      <w:r>
        <w:t xml:space="preserve">ISO/IEC 42001 AI Management System Standard</w:t>
      </w:r>
    </w:p>
    <w:p>
      <w:pPr>
        <w:pStyle w:val="ListParagraph"/>
        <w:numPr>
          <w:ilvl w:val="0"/>
          <w:numId w:val="2"/>
        </w:numPr>
        <w:spacing w:after="80"/>
      </w:pPr>
      <w:r>
        <w:t xml:space="preserve">SOC 2 Type II Security Standards</w:t>
      </w:r>
    </w:p>
    <w:p>
      <w:pPr>
        <w:pStyle w:val="ListParagraph"/>
        <w:numPr>
          <w:ilvl w:val="0"/>
          <w:numId w:val="2"/>
        </w:numPr>
        <w:spacing w:after="80"/>
      </w:pPr>
      <w:r>
        <w:t xml:space="preserve">EU AI Act requirements (where applicable)</w:t>
      </w:r>
    </w:p>
    <w:p>
      <w:pPr>
        <w:pStyle w:val="ListParagraph"/>
        <w:numPr>
          <w:ilvl w:val="0"/>
          <w:numId w:val="2"/>
        </w:numPr>
        <w:spacing w:after="150"/>
      </w:pPr>
      <w:r>
        <w:t xml:space="preserve">Client-specific regulatory requirements (e.g., NFL AI Policy, HIPAA, sector-specific standards)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B8B" w:sz="8"/>
              <w:left w:val="single" w:color="2E8B8B" w:sz="8"/>
              <w:bottom w:val="single" w:color="2E8B8B" w:sz="8"/>
              <w:right w:val="single" w:color="2E8B8B" w:sz="8"/>
            </w:tcBorders>
            <w:shd w:fill="E8F4F4" w:val="clear"/>
            <w:tcMar>
              <w:top w:type="dxa" w:w="150"/>
              <w:left w:type="dxa" w:w="200"/>
              <w:bottom w:type="dxa" w:w="150"/>
              <w:right w:type="dxa" w:w="200"/>
            </w:tcMar>
          </w:tcPr>
          <w:p>
            <w:r>
              <w:rPr>
                <w:b/>
                <w:bCs/>
                <w:color w:val="2E8B8B"/>
                <w:sz w:val="22"/>
                <w:szCs w:val="22"/>
              </w:rPr>
              <w:t xml:space="preserve">COMPLIANCE COMMITMENT: </w:t>
            </w:r>
            <w:r>
              <w:rPr>
                <w:color w:val="4A5568"/>
                <w:sz w:val="22"/>
                <w:szCs w:val="22"/>
              </w:rPr>
              <w:t xml:space="preserve">Sentrais proactively monitors regulatory developments and updates AI systems in advance of compliance deadlines. Clients receive notification of any regulatory changes affecting their deployments.</w:t>
            </w:r>
          </w:p>
        </w:tc>
      </w:tr>
    </w:tbl>
    <w:p>
      <w:pPr>
        <w:pStyle w:val="Heading1"/>
      </w:pPr>
      <w:r>
        <w:t xml:space="preserve">X. Acknowledgment</w:t>
      </w:r>
    </w:p>
    <w:p>
      <w:pPr>
        <w:spacing w:after="200"/>
      </w:pPr>
      <w:r>
        <w:t xml:space="preserve">This AI Position Statement represents Sentrais's binding commitment to responsible AI practices. All Sentrais products, services, and client engagements operate in accordance with these principles.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E8ECF0" w:sz="1"/>
              <w:left w:val="single" w:color="E8ECF0" w:sz="1"/>
              <w:bottom w:val="single" w:color="E8ECF0" w:sz="1"/>
              <w:right w:val="single" w:color="E8ECF0" w:sz="1"/>
            </w:tcBorders>
            <w:tcMar>
              <w:top w:type="dxa" w:w="100"/>
              <w:left w:type="dxa" w:w="150"/>
              <w:bottom w:type="dxa" w:w="100"/>
              <w:right w:type="dxa" w:w="150"/>
            </w:tcMar>
          </w:tcPr>
          <w:p>
            <w:pPr>
              <w:spacing w:after="80"/>
            </w:pPr>
            <w:r>
              <w:rPr>
                <w:b/>
                <w:bCs/>
                <w:color w:val="1A2B4C"/>
                <w:sz w:val="20"/>
                <w:szCs w:val="20"/>
              </w:rPr>
              <w:t xml:space="preserve">SENTRAIS / NOVATE</w:t>
            </w:r>
          </w:p>
          <w:p>
            <w:pPr>
              <w:spacing w:after="200"/>
            </w:pPr>
            <w:r>
              <w:rPr>
                <w:sz w:val="20"/>
                <w:szCs w:val="20"/>
              </w:rPr>
              <w:t xml:space="preserve"/>
            </w:r>
          </w:p>
          <w:p>
            <w:r>
              <w:rPr>
                <w:color w:val="4A5568"/>
                <w:sz w:val="20"/>
                <w:szCs w:val="20"/>
              </w:rPr>
              <w:t xml:space="preserve">________________________________________</w:t>
            </w:r>
          </w:p>
          <w:p>
            <w:pPr>
              <w:spacing w:before="80"/>
            </w:pPr>
            <w:r>
              <w:rPr>
                <w:color w:val="4A5568"/>
                <w:sz w:val="18"/>
                <w:szCs w:val="18"/>
              </w:rPr>
              <w:t xml:space="preserve">Authorized Signatory</w:t>
            </w:r>
          </w:p>
          <w:p>
            <w:pPr>
              <w:spacing w:before="200"/>
            </w:pPr>
            <w:r>
              <w:rPr>
                <w:color w:val="4A5568"/>
                <w:sz w:val="18"/>
                <w:szCs w:val="18"/>
              </w:rPr>
              <w:t xml:space="preserve">Date: _______________________</w:t>
            </w:r>
          </w:p>
        </w:tc>
        <w:tc>
          <w:tcPr>
            <w:tcBorders>
              <w:top w:val="single" w:color="E8ECF0" w:sz="1"/>
              <w:left w:val="single" w:color="E8ECF0" w:sz="1"/>
              <w:bottom w:val="single" w:color="E8ECF0" w:sz="1"/>
              <w:right w:val="single" w:color="E8ECF0" w:sz="1"/>
            </w:tcBorders>
            <w:tcMar>
              <w:top w:type="dxa" w:w="100"/>
              <w:left w:type="dxa" w:w="150"/>
              <w:bottom w:type="dxa" w:w="100"/>
              <w:right w:type="dxa" w:w="150"/>
            </w:tcMar>
          </w:tcPr>
          <w:p>
            <w:pPr>
              <w:spacing w:after="80"/>
            </w:pPr>
            <w:r>
              <w:rPr>
                <w:b/>
                <w:bCs/>
                <w:color w:val="1A2B4C"/>
                <w:sz w:val="20"/>
                <w:szCs w:val="20"/>
              </w:rPr>
              <w:t xml:space="preserve">CLIENT ACKNOWLEDGMENT</w:t>
            </w:r>
          </w:p>
          <w:p>
            <w:pPr>
              <w:spacing w:after="200"/>
            </w:pPr>
            <w:r>
              <w:rPr>
                <w:sz w:val="20"/>
                <w:szCs w:val="20"/>
              </w:rPr>
              <w:t xml:space="preserve"/>
            </w:r>
          </w:p>
          <w:p>
            <w:r>
              <w:rPr>
                <w:color w:val="4A5568"/>
                <w:sz w:val="20"/>
                <w:szCs w:val="20"/>
              </w:rPr>
              <w:t xml:space="preserve">________________________________________</w:t>
            </w:r>
          </w:p>
          <w:p>
            <w:pPr>
              <w:spacing w:before="80"/>
            </w:pPr>
            <w:r>
              <w:rPr>
                <w:color w:val="4A5568"/>
                <w:sz w:val="18"/>
                <w:szCs w:val="18"/>
              </w:rPr>
              <w:t xml:space="preserve">Authorized Representative</w:t>
            </w:r>
          </w:p>
          <w:p>
            <w:pPr>
              <w:spacing w:before="200"/>
            </w:pPr>
            <w:r>
              <w:rPr>
                <w:color w:val="4A5568"/>
                <w:sz w:val="18"/>
                <w:szCs w:val="18"/>
              </w:rPr>
              <w:t xml:space="preserve">Date: _______________________</w:t>
            </w:r>
          </w:p>
        </w:tc>
      </w:tr>
    </w:tbl>
    <w:p>
      <w:r>
        <w:br w:type="page"/>
      </w:r>
    </w:p>
    <w:p>
      <w:pPr>
        <w:pStyle w:val="Heading1"/>
      </w:pPr>
      <w:r>
        <w:t xml:space="preserve">Document Control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E8ECF0" w:sz="1"/>
              <w:left w:val="single" w:color="E8ECF0" w:sz="1"/>
              <w:bottom w:val="single" w:color="E8ECF0" w:sz="1"/>
              <w:right w:val="single" w:color="E8ECF0" w:sz="1"/>
            </w:tcBorders>
            <w:shd w:fill="F5F7FA" w:val="clear"/>
            <w:tcMar>
              <w:top w:type="dxa" w:w="60"/>
              <w:left w:type="dxa" w:w="120"/>
              <w:bottom w:type="dxa" w:w="60"/>
              <w:right w:type="dxa" w:w="120"/>
            </w:tcMar>
          </w:tcPr>
          <w:p>
            <w:r>
              <w:rPr>
                <w:b/>
                <w:bCs/>
                <w:color w:val="1A2B4C"/>
                <w:sz w:val="20"/>
                <w:szCs w:val="20"/>
              </w:rPr>
              <w:t xml:space="preserve">Document ID</w:t>
            </w:r>
          </w:p>
        </w:tc>
        <w:tc>
          <w:tcPr>
            <w:tcBorders>
              <w:top w:val="single" w:color="E8ECF0" w:sz="1"/>
              <w:left w:val="single" w:color="E8ECF0" w:sz="1"/>
              <w:bottom w:val="single" w:color="E8ECF0" w:sz="1"/>
              <w:right w:val="single" w:color="E8ECF0" w:sz="1"/>
            </w:tcBorders>
            <w:tcMar>
              <w:top w:type="dxa" w:w="60"/>
              <w:left w:type="dxa" w:w="120"/>
              <w:bottom w:type="dxa" w:w="60"/>
              <w:right w:type="dxa" w:w="120"/>
            </w:tcMar>
          </w:tcPr>
          <w:p>
            <w:r>
              <w:rPr>
                <w:color w:val="4A5568"/>
                <w:sz w:val="20"/>
                <w:szCs w:val="20"/>
              </w:rPr>
              <w:t xml:space="preserve">SENTRAIS-AI-POSITION-v1.0</w:t>
            </w:r>
          </w:p>
        </w:tc>
      </w:tr>
      <w:tr>
        <w:tc>
          <w:tcPr>
            <w:tcBorders>
              <w:top w:val="single" w:color="E8ECF0" w:sz="1"/>
              <w:left w:val="single" w:color="E8ECF0" w:sz="1"/>
              <w:bottom w:val="single" w:color="E8ECF0" w:sz="1"/>
              <w:right w:val="single" w:color="E8ECF0" w:sz="1"/>
            </w:tcBorders>
            <w:shd w:fill="F5F7FA" w:val="clear"/>
            <w:tcMar>
              <w:top w:type="dxa" w:w="60"/>
              <w:left w:type="dxa" w:w="120"/>
              <w:bottom w:type="dxa" w:w="60"/>
              <w:right w:type="dxa" w:w="120"/>
            </w:tcMar>
          </w:tcPr>
          <w:p>
            <w:r>
              <w:rPr>
                <w:b/>
                <w:bCs/>
                <w:color w:val="1A2B4C"/>
                <w:sz w:val="20"/>
                <w:szCs w:val="20"/>
              </w:rPr>
              <w:t xml:space="preserve">Version</w:t>
            </w:r>
          </w:p>
        </w:tc>
        <w:tc>
          <w:tcPr>
            <w:tcBorders>
              <w:top w:val="single" w:color="E8ECF0" w:sz="1"/>
              <w:left w:val="single" w:color="E8ECF0" w:sz="1"/>
              <w:bottom w:val="single" w:color="E8ECF0" w:sz="1"/>
              <w:right w:val="single" w:color="E8ECF0" w:sz="1"/>
            </w:tcBorders>
            <w:tcMar>
              <w:top w:type="dxa" w:w="60"/>
              <w:left w:type="dxa" w:w="120"/>
              <w:bottom w:type="dxa" w:w="60"/>
              <w:right w:type="dxa" w:w="120"/>
            </w:tcMar>
          </w:tcPr>
          <w:p>
            <w:r>
              <w:rPr>
                <w:color w:val="4A5568"/>
                <w:sz w:val="20"/>
                <w:szCs w:val="20"/>
              </w:rPr>
              <w:t xml:space="preserve">1.0</w:t>
            </w:r>
          </w:p>
        </w:tc>
      </w:tr>
      <w:tr>
        <w:tc>
          <w:tcPr>
            <w:tcBorders>
              <w:top w:val="single" w:color="E8ECF0" w:sz="1"/>
              <w:left w:val="single" w:color="E8ECF0" w:sz="1"/>
              <w:bottom w:val="single" w:color="E8ECF0" w:sz="1"/>
              <w:right w:val="single" w:color="E8ECF0" w:sz="1"/>
            </w:tcBorders>
            <w:shd w:fill="F5F7FA" w:val="clear"/>
            <w:tcMar>
              <w:top w:type="dxa" w:w="60"/>
              <w:left w:type="dxa" w:w="120"/>
              <w:bottom w:type="dxa" w:w="60"/>
              <w:right w:type="dxa" w:w="120"/>
            </w:tcMar>
          </w:tcPr>
          <w:p>
            <w:r>
              <w:rPr>
                <w:b/>
                <w:bCs/>
                <w:color w:val="1A2B4C"/>
                <w:sz w:val="20"/>
                <w:szCs w:val="20"/>
              </w:rPr>
              <w:t xml:space="preserve">Effective Date</w:t>
            </w:r>
          </w:p>
        </w:tc>
        <w:tc>
          <w:tcPr>
            <w:tcBorders>
              <w:top w:val="single" w:color="E8ECF0" w:sz="1"/>
              <w:left w:val="single" w:color="E8ECF0" w:sz="1"/>
              <w:bottom w:val="single" w:color="E8ECF0" w:sz="1"/>
              <w:right w:val="single" w:color="E8ECF0" w:sz="1"/>
            </w:tcBorders>
            <w:tcMar>
              <w:top w:type="dxa" w:w="60"/>
              <w:left w:type="dxa" w:w="120"/>
              <w:bottom w:type="dxa" w:w="60"/>
              <w:right w:type="dxa" w:w="120"/>
            </w:tcMar>
          </w:tcPr>
          <w:p>
            <w:r>
              <w:rPr>
                <w:color w:val="4A5568"/>
                <w:sz w:val="20"/>
                <w:szCs w:val="20"/>
              </w:rPr>
              <w:t xml:space="preserve">January 2026</w:t>
            </w:r>
          </w:p>
        </w:tc>
      </w:tr>
      <w:tr>
        <w:tc>
          <w:tcPr>
            <w:tcBorders>
              <w:top w:val="single" w:color="E8ECF0" w:sz="1"/>
              <w:left w:val="single" w:color="E8ECF0" w:sz="1"/>
              <w:bottom w:val="single" w:color="E8ECF0" w:sz="1"/>
              <w:right w:val="single" w:color="E8ECF0" w:sz="1"/>
            </w:tcBorders>
            <w:shd w:fill="F5F7FA" w:val="clear"/>
            <w:tcMar>
              <w:top w:type="dxa" w:w="60"/>
              <w:left w:type="dxa" w:w="120"/>
              <w:bottom w:type="dxa" w:w="60"/>
              <w:right w:type="dxa" w:w="120"/>
            </w:tcMar>
          </w:tcPr>
          <w:p>
            <w:r>
              <w:rPr>
                <w:b/>
                <w:bCs/>
                <w:color w:val="1A2B4C"/>
                <w:sz w:val="20"/>
                <w:szCs w:val="20"/>
              </w:rPr>
              <w:t xml:space="preserve">Classification</w:t>
            </w:r>
          </w:p>
        </w:tc>
        <w:tc>
          <w:tcPr>
            <w:tcBorders>
              <w:top w:val="single" w:color="E8ECF0" w:sz="1"/>
              <w:left w:val="single" w:color="E8ECF0" w:sz="1"/>
              <w:bottom w:val="single" w:color="E8ECF0" w:sz="1"/>
              <w:right w:val="single" w:color="E8ECF0" w:sz="1"/>
            </w:tcBorders>
            <w:tcMar>
              <w:top w:type="dxa" w:w="60"/>
              <w:left w:type="dxa" w:w="120"/>
              <w:bottom w:type="dxa" w:w="60"/>
              <w:right w:type="dxa" w:w="120"/>
            </w:tcMar>
          </w:tcPr>
          <w:p>
            <w:r>
              <w:rPr>
                <w:color w:val="4A5568"/>
                <w:sz w:val="20"/>
                <w:szCs w:val="20"/>
              </w:rPr>
              <w:t xml:space="preserve">EXHIBIT – For Client Distribution</w:t>
            </w:r>
          </w:p>
        </w:tc>
      </w:tr>
      <w:tr>
        <w:tc>
          <w:tcPr>
            <w:tcBorders>
              <w:top w:val="single" w:color="E8ECF0" w:sz="1"/>
              <w:left w:val="single" w:color="E8ECF0" w:sz="1"/>
              <w:bottom w:val="single" w:color="E8ECF0" w:sz="1"/>
              <w:right w:val="single" w:color="E8ECF0" w:sz="1"/>
            </w:tcBorders>
            <w:shd w:fill="F5F7FA" w:val="clear"/>
            <w:tcMar>
              <w:top w:type="dxa" w:w="60"/>
              <w:left w:type="dxa" w:w="120"/>
              <w:bottom w:type="dxa" w:w="60"/>
              <w:right w:type="dxa" w:w="120"/>
            </w:tcMar>
          </w:tcPr>
          <w:p>
            <w:r>
              <w:rPr>
                <w:b/>
                <w:bCs/>
                <w:color w:val="1A2B4C"/>
                <w:sz w:val="20"/>
                <w:szCs w:val="20"/>
              </w:rPr>
              <w:t xml:space="preserve">Applies To</w:t>
            </w:r>
          </w:p>
        </w:tc>
        <w:tc>
          <w:tcPr>
            <w:tcBorders>
              <w:top w:val="single" w:color="E8ECF0" w:sz="1"/>
              <w:left w:val="single" w:color="E8ECF0" w:sz="1"/>
              <w:bottom w:val="single" w:color="E8ECF0" w:sz="1"/>
              <w:right w:val="single" w:color="E8ECF0" w:sz="1"/>
            </w:tcBorders>
            <w:tcMar>
              <w:top w:type="dxa" w:w="60"/>
              <w:left w:type="dxa" w:w="120"/>
              <w:bottom w:type="dxa" w:w="60"/>
              <w:right w:type="dxa" w:w="120"/>
            </w:tcMar>
          </w:tcPr>
          <w:p>
            <w:r>
              <w:rPr>
                <w:color w:val="4A5568"/>
                <w:sz w:val="20"/>
                <w:szCs w:val="20"/>
              </w:rPr>
              <w:t xml:space="preserve">All Sentrais Products (SIPE, CiviGrid, EVERGAME, Future Products)</w:t>
            </w:r>
          </w:p>
        </w:tc>
      </w:tr>
      <w:tr>
        <w:tc>
          <w:tcPr>
            <w:tcBorders>
              <w:top w:val="single" w:color="E8ECF0" w:sz="1"/>
              <w:left w:val="single" w:color="E8ECF0" w:sz="1"/>
              <w:bottom w:val="single" w:color="E8ECF0" w:sz="1"/>
              <w:right w:val="single" w:color="E8ECF0" w:sz="1"/>
            </w:tcBorders>
            <w:shd w:fill="F5F7FA" w:val="clear"/>
            <w:tcMar>
              <w:top w:type="dxa" w:w="60"/>
              <w:left w:type="dxa" w:w="120"/>
              <w:bottom w:type="dxa" w:w="60"/>
              <w:right w:type="dxa" w:w="120"/>
            </w:tcMar>
          </w:tcPr>
          <w:p>
            <w:r>
              <w:rPr>
                <w:b/>
                <w:bCs/>
                <w:color w:val="1A2B4C"/>
                <w:sz w:val="20"/>
                <w:szCs w:val="20"/>
              </w:rPr>
              <w:t xml:space="preserve">Review Cycle</w:t>
            </w:r>
          </w:p>
        </w:tc>
        <w:tc>
          <w:tcPr>
            <w:tcBorders>
              <w:top w:val="single" w:color="E8ECF0" w:sz="1"/>
              <w:left w:val="single" w:color="E8ECF0" w:sz="1"/>
              <w:bottom w:val="single" w:color="E8ECF0" w:sz="1"/>
              <w:right w:val="single" w:color="E8ECF0" w:sz="1"/>
            </w:tcBorders>
            <w:tcMar>
              <w:top w:type="dxa" w:w="60"/>
              <w:left w:type="dxa" w:w="120"/>
              <w:bottom w:type="dxa" w:w="60"/>
              <w:right w:type="dxa" w:w="120"/>
            </w:tcMar>
          </w:tcPr>
          <w:p>
            <w:r>
              <w:rPr>
                <w:color w:val="4A5568"/>
                <w:sz w:val="20"/>
                <w:szCs w:val="20"/>
              </w:rPr>
              <w:t xml:space="preserve">Annual (or upon significant regulatory change)</w:t>
            </w:r>
          </w:p>
        </w:tc>
      </w:tr>
      <w:tr>
        <w:tc>
          <w:tcPr>
            <w:tcBorders>
              <w:top w:val="single" w:color="E8ECF0" w:sz="1"/>
              <w:left w:val="single" w:color="E8ECF0" w:sz="1"/>
              <w:bottom w:val="single" w:color="E8ECF0" w:sz="1"/>
              <w:right w:val="single" w:color="E8ECF0" w:sz="1"/>
            </w:tcBorders>
            <w:shd w:fill="F5F7FA" w:val="clear"/>
            <w:tcMar>
              <w:top w:type="dxa" w:w="60"/>
              <w:left w:type="dxa" w:w="120"/>
              <w:bottom w:type="dxa" w:w="60"/>
              <w:right w:type="dxa" w:w="120"/>
            </w:tcMar>
          </w:tcPr>
          <w:p>
            <w:r>
              <w:rPr>
                <w:b/>
                <w:bCs/>
                <w:color w:val="1A2B4C"/>
                <w:sz w:val="20"/>
                <w:szCs w:val="20"/>
              </w:rPr>
              <w:t xml:space="preserve">Owner</w:t>
            </w:r>
          </w:p>
        </w:tc>
        <w:tc>
          <w:tcPr>
            <w:tcBorders>
              <w:top w:val="single" w:color="E8ECF0" w:sz="1"/>
              <w:left w:val="single" w:color="E8ECF0" w:sz="1"/>
              <w:bottom w:val="single" w:color="E8ECF0" w:sz="1"/>
              <w:right w:val="single" w:color="E8ECF0" w:sz="1"/>
            </w:tcBorders>
            <w:tcMar>
              <w:top w:type="dxa" w:w="60"/>
              <w:left w:type="dxa" w:w="120"/>
              <w:bottom w:type="dxa" w:w="60"/>
              <w:right w:type="dxa" w:w="120"/>
            </w:tcMar>
          </w:tcPr>
          <w:p>
            <w:r>
              <w:rPr>
                <w:color w:val="4A5568"/>
                <w:sz w:val="20"/>
                <w:szCs w:val="20"/>
              </w:rPr>
              <w:t xml:space="preserve">NOVATE AI Ethics Board</w:t>
            </w:r>
          </w:p>
        </w:tc>
      </w:tr>
    </w:tbl>
    <w:p>
      <w:pPr>
        <w:spacing w:before="400"/>
        <w:jc w:val="center"/>
      </w:pPr>
      <w:r>
        <w:rPr>
          <w:b/>
          <w:bCs/>
          <w:color w:val="4A5568"/>
          <w:sz w:val="20"/>
          <w:szCs w:val="20"/>
        </w:rPr>
        <w:t xml:space="preserve">— END OF EXHIBIT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A5568"/>
        <w:sz w:val="16"/>
        <w:szCs w:val="16"/>
      </w:rPr>
      <w:t xml:space="preserve">EXHIBIT: Sentrais AI Position Statement v1.0</w:t>
    </w:r>
    <w:r>
      <w:rPr>
        <w:color w:val="4A5568"/>
        <w:sz w:val="16"/>
        <w:szCs w:val="16"/>
      </w:rPr>
      <w:t xml:space="preserve">  |  Page </w:t>
    </w:r>
    <w:r>
      <w:rPr>
        <w:color w:val="4A55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1A2B4C"/>
        <w:sz w:val="20"/>
        <w:szCs w:val="20"/>
      </w:rPr>
      <w:t xml:space="preserve">SENTRAIS</w:t>
    </w:r>
    <w:r>
      <w:rPr>
        <w:color w:val="2E8B8B"/>
        <w:sz w:val="18"/>
        <w:szCs w:val="18"/>
      </w:rPr>
      <w:t xml:space="preserve"> | AI Position Statement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upperRoman"/>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556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2B4C"/>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2B5A8F"/>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2E8B8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2026-01-27T21:21:30.718Z</dcterms:created>
  <dcterms:modified xsi:type="dcterms:W3CDTF">2026-01-27T21:21:30.719Z</dcterms:modified>
</cp:coreProperties>
</file>

<file path=docProps/custom.xml><?xml version="1.0" encoding="utf-8"?>
<Properties xmlns="http://schemas.openxmlformats.org/officeDocument/2006/custom-properties" xmlns:vt="http://schemas.openxmlformats.org/officeDocument/2006/docPropsVTypes"/>
</file>