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B2A4A"/>
          <w:sz w:val="56"/>
          <w:szCs w:val="56"/>
        </w:rPr>
        <w:t xml:space="preserve">SENTRAIS</w:t>
      </w:r>
    </w:p>
    <w:p>
      <w:pPr>
        <w:spacing w:after="200"/>
        <w:jc w:val="center"/>
      </w:pPr>
      <w:r>
        <w:rPr>
          <w:rFonts w:ascii="Arial" w:cs="Arial" w:eastAsia="Arial" w:hAnsi="Arial"/>
          <w:b/>
          <w:bCs/>
          <w:color w:val="2E75B6"/>
          <w:sz w:val="44"/>
          <w:szCs w:val="44"/>
        </w:rPr>
        <w:t xml:space="preserve">CORE OS + BLUEPRINT360</w:t>
      </w:r>
    </w:p>
    <w:p>
      <w:pPr>
        <w:pBdr>
          <w:top w:val="single" w:color="2E75B6" w:sz="3" w:space="8"/>
          <w:bottom w:val="single" w:color="2E75B6" w:sz="3" w:space="8"/>
        </w:pBdr>
        <w:spacing w:after="200" w:before="200"/>
        <w:jc w:val="center"/>
      </w:pPr>
      <w:r>
        <w:rPr>
          <w:rFonts w:ascii="Arial" w:cs="Arial" w:eastAsia="Arial" w:hAnsi="Arial"/>
          <w:color w:val="424242"/>
          <w:sz w:val="32"/>
          <w:szCs w:val="32"/>
        </w:rPr>
        <w:t xml:space="preserve">End-to-End Automation Technical Build Specification</w:t>
      </w:r>
    </w:p>
    <w:p>
      <w:pPr>
        <w:spacing w:after="200"/>
      </w:pPr>
    </w:p>
    <w:p>
      <w:pPr>
        <w:spacing w:after="60"/>
        <w:jc w:val="center"/>
      </w:pPr>
      <w:r>
        <w:rPr>
          <w:rFonts w:ascii="Arial" w:cs="Arial" w:eastAsia="Arial" w:hAnsi="Arial"/>
          <w:color w:val="9E9E9E"/>
          <w:sz w:val="24"/>
          <w:szCs w:val="24"/>
        </w:rPr>
        <w:t xml:space="preserve">Standardized Ingestion-to-Output Pipeline</w:t>
      </w:r>
    </w:p>
    <w:p>
      <w:pPr>
        <w:spacing w:after="60"/>
        <w:jc w:val="center"/>
      </w:pPr>
      <w:r>
        <w:rPr>
          <w:rFonts w:ascii="Arial" w:cs="Arial" w:eastAsia="Arial" w:hAnsi="Arial"/>
          <w:color w:val="9E9E9E"/>
          <w:sz w:val="24"/>
          <w:szCs w:val="24"/>
        </w:rPr>
        <w:t xml:space="preserve">Dashboard &amp; Intelligence Output Specification</w:t>
      </w:r>
    </w:p>
    <w:p>
      <w:pPr>
        <w:spacing w:after="60"/>
        <w:jc w:val="center"/>
      </w:pPr>
      <w:r>
        <w:rPr>
          <w:rFonts w:ascii="Arial" w:cs="Arial" w:eastAsia="Arial" w:hAnsi="Arial"/>
          <w:color w:val="9E9E9E"/>
          <w:sz w:val="24"/>
          <w:szCs w:val="24"/>
        </w:rPr>
        <w:t xml:space="preserve">Resilience Orchestration &amp; Maturity Automation Framework</w:t>
      </w:r>
    </w:p>
    <w:p>
      <w:pPr>
        <w:spacing w:after="400"/>
      </w:pPr>
    </w:p>
    <w:p>
      <w:pPr>
        <w:spacing w:after="60"/>
        <w:jc w:val="center"/>
      </w:pPr>
      <w:r>
        <w:rPr>
          <w:rFonts w:ascii="Arial" w:cs="Arial" w:eastAsia="Arial" w:hAnsi="Arial"/>
          <w:color w:val="C62828"/>
          <w:sz w:val="20"/>
          <w:szCs w:val="20"/>
        </w:rPr>
        <w:t xml:space="preserve">Classification: Confidential | Internal | Engineering</w:t>
      </w:r>
    </w:p>
    <w:p>
      <w:pPr>
        <w:spacing w:after="60"/>
        <w:jc w:val="center"/>
      </w:pPr>
      <w:r>
        <w:rPr>
          <w:rFonts w:ascii="Arial" w:cs="Arial" w:eastAsia="Arial" w:hAnsi="Arial"/>
          <w:color w:val="9E9E9E"/>
          <w:sz w:val="20"/>
          <w:szCs w:val="20"/>
        </w:rPr>
        <w:t xml:space="preserve">Version: 1.0 | Date: March 2026</w:t>
      </w:r>
    </w:p>
    <w:p>
      <w:pPr>
        <w:jc w:val="center"/>
      </w:pPr>
      <w:r>
        <w:rPr>
          <w:rFonts w:ascii="Arial" w:cs="Arial" w:eastAsia="Arial" w:hAnsi="Arial"/>
          <w:i/>
          <w:iCs/>
          <w:color w:val="9E9E9E"/>
          <w:sz w:val="20"/>
          <w:szCs w:val="20"/>
        </w:rPr>
        <w:t xml:space="preserve">Powered by Sentrais Intelligence OS</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document is the definitive technical build specification for automating the complete Sentrais Core OS and Blueprint360 engagement lifecycle. It defines the standardized ingestion-to-output pipeline that transforms raw organizational data into scored maturity assessments, operational blueprints, risk analyses, and executive-ready dashboard outputs.</w:t>
      </w:r>
    </w:p>
    <w:p>
      <w:pPr>
        <w:spacing w:after="120"/>
      </w:pPr>
      <w:r>
        <w:rPr>
          <w:rFonts w:ascii="Arial" w:cs="Arial" w:eastAsia="Arial" w:hAnsi="Arial"/>
          <w:sz w:val="22"/>
          <w:szCs w:val="22"/>
        </w:rPr>
        <w:t xml:space="preserve">The automation framework encompasses every phase of the Blueprint360 Proof of Concept (POC) process, from initial CRM stage qualification through maturity scoring, evidence collection, gap analysis, and final executive readout, culminating in execution product conversion. All processes are orchestrated through the Sentrais Intelligence OS, ensuring evidence-backed decision-making at every gate.</w:t>
      </w:r>
    </w:p>
    <w:p>
      <w:pPr>
        <w:spacing w:after="120"/>
      </w:pPr>
      <w:r>
        <w:rPr>
          <w:rFonts w:ascii="Arial" w:cs="Arial" w:eastAsia="Arial" w:hAnsi="Arial"/>
          <w:sz w:val="22"/>
          <w:szCs w:val="22"/>
        </w:rPr>
        <w:t xml:space="preserve">This specification serves four critical purposes: engineering implementation guidance for the development team, architecture clarity for investors and integration partners, governance and IP boundary enforcement across all deployments, and training standardization for NOVATE enablement teams operating within the Sentrais ecosystem.</w:t>
      </w:r>
    </w:p>
    <w:p>
      <w:pPr>
        <w:pBdr>
          <w:bottom w:val="single" w:color="2E75B6" w:sz="3" w:space="1"/>
        </w:pBdr>
        <w:spacing w:after="200" w:before="200"/>
      </w:pPr>
    </w:p>
    <w:p>
      <w:pPr>
        <w:pStyle w:val="Heading1"/>
      </w:pPr>
      <w:r>
        <w:t xml:space="preserve">2. System Architecture Overview</w:t>
      </w:r>
    </w:p>
    <w:p>
      <w:pPr>
        <w:pStyle w:val="Heading2"/>
      </w:pPr>
      <w:r>
        <w:t xml:space="preserve">2.1 Platform Stack (Three-Layer Model)</w:t>
      </w:r>
    </w:p>
    <w:p>
      <w:pPr>
        <w:spacing w:after="120"/>
      </w:pPr>
      <w:r>
        <w:rPr>
          <w:rFonts w:ascii="Arial" w:cs="Arial" w:eastAsia="Arial" w:hAnsi="Arial"/>
          <w:sz w:val="22"/>
          <w:szCs w:val="22"/>
        </w:rPr>
        <w:t xml:space="preserve">The Sentrais platform operates through a layered intelligence model. All Blueprint360 automation is built on this canonical stack, and all data flows respect the layer boundaries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Infrastructure &amp; Cloud Fabric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Cloud-agnostic, multi-region compute and networking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Trust networking, environment isolation (Dev/Test/Staging/Prod), disaster recovery with defined RTO/RPO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Sentrais Core 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Protected intelligence engine (licensed, not client-owned)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Blueprint Engine, Entity Registry, Dependency Graph, Evidence Ledger, Orchestration Engine, Resilience Metrics Engine, Role &amp; Identity Framework, Governance &amp; Change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Edge Applications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Verticalized orchestration built on Core OS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EVERGAME (league ops), eVenu (venue cert), CiviGrid (city coordination), SEARGrid (national security), EntertainmentOS, Innovation OS</w:t>
            </w:r>
          </w:p>
        </w:tc>
      </w:tr>
    </w:tbl>
    <w:p>
      <w:pPr>
        <w:spacing w:after="80"/>
      </w:pPr>
    </w:p>
    <w:p>
      <w:pPr>
        <w:pStyle w:val="Heading2"/>
      </w:pPr>
      <w:r>
        <w:t xml:space="preserve">2.2 Six-Layer Intelligence Model</w:t>
      </w:r>
    </w:p>
    <w:p>
      <w:pPr>
        <w:spacing w:after="120"/>
      </w:pPr>
      <w:r>
        <w:rPr>
          <w:rFonts w:ascii="Arial" w:cs="Arial" w:eastAsia="Arial" w:hAnsi="Arial"/>
          <w:sz w:val="22"/>
          <w:szCs w:val="22"/>
        </w:rPr>
        <w:t xml:space="preserve">All deployments and automations must adhere to this canonical intelligence stack. The Blueprint360 automation pipeline maps directly to these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Intelligence 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Blueprint360 Mapping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 Ingestion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 streaming data, manual entry, external connectors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intake, document upload, system inventory, calendar feeds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 Blueprint &amp; Entity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twin mapping, entity registry, dependency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blueprint generation, dependency graph construction, entity relationship modeling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 Intelligence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 anomaly detection, predictive modeling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scoring engine, gap analysis, scenario stress testing, readiness prediction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 Evidence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audit log, decision traceability, compliance 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Ledger capture, interview log indexing, assessment artifact archival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Orchestration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sequencing, role routing, escalation triggers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 milestone tracking, stakeholder workflow routing, notification gates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Security &amp; Governance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 MFA, Zero Trust, compliance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 audit trail, change control enforcement</w:t>
            </w:r>
          </w:p>
        </w:tc>
      </w:tr>
    </w:tbl>
    <w:p>
      <w:pPr>
        <w:spacing w:after="80"/>
      </w:pPr>
    </w:p>
    <w:p>
      <w:pPr>
        <w:pStyle w:val="Heading2"/>
      </w:pPr>
      <w:r>
        <w:t xml:space="preserve">2.3 Resilience Orchestration Cycle</w:t>
      </w:r>
    </w:p>
    <w:p>
      <w:pPr>
        <w:spacing w:after="120"/>
      </w:pPr>
      <w:r>
        <w:rPr>
          <w:rFonts w:ascii="Arial" w:cs="Arial" w:eastAsia="Arial" w:hAnsi="Arial"/>
          <w:sz w:val="22"/>
          <w:szCs w:val="22"/>
        </w:rPr>
        <w:t xml:space="preserve">Every Blueprint360 engagement follows the Sentrais orchestration cycle. The automation framework operationalizes each phase:</w:t>
      </w:r>
    </w:p>
    <w:p>
      <w:pPr>
        <w:spacing w:after="120"/>
      </w:pPr>
      <w:r>
        <w:rPr>
          <w:rFonts w:ascii="Arial" w:cs="Arial" w:eastAsia="Arial" w:hAnsi="Arial"/>
          <w:sz w:val="22"/>
          <w:szCs w:val="22"/>
        </w:rPr>
        <w:t xml:space="preserve">Readiness → Run → Response → Review → Renewal</w:t>
      </w:r>
    </w:p>
    <w:p>
      <w:pPr>
        <w:spacing w:after="120"/>
      </w:pPr>
      <w:r>
        <w:rPr>
          <w:rFonts w:ascii="Arial" w:cs="Arial" w:eastAsia="Arial" w:hAnsi="Arial"/>
          <w:sz w:val="22"/>
          <w:szCs w:val="22"/>
        </w:rPr>
        <w:t xml:space="preserve">At the center of this cycle sits the Metrics Engine, producing the following measurable outputs: Readiness Score, Incident Response Time, SLA Compliance, Certification Status, Learning Velocity, and Recovery Benchmark. The Blueprint360 POC specifically generates the initial Readiness Score and Certification Status as its primary outputs.</w:t>
      </w:r>
    </w:p>
    <w:p>
      <w:r>
        <w:br w:type="page"/>
      </w:r>
    </w:p>
    <w:p>
      <w:pPr>
        <w:pStyle w:val="Heading1"/>
      </w:pPr>
      <w:r>
        <w:t xml:space="preserve">3. Standardized Ingestion Pipeline</w:t>
      </w:r>
    </w:p>
    <w:p>
      <w:pPr>
        <w:spacing w:after="120"/>
      </w:pPr>
      <w:r>
        <w:rPr>
          <w:rFonts w:ascii="Arial" w:cs="Arial" w:eastAsia="Arial" w:hAnsi="Arial"/>
          <w:sz w:val="22"/>
          <w:szCs w:val="22"/>
        </w:rPr>
        <w:t xml:space="preserve">The ingestion pipeline is the entry point for all organizational data flowing into the Sentrais Core OS. It normalizes, validates, classifies, and stages data for downstream processing by the Blueprint Engine and Maturity Scoring Engine.</w:t>
      </w:r>
    </w:p>
    <w:p>
      <w:pPr>
        <w:pStyle w:val="Heading2"/>
      </w:pPr>
      <w:r>
        <w:t xml:space="preserve">3.1 Ingestion Source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Category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Ingestion Method</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 roles, influence levels, department alignment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form + API intake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fields: name, role, org unit, contact; influence score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Inventory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names, owners, integrations, known friction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Inventory Log + Integration Matrix upload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system requires: name, owner, purpose, integration list,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&amp; Workflows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workflows (normal + crisis), handoffs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BPMN-style process map import or guided capture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include: trigger, owner, steps, escalation path, automation flag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Policies &amp; SOPs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policies, operational plans, compliance 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upload (PDF, DOCX) + OCR extraction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 by domain: governance, people, process, technology, evidence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Calendars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calendar, blackout periods, rehearsals, go-live dates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iCal/API feed + manual entry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validation, conflict detection, dependency linking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Triggers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start, certification deadlines, staffing cutoffs, tech freezes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dependency register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trigger requires: date, owner, dependency chain, impact rating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Evidence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interview notes, observations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capture form + audio transcript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Tagged by dimension, scored for maturity indicators, linked to entity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 Readiness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Past innovation efforts, barriers, cultural appetite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 Readiness Survey (Likert scale)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5 respondents, role distribution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Constraints &amp; Gates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timeline, legal, compliance guardrails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Constraint Register + Gatekeeper Matrix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constraint typed: budget, SLA, legal, resource; approval chain defined</w:t>
            </w:r>
          </w:p>
        </w:tc>
      </w:tr>
    </w:tbl>
    <w:p>
      <w:pPr>
        <w:spacing w:after="80"/>
      </w:pPr>
    </w:p>
    <w:p>
      <w:pPr>
        <w:pStyle w:val="Heading2"/>
      </w:pPr>
      <w:r>
        <w:t xml:space="preserve">3.2 Ingestion Processing Pipeline</w:t>
      </w:r>
    </w:p>
    <w:p>
      <w:pPr>
        <w:spacing w:after="120"/>
      </w:pPr>
      <w:r>
        <w:rPr>
          <w:rFonts w:ascii="Arial" w:cs="Arial" w:eastAsia="Arial" w:hAnsi="Arial"/>
          <w:sz w:val="22"/>
          <w:szCs w:val="22"/>
        </w:rPr>
        <w:t xml:space="preserve">All ingested data passes through a five-stage processing pipeline before it reaches the Blueprint Engine:</w:t>
      </w:r>
    </w:p>
    <w:p>
      <w:pPr>
        <w:pStyle w:val="ListParagraph"/>
        <w:numPr>
          <w:ilvl w:val="0"/>
          <w:numId w:val="2"/>
        </w:numPr>
        <w:spacing w:after="60"/>
      </w:pPr>
      <w:r>
        <w:rPr>
          <w:rFonts w:ascii="Arial" w:cs="Arial" w:eastAsia="Arial" w:hAnsi="Arial"/>
          <w:sz w:val="22"/>
          <w:szCs w:val="22"/>
        </w:rPr>
        <w:t xml:space="preserve">Intake &amp; Upload: Raw data received via API endpoints, file upload, structured forms, or external system connectors. Each submission receives a unique ingestion ID, timestamp, and source classification tag.</w:t>
      </w:r>
    </w:p>
    <w:p>
      <w:pPr>
        <w:pStyle w:val="ListParagraph"/>
        <w:numPr>
          <w:ilvl w:val="0"/>
          <w:numId w:val="2"/>
        </w:numPr>
        <w:spacing w:after="60"/>
      </w:pPr>
      <w:r>
        <w:rPr>
          <w:rFonts w:ascii="Arial" w:cs="Arial" w:eastAsia="Arial" w:hAnsi="Arial"/>
          <w:sz w:val="22"/>
          <w:szCs w:val="22"/>
        </w:rPr>
        <w:t xml:space="preserve">Validation &amp; Normalization: Schema validation against the Sentrais Entity Model. Data type enforcement, required field checks, deduplication against the Entity Registry, and normalization to canonical formats (dates to ISO 8601, names to entity IDs, systems to registry keys).</w:t>
      </w:r>
    </w:p>
    <w:p>
      <w:pPr>
        <w:pStyle w:val="ListParagraph"/>
        <w:numPr>
          <w:ilvl w:val="0"/>
          <w:numId w:val="2"/>
        </w:numPr>
        <w:spacing w:after="60"/>
      </w:pPr>
      <w:r>
        <w:rPr>
          <w:rFonts w:ascii="Arial" w:cs="Arial" w:eastAsia="Arial" w:hAnsi="Arial"/>
          <w:sz w:val="22"/>
          <w:szCs w:val="22"/>
        </w:rPr>
        <w:t xml:space="preserve">Classification &amp; Tagging: Automated classification by maturity dimension (Governance &amp; Accountability, People &amp; Roles, Process &amp; Playbooks, Technology &amp; Systems, Data Evidence &amp; Assurance). NLP-based tagging for unstructured documents. Dependency chain identification.</w:t>
      </w:r>
    </w:p>
    <w:p>
      <w:pPr>
        <w:pStyle w:val="ListParagraph"/>
        <w:numPr>
          <w:ilvl w:val="0"/>
          <w:numId w:val="2"/>
        </w:numPr>
        <w:spacing w:after="60"/>
      </w:pPr>
      <w:r>
        <w:rPr>
          <w:rFonts w:ascii="Arial" w:cs="Arial" w:eastAsia="Arial" w:hAnsi="Arial"/>
          <w:sz w:val="22"/>
          <w:szCs w:val="22"/>
        </w:rPr>
        <w:t xml:space="preserve">Enrichment &amp; Linking: Cross-reference against Entity Registry to link stakeholders to systems, processes to owners, constraints to gates. Dependency Graph population. Gap detection where expected entities are missing.</w:t>
      </w:r>
    </w:p>
    <w:p>
      <w:pPr>
        <w:pStyle w:val="ListParagraph"/>
        <w:numPr>
          <w:ilvl w:val="0"/>
          <w:numId w:val="2"/>
        </w:numPr>
        <w:spacing w:after="60"/>
      </w:pPr>
      <w:r>
        <w:rPr>
          <w:rFonts w:ascii="Arial" w:cs="Arial" w:eastAsia="Arial" w:hAnsi="Arial"/>
          <w:sz w:val="22"/>
          <w:szCs w:val="22"/>
        </w:rPr>
        <w:t xml:space="preserve">Staging &amp; Commit: Validated data staged in the Evidence Ledger with immutable audit trail. Notification gates triggered for data requiring executive or partner approval. Data committed to the Blueprint Engine for scoring pipeline consumption.</w:t>
      </w:r>
    </w:p>
    <w:p>
      <w:pPr>
        <w:spacing w:after="80"/>
      </w:pPr>
    </w:p>
    <w:p>
      <w:pPr>
        <w:pStyle w:val="Heading2"/>
      </w:pPr>
      <w:r>
        <w:t xml:space="preserve">3.3 Data Quality &amp; Completeness Scoring</w:t>
      </w:r>
    </w:p>
    <w:p>
      <w:pPr>
        <w:spacing w:after="120"/>
      </w:pPr>
      <w:r>
        <w:rPr>
          <w:rFonts w:ascii="Arial" w:cs="Arial" w:eastAsia="Arial" w:hAnsi="Arial"/>
          <w:sz w:val="22"/>
          <w:szCs w:val="22"/>
        </w:rPr>
        <w:t xml:space="preserve">Before maturity assessment begins, the ingestion pipeline produces a Data Completeness Score across all five maturity dimensions. This score determines whether sufficient evidence exists to produce a defensible maturity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Completeness Level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CAF50"/>
                <w:sz w:val="20"/>
                <w:szCs w:val="20"/>
              </w:rPr>
              <w:t xml:space="preserve">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Proceed to maturity scoring for this dimension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7C00"/>
                <w:sz w:val="20"/>
                <w:szCs w:val="20"/>
              </w:rPr>
              <w:t xml:space="preserve">Partial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50-79%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gaps, request supplemental data, score with confidence caveat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Insufficient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scoring for dimension, escalate to engagement lead, schedule targeted collection</w:t>
            </w:r>
          </w:p>
        </w:tc>
      </w:tr>
    </w:tbl>
    <w:p>
      <w:r>
        <w:br w:type="page"/>
      </w:r>
    </w:p>
    <w:p>
      <w:pPr>
        <w:pStyle w:val="Heading1"/>
      </w:pPr>
      <w:r>
        <w:t xml:space="preserve">4. Blueprint Engine Automation</w:t>
      </w:r>
    </w:p>
    <w:p>
      <w:pPr>
        <w:spacing w:after="120"/>
      </w:pPr>
      <w:r>
        <w:rPr>
          <w:rFonts w:ascii="Arial" w:cs="Arial" w:eastAsia="Arial" w:hAnsi="Arial"/>
          <w:sz w:val="22"/>
          <w:szCs w:val="22"/>
        </w:rPr>
        <w:t xml:space="preserve">The Blueprint Engine is the core analytical processor within Sentrais Core OS. It transforms ingested, validated data into structured operational models that power all downstream scoring, risk analysis, and dashboard outputs.</w:t>
      </w:r>
    </w:p>
    <w:p>
      <w:pPr>
        <w:pStyle w:val="Heading2"/>
      </w:pPr>
      <w:r>
        <w:t xml:space="preserve">4.1 Entity Registry Construction</w:t>
      </w:r>
    </w:p>
    <w:p>
      <w:pPr>
        <w:spacing w:after="120"/>
      </w:pPr>
      <w:r>
        <w:rPr>
          <w:rFonts w:ascii="Arial" w:cs="Arial" w:eastAsia="Arial" w:hAnsi="Arial"/>
          <w:sz w:val="22"/>
          <w:szCs w:val="22"/>
        </w:rPr>
        <w:t xml:space="preserve">The Entity Registry is the canonical record of every stakeholder, system, process, constraint, and dependency within the engagement scope. It is constructed automatically from ingestion data and maintained as the single source of truth throughout the POC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role, org unit, influence score, contact, sponsor flag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Owns systems, owns processes, approves gates, reports to hierarchy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owner, purpose, integration list, status, criticality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Integrates with systems, supports processes, owned by stakeholder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trigger, owner, steps, escalation, automation level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systems, owned by stakeholder, feeds workflows, triggers gates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Constraint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type (budget/SLA/legal/resource), value, owner, approval chain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Limits processes, governs gates, scoped to engagement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Gate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trigger condition, approver chain, escalation path, SLA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process progression, requires stakeholder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source entity, target entity, dependency type, criticality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any two entities with typed, directional relationship</w:t>
            </w:r>
          </w:p>
        </w:tc>
      </w:tr>
    </w:tbl>
    <w:p>
      <w:pPr>
        <w:spacing w:after="80"/>
      </w:pPr>
    </w:p>
    <w:p>
      <w:pPr>
        <w:pStyle w:val="Heading2"/>
      </w:pPr>
      <w:r>
        <w:t xml:space="preserve">4.2 Dependency Graph Generation</w:t>
      </w:r>
    </w:p>
    <w:p>
      <w:pPr>
        <w:spacing w:after="120"/>
      </w:pPr>
      <w:r>
        <w:rPr>
          <w:rFonts w:ascii="Arial" w:cs="Arial" w:eastAsia="Arial" w:hAnsi="Arial"/>
          <w:sz w:val="22"/>
          <w:szCs w:val="22"/>
        </w:rPr>
        <w:t xml:space="preserve">The Dependency Graph is a directed acyclic graph (DAG) modeling all relationships between entities. It is the structural backbone of the operational blueprint and powers critical path analysis, single-point-of-failure detection, and cascade impact modeling.</w:t>
      </w:r>
    </w:p>
    <w:p>
      <w:pPr>
        <w:spacing w:after="120"/>
      </w:pPr>
      <w:r>
        <w:rPr>
          <w:rFonts w:ascii="Arial" w:cs="Arial" w:eastAsia="Arial" w:hAnsi="Arial"/>
          <w:sz w:val="22"/>
          <w:szCs w:val="22"/>
        </w:rPr>
        <w:t xml:space="preserve">Graph construction follows these automated steps: entity node creation from the Entity Registry, relationship edge creation from declared and inferred dependencies, edge weight assignment based on criticality and SLA impact, cycle detection and resolution (flagged as circular dependency risks), and topological sorting to identify critical execution paths.</w:t>
      </w:r>
    </w:p>
    <w:p>
      <w:pPr>
        <w:spacing w:after="120"/>
      </w:pPr>
      <w:r>
        <w:rPr>
          <w:rFonts w:ascii="Arial" w:cs="Arial" w:eastAsia="Arial" w:hAnsi="Arial"/>
          <w:sz w:val="22"/>
          <w:szCs w:val="22"/>
        </w:rPr>
        <w:t xml:space="preserve">The Dependency Graph feeds directly into the Maturity Scoring Engine (for Technology &amp; Systems and Process &amp; Playbooks dimensions), the Risk Analysis Engine (for cascade failure modeling), and the Dashboard Output (for interactive dependency visualization).</w:t>
      </w:r>
    </w:p>
    <w:p>
      <w:pPr>
        <w:pStyle w:val="Heading2"/>
      </w:pPr>
      <w:r>
        <w:t xml:space="preserve">4.3 Operational Blueprint Assembly</w:t>
      </w:r>
    </w:p>
    <w:p>
      <w:pPr>
        <w:spacing w:after="120"/>
      </w:pPr>
      <w:r>
        <w:rPr>
          <w:rFonts w:ascii="Arial" w:cs="Arial" w:eastAsia="Arial" w:hAnsi="Arial"/>
          <w:sz w:val="22"/>
          <w:szCs w:val="22"/>
        </w:rPr>
        <w:t xml:space="preserve">The Operational Blueprint is the comprehensive model of the organization's current operational state. It is assembled automatically from the Entity Registry and Dependency Graph and represents the end-to-end operational topology:</w:t>
      </w:r>
    </w:p>
    <w:p>
      <w:pPr>
        <w:pStyle w:val="ListParagraph"/>
        <w:numPr>
          <w:ilvl w:val="0"/>
          <w:numId w:val="3"/>
        </w:numPr>
        <w:spacing w:after="60"/>
      </w:pPr>
      <w:r>
        <w:rPr>
          <w:rFonts w:ascii="Arial" w:cs="Arial" w:eastAsia="Arial" w:hAnsi="Arial"/>
          <w:sz w:val="22"/>
          <w:szCs w:val="22"/>
        </w:rPr>
        <w:t xml:space="preserve">Stakeholder Ecosystem Map: hierarchical view of all stakeholders, decision rights, escalation paths, and influence relationships</w:t>
      </w:r>
    </w:p>
    <w:p>
      <w:pPr>
        <w:pStyle w:val="ListParagraph"/>
        <w:numPr>
          <w:ilvl w:val="0"/>
          <w:numId w:val="3"/>
        </w:numPr>
        <w:spacing w:after="60"/>
      </w:pPr>
      <w:r>
        <w:rPr>
          <w:rFonts w:ascii="Arial" w:cs="Arial" w:eastAsia="Arial" w:hAnsi="Arial"/>
          <w:sz w:val="22"/>
          <w:szCs w:val="22"/>
        </w:rPr>
        <w:t xml:space="preserve">System Architecture Overlay: all technology systems, their integrations, data flows, and failure modes</w:t>
      </w:r>
    </w:p>
    <w:p>
      <w:pPr>
        <w:pStyle w:val="ListParagraph"/>
        <w:numPr>
          <w:ilvl w:val="0"/>
          <w:numId w:val="3"/>
        </w:numPr>
        <w:spacing w:after="60"/>
      </w:pPr>
      <w:r>
        <w:rPr>
          <w:rFonts w:ascii="Arial" w:cs="Arial" w:eastAsia="Arial" w:hAnsi="Arial"/>
          <w:sz w:val="22"/>
          <w:szCs w:val="22"/>
        </w:rPr>
        <w:t xml:space="preserve">Process Workflow Atlas: all documented processes in normal and crisis mode, with handoff points, automation levels, and SLA bindings</w:t>
      </w:r>
    </w:p>
    <w:p>
      <w:pPr>
        <w:pStyle w:val="ListParagraph"/>
        <w:numPr>
          <w:ilvl w:val="0"/>
          <w:numId w:val="3"/>
        </w:numPr>
        <w:spacing w:after="60"/>
      </w:pPr>
      <w:r>
        <w:rPr>
          <w:rFonts w:ascii="Arial" w:cs="Arial" w:eastAsia="Arial" w:hAnsi="Arial"/>
          <w:sz w:val="22"/>
          <w:szCs w:val="22"/>
        </w:rPr>
        <w:t xml:space="preserve">Constraint &amp; Gate Registry: all constraints, their types, owners, and the notification gates they enforce</w:t>
      </w:r>
    </w:p>
    <w:p>
      <w:pPr>
        <w:pStyle w:val="ListParagraph"/>
        <w:numPr>
          <w:ilvl w:val="0"/>
          <w:numId w:val="3"/>
        </w:numPr>
        <w:spacing w:after="60"/>
      </w:pPr>
      <w:r>
        <w:rPr>
          <w:rFonts w:ascii="Arial" w:cs="Arial" w:eastAsia="Arial" w:hAnsi="Arial"/>
          <w:sz w:val="22"/>
          <w:szCs w:val="22"/>
        </w:rPr>
        <w:t xml:space="preserve">Calendar &amp; Trigger Dependency Map: all temporal dependencies including event calendars, blackout periods, certification deadlines, and staffing cutoffs</w:t>
      </w:r>
    </w:p>
    <w:p>
      <w:r>
        <w:br w:type="page"/>
      </w:r>
    </w:p>
    <w:p>
      <w:pPr>
        <w:pStyle w:val="Heading1"/>
      </w:pPr>
      <w:r>
        <w:t xml:space="preserve">5. Maturity Scoring Engine</w:t>
      </w:r>
    </w:p>
    <w:p>
      <w:pPr>
        <w:spacing w:after="120"/>
      </w:pPr>
      <w:r>
        <w:rPr>
          <w:rFonts w:ascii="Arial" w:cs="Arial" w:eastAsia="Arial" w:hAnsi="Arial"/>
          <w:sz w:val="22"/>
          <w:szCs w:val="22"/>
        </w:rPr>
        <w:t xml:space="preserve">The Maturity Scoring Engine is the analytical core of Blueprint360. It evaluates organizational readiness across five dimensions using evidence-backed scoring against a five-level maturity model. All scores are traceable to specific evidence artifacts in the Evidence Ledger.</w:t>
      </w:r>
    </w:p>
    <w:p>
      <w:pPr>
        <w:pStyle w:val="Heading2"/>
      </w:pPr>
      <w:r>
        <w:t xml:space="preserve">5.1 Maturity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 Scope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Evidence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Governance &amp; Accountability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rights, escalation clarity, ownership structures, board oversight, change control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 charts, RACI matrices, escalation protocols, governance charters, audit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People &amp; Roles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staffing, role clarity, surge capacity, credentialing, succession planning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descriptions, training records, staffing plans, credentialing logs, surge protocols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Process &amp; Playbooks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procedures, rehearsals, execution fidelity, crisis protocols, after-action reviews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SOPs, playbooks, rehearsal logs, drill reports, after-action reviews, workflow diagrams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Technology &amp; Systems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readiness, integration health, resilience, visibility, monitoring, failover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inventory, integration maps, uptime records, DR plans, monitoring dashboards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Data, Evidence &amp; Assurance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Auditability, proof, after-action learning, compliance validation, evidence completeness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trails, evidence logs, compliance certificates, post-event reports, learning artifacts</w:t>
            </w:r>
          </w:p>
        </w:tc>
      </w:tr>
    </w:tbl>
    <w:p>
      <w:pPr>
        <w:spacing w:after="80"/>
      </w:pPr>
    </w:p>
    <w:p>
      <w:pPr>
        <w:pStyle w:val="Heading2"/>
      </w:pPr>
      <w:r>
        <w:t xml:space="preserve">5.2 Maturity Levels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37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Scoring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Fragmented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hoc processes, informal coordination, undocumented risk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formal documentation; reactive only; no assigned ownership; no evidence trail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7C0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7C00"/>
                <w:sz w:val="20"/>
                <w:szCs w:val="20"/>
              </w:rPr>
              <w:t xml:space="preserve">Defined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processes, limited validation, siloed execution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exists but untested; ownership assigned but not enforced; limited cross-functional visibility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Operationalized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Cross-functional coordination, rehearsed execution, basic assurance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Processes rehearsed and validated; cross-team coordination documented; basic metrics tracked; evidence collected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CAF50"/>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CAF50"/>
                <w:sz w:val="20"/>
                <w:szCs w:val="20"/>
              </w:rPr>
              <w:t xml:space="preserve">Measured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Readiness scoring, evidence-backed decisions, live visibility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Quantitative scoring in place; decisions traceable to evidence; real-time dashboards; SLAs monitored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Orchestrated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Predictive readiness, real-time intelligence, continuous learning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Predictive models operational; continuous improvement loops; AI-assisted anomaly detection; automated certification</w:t>
            </w:r>
          </w:p>
        </w:tc>
      </w:tr>
    </w:tbl>
    <w:p>
      <w:pPr>
        <w:spacing w:after="80"/>
      </w:pPr>
    </w:p>
    <w:p>
      <w:pPr>
        <w:pStyle w:val="Heading2"/>
      </w:pPr>
      <w:r>
        <w:t xml:space="preserve">5.3 Automated Scoring Algorithm</w:t>
      </w:r>
    </w:p>
    <w:p>
      <w:pPr>
        <w:spacing w:after="120"/>
      </w:pPr>
      <w:r>
        <w:rPr>
          <w:rFonts w:ascii="Arial" w:cs="Arial" w:eastAsia="Arial" w:hAnsi="Arial"/>
          <w:sz w:val="22"/>
          <w:szCs w:val="22"/>
        </w:rPr>
        <w:t xml:space="preserve">The scoring engine processes each dimension through the following automated pipeline:</w:t>
      </w:r>
    </w:p>
    <w:p>
      <w:pPr>
        <w:pStyle w:val="ListParagraph"/>
        <w:numPr>
          <w:ilvl w:val="0"/>
          <w:numId w:val="2"/>
        </w:numPr>
        <w:spacing w:after="60"/>
      </w:pPr>
      <w:r>
        <w:rPr>
          <w:rFonts w:ascii="Arial" w:cs="Arial" w:eastAsia="Arial" w:hAnsi="Arial"/>
          <w:sz w:val="22"/>
          <w:szCs w:val="22"/>
        </w:rPr>
        <w:t xml:space="preserve">Evidence Collection: All ingested artifacts tagged to this dimension are assembled. The Data Completeness Score determines scoring confidence level.</w:t>
      </w:r>
    </w:p>
    <w:p>
      <w:pPr>
        <w:pStyle w:val="ListParagraph"/>
        <w:numPr>
          <w:ilvl w:val="0"/>
          <w:numId w:val="2"/>
        </w:numPr>
        <w:spacing w:after="60"/>
      </w:pPr>
      <w:r>
        <w:rPr>
          <w:rFonts w:ascii="Arial" w:cs="Arial" w:eastAsia="Arial" w:hAnsi="Arial"/>
          <w:sz w:val="22"/>
          <w:szCs w:val="22"/>
        </w:rPr>
        <w:t xml:space="preserve">Indicator Extraction: NLP and structured analysis extract maturity indicators from evidence. Each indicator maps to a specific level criterion in the scoring rubric.</w:t>
      </w:r>
    </w:p>
    <w:p>
      <w:pPr>
        <w:pStyle w:val="ListParagraph"/>
        <w:numPr>
          <w:ilvl w:val="0"/>
          <w:numId w:val="2"/>
        </w:numPr>
        <w:spacing w:after="60"/>
      </w:pPr>
      <w:r>
        <w:rPr>
          <w:rFonts w:ascii="Arial" w:cs="Arial" w:eastAsia="Arial" w:hAnsi="Arial"/>
          <w:sz w:val="22"/>
          <w:szCs w:val="22"/>
        </w:rPr>
        <w:t xml:space="preserve">Weighted Scoring: Each indicator receives a weight based on its criticality to operational readiness. Weights are configurable per engagement type (league, venue, city, SEAR).</w:t>
      </w:r>
    </w:p>
    <w:p>
      <w:pPr>
        <w:pStyle w:val="ListParagraph"/>
        <w:numPr>
          <w:ilvl w:val="0"/>
          <w:numId w:val="2"/>
        </w:numPr>
        <w:spacing w:after="60"/>
      </w:pPr>
      <w:r>
        <w:rPr>
          <w:rFonts w:ascii="Arial" w:cs="Arial" w:eastAsia="Arial" w:hAnsi="Arial"/>
          <w:sz w:val="22"/>
          <w:szCs w:val="22"/>
        </w:rPr>
        <w:t xml:space="preserve">Dimension Score Calculation: Weighted average of all indicator scores produces the dimension-level maturity score (1.0 to 5.0, one decimal precision).</w:t>
      </w:r>
    </w:p>
    <w:p>
      <w:pPr>
        <w:pStyle w:val="ListParagraph"/>
        <w:numPr>
          <w:ilvl w:val="0"/>
          <w:numId w:val="2"/>
        </w:numPr>
        <w:spacing w:after="60"/>
      </w:pPr>
      <w:r>
        <w:rPr>
          <w:rFonts w:ascii="Arial" w:cs="Arial" w:eastAsia="Arial" w:hAnsi="Arial"/>
          <w:sz w:val="22"/>
          <w:szCs w:val="22"/>
        </w:rPr>
        <w:t xml:space="preserve">Confidence Adjustment: Scores are adjusted by data completeness. Dimensions with Partial completeness receive a confidence flag; those with Insufficient completeness are blocked.</w:t>
      </w:r>
    </w:p>
    <w:p>
      <w:pPr>
        <w:pStyle w:val="ListParagraph"/>
        <w:numPr>
          <w:ilvl w:val="0"/>
          <w:numId w:val="2"/>
        </w:numPr>
        <w:spacing w:after="60"/>
      </w:pPr>
      <w:r>
        <w:rPr>
          <w:rFonts w:ascii="Arial" w:cs="Arial" w:eastAsia="Arial" w:hAnsi="Arial"/>
          <w:sz w:val="22"/>
          <w:szCs w:val="22"/>
        </w:rPr>
        <w:t xml:space="preserve">Overall Maturity Score: Weighted average of all five dimension scores produces the enterprise maturity score. Default weights are equal (20% each); configurable per engagement.</w:t>
      </w:r>
    </w:p>
    <w:p>
      <w:pPr>
        <w:pStyle w:val="ListParagraph"/>
        <w:numPr>
          <w:ilvl w:val="0"/>
          <w:numId w:val="2"/>
        </w:numPr>
        <w:spacing w:after="60"/>
      </w:pPr>
      <w:r>
        <w:rPr>
          <w:rFonts w:ascii="Arial" w:cs="Arial" w:eastAsia="Arial" w:hAnsi="Arial"/>
          <w:sz w:val="22"/>
          <w:szCs w:val="22"/>
        </w:rPr>
        <w:t xml:space="preserve">Heatmap Generation: Dimension scores mapped to color codes (Red for Levels 1-2, Yellow for Level 3, Green for Levels 4-5) and rendered as the Maturity Scorecard Heatmap.</w:t>
      </w:r>
    </w:p>
    <w:p>
      <w:r>
        <w:br w:type="page"/>
      </w:r>
    </w:p>
    <w:p>
      <w:pPr>
        <w:pStyle w:val="Heading2"/>
      </w:pPr>
      <w:r>
        <w:t xml:space="preserve">5.4 Readiness Gate Logic</w:t>
      </w:r>
    </w:p>
    <w:p>
      <w:pPr>
        <w:spacing w:after="120"/>
      </w:pPr>
      <w:r>
        <w:rPr>
          <w:rFonts w:ascii="Arial" w:cs="Arial" w:eastAsia="Arial" w:hAnsi="Arial"/>
          <w:sz w:val="22"/>
          <w:szCs w:val="22"/>
        </w:rPr>
        <w:t xml:space="preserve">The scoring engine produces an automated readiness determination based on configurable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Automated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CAF50"/>
                <w:sz w:val="20"/>
                <w:szCs w:val="20"/>
              </w:rPr>
              <w:t xml:space="preserve">GO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maturity &gt;= 3.5 AND no dimension below 3.0 AND all critical gaps have remediation plans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 to execution product selection; generate conversion proposal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7C00"/>
                <w:sz w:val="20"/>
                <w:szCs w:val="20"/>
              </w:rPr>
              <w:t xml:space="preserve">CONDITIONAL GO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maturity &gt;= 2.5 AND no dimension below 2.0 AND critical gaps identified with remediation timelines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remediation roadmap; set conditional milestones; schedule re-assessment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NO-GO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maturity &lt; 2.5 OR any dimension below 2.0 OR critical gaps without remediation path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detailed gap report; recommend foundational improvements; schedule re-engagement timeline</w:t>
            </w:r>
          </w:p>
        </w:tc>
      </w:tr>
    </w:tbl>
    <w:p>
      <w:r>
        <w:br w:type="page"/>
      </w:r>
    </w:p>
    <w:p>
      <w:pPr>
        <w:pStyle w:val="Heading1"/>
      </w:pPr>
      <w:r>
        <w:t xml:space="preserve">6. Risk &amp; Gap Analysis Engine</w:t>
      </w:r>
    </w:p>
    <w:p>
      <w:pPr>
        <w:spacing w:after="120"/>
      </w:pPr>
      <w:r>
        <w:rPr>
          <w:rFonts w:ascii="Arial" w:cs="Arial" w:eastAsia="Arial" w:hAnsi="Arial"/>
          <w:sz w:val="22"/>
          <w:szCs w:val="22"/>
        </w:rPr>
        <w:t xml:space="preserve">The Risk &amp; Gap Analysis Engine identifies, classifies, prioritizes, and tracks all risks and gaps discovered during the Blueprint360 assessment. It operates in parallel with the Maturity Scoring Engine and feeds directly into the Dashboard Output and Executive Close-Out Report.</w:t>
      </w:r>
    </w:p>
    <w:p>
      <w:pPr>
        <w:pStyle w:val="Heading2"/>
      </w:pPr>
      <w:r>
        <w:t xml:space="preserve">6.1 Gap Classification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 Category</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Scoring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Dependency Failure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Single-point-of-failure in command chain; unrecoverable system dependency; no failover path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GO decision; triggers immediate escalation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Clarity &amp; Escalation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 decision rights; missing RACI; no surge staffing plan; credential gaps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People &amp; Roles and Governance scores; flags for remediation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Readiness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failures; untested DR; monitoring gaps; unpatched systems; no change control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Technology &amp; Systems score; may trigger tech freeze 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&amp; Audit Weakness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audit trail; undocumented decisions; no after-action reports; compliance gaps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Data, Evidence &amp; Assurance score; flags for compliance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&amp; Execution Gaps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Untested playbooks; no rehearsal history; manual-only processes; undefined escalation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Process &amp; Playbooks score; recommends rehearsal program</w:t>
            </w:r>
          </w:p>
        </w:tc>
      </w:tr>
    </w:tbl>
    <w:p>
      <w:pPr>
        <w:spacing w:after="80"/>
      </w:pPr>
    </w:p>
    <w:p>
      <w:pPr>
        <w:pStyle w:val="Heading2"/>
      </w:pPr>
      <w:r>
        <w:t xml:space="preserve">6.2 Risk Register Automation</w:t>
      </w:r>
    </w:p>
    <w:p>
      <w:pPr>
        <w:spacing w:after="120"/>
      </w:pPr>
      <w:r>
        <w:rPr>
          <w:rFonts w:ascii="Arial" w:cs="Arial" w:eastAsia="Arial" w:hAnsi="Arial"/>
          <w:sz w:val="22"/>
          <w:szCs w:val="22"/>
        </w:rPr>
        <w:t xml:space="preserve">Every identified gap is automatically registered in the Risk Register with the following attributes: unique risk ID, source dimension, severity (Critical/High/Medium/Low), likelihood (1-5), impact (1-5), risk score (likelihood x impact), owner assignment, remediation status, target remediation date, and linked evidence artifacts. The Risk Register is maintained as a living document within the Evidence Ledger and is surfaced in the dashboard output for real-time tracking.</w:t>
      </w:r>
    </w:p>
    <w:p>
      <w:pPr>
        <w:pStyle w:val="Heading2"/>
      </w:pPr>
      <w:r>
        <w:t xml:space="preserve">6.3 Remediation Backlog Generation</w:t>
      </w:r>
    </w:p>
    <w:p>
      <w:pPr>
        <w:spacing w:after="120"/>
      </w:pPr>
      <w:r>
        <w:rPr>
          <w:rFonts w:ascii="Arial" w:cs="Arial" w:eastAsia="Arial" w:hAnsi="Arial"/>
          <w:sz w:val="22"/>
          <w:szCs w:val="22"/>
        </w:rPr>
        <w:t xml:space="preserve">The engine automatically generates a prioritized remediation backlog from the Risk Register. Remediation items are sequenced using a critical-path algorithm that considers risk severity, dependency ordering (from the Dependency Graph), resource availability constraints, and calendar-driven deadlines (from operational triggers). The backlog feeds into the time-phased remediation roadmap output.</w:t>
      </w:r>
    </w:p>
    <w:p>
      <w:r>
        <w:br w:type="page"/>
      </w:r>
    </w:p>
    <w:p>
      <w:pPr>
        <w:pStyle w:val="Heading1"/>
      </w:pPr>
      <w:r>
        <w:t xml:space="preserve">7. CRM Stage Automation &amp; Lifecycle Orchestration</w:t>
      </w:r>
    </w:p>
    <w:p>
      <w:pPr>
        <w:spacing w:after="120"/>
      </w:pPr>
      <w:r>
        <w:rPr>
          <w:rFonts w:ascii="Arial" w:cs="Arial" w:eastAsia="Arial" w:hAnsi="Arial"/>
          <w:sz w:val="22"/>
          <w:szCs w:val="22"/>
        </w:rPr>
        <w:t xml:space="preserve">The Blueprint360 engagement lifecycle is managed through an eight-stage CRM pipeline. Each stage has defined entry criteria, automated actions, and exit gates. The automation framework ensures consistent qualification, governance, forecasting, and conversion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200"/>
        <w:gridCol w:w="2800"/>
        <w:gridCol w:w="25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Entry Criteria</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Automated Actions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Exit Gate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 Identified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has defined readiness/security/operational concern; buyer persona confirmed (CISO, COO, Mayor, League 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opportunity record; assign engagement lead; trigger qualification checklist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Qualification score &gt;= threshold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 Qualified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sponsor identified; budget range ($250K-$500K) confirmed; scope and ecosystem defined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scope summary; calculate complexity score; assign engagement team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Sponsor sign-off on scope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 Proposed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One-pager, pricing, and SOW appendix delivered; procurement and legal engaged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 proposal package from templates; track document delivery; start legal timer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confirms review 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 Contracted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SOW executed; kickoff scheduled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forecast to committed; trigger pre-kickoff checklist; provision Sentrais environment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SOW signature + kickoff date confirmed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 In Progress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interviews, maturity assessment, blueprinting underway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milestones against plan; trigger ingestion pipeline; run scoring engine on evidence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milestones complete; scoring finalized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Readout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scorecard, heatmap, and close-out report delivered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 executive report; render dashboard; schedule readout presentation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Go/Conditional Go/No-Go captured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Conversion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product selected; commercial proposal issued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maturity gaps to execution product; generate conversion proposal; calculate POC credit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confirms execution 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agreement signed or opportunity closed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engagement artifacts; update Evidence Ledger; close CRM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status recorded</w:t>
            </w:r>
          </w:p>
        </w:tc>
      </w:tr>
    </w:tbl>
    <w:p>
      <w:r>
        <w:br w:type="page"/>
      </w:r>
    </w:p>
    <w:p>
      <w:pPr>
        <w:pStyle w:val="Heading1"/>
      </w:pPr>
      <w:r>
        <w:t xml:space="preserve">8. Evidence Ledger &amp; Audit Framework</w:t>
      </w:r>
    </w:p>
    <w:p>
      <w:pPr>
        <w:spacing w:after="120"/>
      </w:pPr>
      <w:r>
        <w:rPr>
          <w:rFonts w:ascii="Arial" w:cs="Arial" w:eastAsia="Arial" w:hAnsi="Arial"/>
          <w:sz w:val="22"/>
          <w:szCs w:val="22"/>
        </w:rPr>
        <w:t xml:space="preserve">The Evidence Ledger is the immutable record of all data, decisions, assessments, and artifacts produced during a Blueprint360 engagement. It provides full decision traceability and compliance validation, and is a core component of the Sentrais Core OS.</w:t>
      </w:r>
    </w:p>
    <w:p>
      <w:pPr>
        <w:pStyle w:val="Heading2"/>
      </w:pPr>
      <w:r>
        <w:t xml:space="preserve">8.1 Evidence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Artifact Type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Access Control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 Notes &amp; Transcripts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capture during stakeholder 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lifetime + 7 years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team + executive sponsor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Validation Logs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pipeline processing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lifetime + 5 years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 engagement lead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Scores &amp; Heatmaps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engine output at each assessment point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 (versioned)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engagement team + client executives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Register Snapshots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Point-in-time capture of risk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lifetime + 7 years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team + client risk 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Graph Versions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Blueprint Engine output at each major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 (versioned)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 engagement lead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Memos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Go/Conditional Go/No-Go gate decisions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sponsor + board-level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Close-Out Reports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executive report package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executive team + Sentrais leadership</w:t>
            </w:r>
          </w:p>
        </w:tc>
      </w:tr>
    </w:tbl>
    <w:p>
      <w:pPr>
        <w:spacing w:after="80"/>
      </w:pPr>
    </w:p>
    <w:p>
      <w:pPr>
        <w:pStyle w:val="Heading2"/>
      </w:pPr>
      <w:r>
        <w:t xml:space="preserve">8.2 Audit Trail Requirements</w:t>
      </w:r>
    </w:p>
    <w:p>
      <w:pPr>
        <w:spacing w:after="120"/>
      </w:pPr>
      <w:r>
        <w:rPr>
          <w:rFonts w:ascii="Arial" w:cs="Arial" w:eastAsia="Arial" w:hAnsi="Arial"/>
          <w:sz w:val="22"/>
          <w:szCs w:val="22"/>
        </w:rPr>
        <w:t xml:space="preserve">Every action within the automation framework generates an audit event containing: timestamp (ISO 8601), actor (user ID or system process ID), action type (create, read, update, delete, score, approve, reject), target entity and entity ID, previous state hash, new state hash, and source IP/session ID. Audit events are append-only and cryptographically chained to prevent tampering. The Evidence Ledger aligns directly to enterprise risk, audit, and board oversight expectations as defined in the Sentrais Maturity Model.</w:t>
      </w:r>
    </w:p>
    <w:p>
      <w:r>
        <w:br w:type="page"/>
      </w:r>
    </w:p>
    <w:p>
      <w:pPr>
        <w:pStyle w:val="Heading1"/>
      </w:pPr>
      <w:r>
        <w:t xml:space="preserve">9. Output Pipeline &amp; Artifact Generation</w:t>
      </w:r>
    </w:p>
    <w:p>
      <w:pPr>
        <w:spacing w:after="120"/>
      </w:pPr>
      <w:r>
        <w:rPr>
          <w:rFonts w:ascii="Arial" w:cs="Arial" w:eastAsia="Arial" w:hAnsi="Arial"/>
          <w:sz w:val="22"/>
          <w:szCs w:val="22"/>
        </w:rPr>
        <w:t xml:space="preserve">The output pipeline transforms scored, analyzed data into standardized executive-ready deliverables. All outputs are generated programmatically from the scoring engine, risk analysis engine, and blueprint engine data.</w:t>
      </w:r>
    </w:p>
    <w:p>
      <w:pPr>
        <w:pStyle w:val="Heading2"/>
      </w:pPr>
      <w:r>
        <w:t xml:space="preserve">9.1 Standard Output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 Artifact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Engine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Scorecard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Scoring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widget + PDF export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sponsor, CISO, COO, 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Heatmap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Scoring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widget + PDF export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sponsor, engagement team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Blueprint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Blueprint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dashboard + PDF export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team, operations leadership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Blueprint Engine (Dependency 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graph visualization + PDF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operations, risk leaders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Register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&amp; Gap Analysis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table + Excel export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owners, engagement lead, CISO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Remediation Roadmap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&amp; Gap Analysis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Gantt-style timeline + PDF export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sponsor, project managers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Close-Out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engines (composite)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(board-ready format)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leadership, board, sponsors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Go/No-Go Decision Memo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Readiness Gate Logic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dashboard status badge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sponsor, procurement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Product Mapping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recommendation + PDF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sponsor, commercial team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POC-to-Execution Credit Doc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Stage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commercial system record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Procurement, finance, legal</w:t>
            </w:r>
          </w:p>
        </w:tc>
      </w:tr>
    </w:tbl>
    <w:p>
      <w:r>
        <w:br w:type="page"/>
      </w:r>
    </w:p>
    <w:p>
      <w:pPr>
        <w:pStyle w:val="Heading1"/>
      </w:pPr>
      <w:r>
        <w:t xml:space="preserve">10. Dashboard Output Specification</w:t>
      </w:r>
    </w:p>
    <w:p>
      <w:pPr>
        <w:spacing w:after="120"/>
      </w:pPr>
      <w:r>
        <w:rPr>
          <w:rFonts w:ascii="Arial" w:cs="Arial" w:eastAsia="Arial" w:hAnsi="Arial"/>
          <w:sz w:val="22"/>
          <w:szCs w:val="22"/>
        </w:rPr>
        <w:t xml:space="preserve">The Blueprint360 Dashboard is the primary interface for visualizing assessment results, tracking engagement progress, and supporting executive decision-making. It is rendered through Sentrais Command (read-only for client-facing views) and powered by the Sentrais Intelligence OS.</w:t>
      </w:r>
    </w:p>
    <w:p>
      <w:pPr>
        <w:pStyle w:val="Heading2"/>
      </w:pPr>
      <w:r>
        <w:t xml:space="preserve">10.1 Dashboard Architecture</w:t>
      </w:r>
    </w:p>
    <w:p>
      <w:pPr>
        <w:spacing w:after="120"/>
      </w:pPr>
      <w:r>
        <w:rPr>
          <w:rFonts w:ascii="Arial" w:cs="Arial" w:eastAsia="Arial" w:hAnsi="Arial"/>
          <w:sz w:val="22"/>
          <w:szCs w:val="22"/>
        </w:rPr>
        <w:t xml:space="preserve">The dashboard operates on a component-based architecture with real-time data binding to the underlying engines. All visualizations are rendered from the same data sources that produce the PDF export artifacts, ensuring consistency between interactive and static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Refresh Rate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Scorecard Widget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Responsive card grid with radial score indicators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Scoring Engine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score commit (event-driven)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Heatmap Visualization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5x5 matrix grid with color interpolation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Scoring Engine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score commit (event-driven)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Graph Viewer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Force-directed graph with zoom, pan, filter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Blueprint Engine Graph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entity/relationship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Register Table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Sortable, filterable data table with severity badges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&amp; Gap Analysis Engine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(websocket)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Remediation Timeline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Gantt chart with milestone markers and critical 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Engine + Calendar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remediation status 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Stage Tracker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pipeline with stage badges and SLA timers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Stage Engine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stage transition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Completeness Gauge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Per-dimension progress bars with threshold markers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Pipeline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ingestion commit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Summary Panel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readiness badge + key metrics + recommendations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engines (composite API)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any underlying data change</w:t>
            </w:r>
          </w:p>
        </w:tc>
      </w:tr>
    </w:tbl>
    <w:p>
      <w:pPr>
        <w:spacing w:after="80"/>
      </w:pPr>
    </w:p>
    <w:p>
      <w:pPr>
        <w:pStyle w:val="Heading2"/>
      </w:pPr>
      <w:r>
        <w:t xml:space="preserve">10.2 Dashboard Views</w:t>
      </w:r>
    </w:p>
    <w:p>
      <w:pPr>
        <w:spacing w:after="120"/>
      </w:pPr>
      <w:r>
        <w:rPr>
          <w:rFonts w:ascii="Arial" w:cs="Arial" w:eastAsia="Arial" w:hAnsi="Arial"/>
          <w:sz w:val="22"/>
          <w:szCs w:val="22"/>
        </w:rPr>
        <w:t xml:space="preserve">The dashboard supports four role-based views, each presenting a filtered and prioritized subset of the full data:</w:t>
      </w:r>
    </w:p>
    <w:p>
      <w:pPr>
        <w:spacing w:after="120"/>
      </w:pPr>
      <w:r>
        <w:rPr>
          <w:rFonts w:ascii="Arial" w:cs="Arial" w:eastAsia="Arial" w:hAnsi="Arial"/>
          <w:b/>
          <w:bCs/>
          <w:sz w:val="22"/>
          <w:szCs w:val="22"/>
        </w:rPr>
        <w:t xml:space="preserve">Executive View (CISO, COO, Mayor, League Ops, Board)</w:t>
      </w:r>
    </w:p>
    <w:p>
      <w:pPr>
        <w:pStyle w:val="ListParagraph"/>
        <w:numPr>
          <w:ilvl w:val="0"/>
          <w:numId w:val="3"/>
        </w:numPr>
        <w:spacing w:after="60"/>
      </w:pPr>
      <w:r>
        <w:rPr>
          <w:rFonts w:ascii="Arial" w:cs="Arial" w:eastAsia="Arial" w:hAnsi="Arial"/>
          <w:sz w:val="22"/>
          <w:szCs w:val="22"/>
        </w:rPr>
        <w:t xml:space="preserve">Overall maturity score with trend indicator</w:t>
      </w:r>
    </w:p>
    <w:p>
      <w:pPr>
        <w:pStyle w:val="ListParagraph"/>
        <w:numPr>
          <w:ilvl w:val="0"/>
          <w:numId w:val="3"/>
        </w:numPr>
        <w:spacing w:after="60"/>
      </w:pPr>
      <w:r>
        <w:rPr>
          <w:rFonts w:ascii="Arial" w:cs="Arial" w:eastAsia="Arial" w:hAnsi="Arial"/>
          <w:sz w:val="22"/>
          <w:szCs w:val="22"/>
        </w:rPr>
        <w:t xml:space="preserve">Heatmap with dimension-level drill-down</w:t>
      </w:r>
    </w:p>
    <w:p>
      <w:pPr>
        <w:pStyle w:val="ListParagraph"/>
        <w:numPr>
          <w:ilvl w:val="0"/>
          <w:numId w:val="3"/>
        </w:numPr>
        <w:spacing w:after="60"/>
      </w:pPr>
      <w:r>
        <w:rPr>
          <w:rFonts w:ascii="Arial" w:cs="Arial" w:eastAsia="Arial" w:hAnsi="Arial"/>
          <w:sz w:val="22"/>
          <w:szCs w:val="22"/>
        </w:rPr>
        <w:t xml:space="preserve">Go/Conditional Go/No-Go status badge with decision rationale</w:t>
      </w:r>
    </w:p>
    <w:p>
      <w:pPr>
        <w:pStyle w:val="ListParagraph"/>
        <w:numPr>
          <w:ilvl w:val="0"/>
          <w:numId w:val="3"/>
        </w:numPr>
        <w:spacing w:after="60"/>
      </w:pPr>
      <w:r>
        <w:rPr>
          <w:rFonts w:ascii="Arial" w:cs="Arial" w:eastAsia="Arial" w:hAnsi="Arial"/>
          <w:sz w:val="22"/>
          <w:szCs w:val="22"/>
        </w:rPr>
        <w:t xml:space="preserve">Top 5 critical risks with severity and owner</w:t>
      </w:r>
    </w:p>
    <w:p>
      <w:pPr>
        <w:pStyle w:val="ListParagraph"/>
        <w:numPr>
          <w:ilvl w:val="0"/>
          <w:numId w:val="3"/>
        </w:numPr>
        <w:spacing w:after="60"/>
      </w:pPr>
      <w:r>
        <w:rPr>
          <w:rFonts w:ascii="Arial" w:cs="Arial" w:eastAsia="Arial" w:hAnsi="Arial"/>
          <w:sz w:val="22"/>
          <w:szCs w:val="22"/>
        </w:rPr>
        <w:t xml:space="preserve">Remediation roadmap summary (milestone-level)</w:t>
      </w:r>
    </w:p>
    <w:p>
      <w:pPr>
        <w:pStyle w:val="ListParagraph"/>
        <w:numPr>
          <w:ilvl w:val="0"/>
          <w:numId w:val="3"/>
        </w:numPr>
        <w:spacing w:after="60"/>
      </w:pPr>
      <w:r>
        <w:rPr>
          <w:rFonts w:ascii="Arial" w:cs="Arial" w:eastAsia="Arial" w:hAnsi="Arial"/>
          <w:sz w:val="22"/>
          <w:szCs w:val="22"/>
        </w:rPr>
        <w:t xml:space="preserve">Execution product recommendation with confidence score</w:t>
      </w:r>
    </w:p>
    <w:p>
      <w:pPr>
        <w:spacing w:after="80"/>
      </w:pPr>
    </w:p>
    <w:p>
      <w:pPr>
        <w:spacing w:after="120"/>
      </w:pPr>
      <w:r>
        <w:rPr>
          <w:rFonts w:ascii="Arial" w:cs="Arial" w:eastAsia="Arial" w:hAnsi="Arial"/>
          <w:b/>
          <w:bCs/>
          <w:sz w:val="22"/>
          <w:szCs w:val="22"/>
        </w:rPr>
        <w:t xml:space="preserve">Engagement Lead View</w:t>
      </w:r>
    </w:p>
    <w:p>
      <w:pPr>
        <w:pStyle w:val="ListParagraph"/>
        <w:numPr>
          <w:ilvl w:val="0"/>
          <w:numId w:val="3"/>
        </w:numPr>
        <w:spacing w:after="60"/>
      </w:pPr>
      <w:r>
        <w:rPr>
          <w:rFonts w:ascii="Arial" w:cs="Arial" w:eastAsia="Arial" w:hAnsi="Arial"/>
          <w:sz w:val="22"/>
          <w:szCs w:val="22"/>
        </w:rPr>
        <w:t xml:space="preserve">Full maturity scorecard with evidence drill-through</w:t>
      </w:r>
    </w:p>
    <w:p>
      <w:pPr>
        <w:pStyle w:val="ListParagraph"/>
        <w:numPr>
          <w:ilvl w:val="0"/>
          <w:numId w:val="3"/>
        </w:numPr>
        <w:spacing w:after="60"/>
      </w:pPr>
      <w:r>
        <w:rPr>
          <w:rFonts w:ascii="Arial" w:cs="Arial" w:eastAsia="Arial" w:hAnsi="Arial"/>
          <w:sz w:val="22"/>
          <w:szCs w:val="22"/>
        </w:rPr>
        <w:t xml:space="preserve">Data completeness gauges per dimension</w:t>
      </w:r>
    </w:p>
    <w:p>
      <w:pPr>
        <w:pStyle w:val="ListParagraph"/>
        <w:numPr>
          <w:ilvl w:val="0"/>
          <w:numId w:val="3"/>
        </w:numPr>
        <w:spacing w:after="60"/>
      </w:pPr>
      <w:r>
        <w:rPr>
          <w:rFonts w:ascii="Arial" w:cs="Arial" w:eastAsia="Arial" w:hAnsi="Arial"/>
          <w:sz w:val="22"/>
          <w:szCs w:val="22"/>
        </w:rPr>
        <w:t xml:space="preserve">CRM stage tracker with SLA compliance</w:t>
      </w:r>
    </w:p>
    <w:p>
      <w:pPr>
        <w:pStyle w:val="ListParagraph"/>
        <w:numPr>
          <w:ilvl w:val="0"/>
          <w:numId w:val="3"/>
        </w:numPr>
        <w:spacing w:after="60"/>
      </w:pPr>
      <w:r>
        <w:rPr>
          <w:rFonts w:ascii="Arial" w:cs="Arial" w:eastAsia="Arial" w:hAnsi="Arial"/>
          <w:sz w:val="22"/>
          <w:szCs w:val="22"/>
        </w:rPr>
        <w:t xml:space="preserve">Full risk register with filtering and export</w:t>
      </w:r>
    </w:p>
    <w:p>
      <w:pPr>
        <w:pStyle w:val="ListParagraph"/>
        <w:numPr>
          <w:ilvl w:val="0"/>
          <w:numId w:val="3"/>
        </w:numPr>
        <w:spacing w:after="60"/>
      </w:pPr>
      <w:r>
        <w:rPr>
          <w:rFonts w:ascii="Arial" w:cs="Arial" w:eastAsia="Arial" w:hAnsi="Arial"/>
          <w:sz w:val="22"/>
          <w:szCs w:val="22"/>
        </w:rPr>
        <w:t xml:space="preserve">Stakeholder interview status and evidence gap tracker</w:t>
      </w:r>
    </w:p>
    <w:p>
      <w:pPr>
        <w:pStyle w:val="ListParagraph"/>
        <w:numPr>
          <w:ilvl w:val="0"/>
          <w:numId w:val="3"/>
        </w:numPr>
        <w:spacing w:after="60"/>
      </w:pPr>
      <w:r>
        <w:rPr>
          <w:rFonts w:ascii="Arial" w:cs="Arial" w:eastAsia="Arial" w:hAnsi="Arial"/>
          <w:sz w:val="22"/>
          <w:szCs w:val="22"/>
        </w:rPr>
        <w:t xml:space="preserve">Milestone burndown and engagement timeline</w:t>
      </w:r>
    </w:p>
    <w:p>
      <w:pPr>
        <w:spacing w:after="80"/>
      </w:pPr>
    </w:p>
    <w:p>
      <w:pPr>
        <w:spacing w:after="120"/>
      </w:pPr>
      <w:r>
        <w:rPr>
          <w:rFonts w:ascii="Arial" w:cs="Arial" w:eastAsia="Arial" w:hAnsi="Arial"/>
          <w:b/>
          <w:bCs/>
          <w:sz w:val="22"/>
          <w:szCs w:val="22"/>
        </w:rPr>
        <w:t xml:space="preserve">Operations View</w:t>
      </w:r>
    </w:p>
    <w:p>
      <w:pPr>
        <w:pStyle w:val="ListParagraph"/>
        <w:numPr>
          <w:ilvl w:val="0"/>
          <w:numId w:val="3"/>
        </w:numPr>
        <w:spacing w:after="60"/>
      </w:pPr>
      <w:r>
        <w:rPr>
          <w:rFonts w:ascii="Arial" w:cs="Arial" w:eastAsia="Arial" w:hAnsi="Arial"/>
          <w:sz w:val="22"/>
          <w:szCs w:val="22"/>
        </w:rPr>
        <w:t xml:space="preserve">Interactive dependency graph with entity detail panels</w:t>
      </w:r>
    </w:p>
    <w:p>
      <w:pPr>
        <w:pStyle w:val="ListParagraph"/>
        <w:numPr>
          <w:ilvl w:val="0"/>
          <w:numId w:val="3"/>
        </w:numPr>
        <w:spacing w:after="60"/>
      </w:pPr>
      <w:r>
        <w:rPr>
          <w:rFonts w:ascii="Arial" w:cs="Arial" w:eastAsia="Arial" w:hAnsi="Arial"/>
          <w:sz w:val="22"/>
          <w:szCs w:val="22"/>
        </w:rPr>
        <w:t xml:space="preserve">Process workflow atlas with status indicators</w:t>
      </w:r>
    </w:p>
    <w:p>
      <w:pPr>
        <w:pStyle w:val="ListParagraph"/>
        <w:numPr>
          <w:ilvl w:val="0"/>
          <w:numId w:val="3"/>
        </w:numPr>
        <w:spacing w:after="60"/>
      </w:pPr>
      <w:r>
        <w:rPr>
          <w:rFonts w:ascii="Arial" w:cs="Arial" w:eastAsia="Arial" w:hAnsi="Arial"/>
          <w:sz w:val="22"/>
          <w:szCs w:val="22"/>
        </w:rPr>
        <w:t xml:space="preserve">System integration health monitor</w:t>
      </w:r>
    </w:p>
    <w:p>
      <w:pPr>
        <w:pStyle w:val="ListParagraph"/>
        <w:numPr>
          <w:ilvl w:val="0"/>
          <w:numId w:val="3"/>
        </w:numPr>
        <w:spacing w:after="60"/>
      </w:pPr>
      <w:r>
        <w:rPr>
          <w:rFonts w:ascii="Arial" w:cs="Arial" w:eastAsia="Arial" w:hAnsi="Arial"/>
          <w:sz w:val="22"/>
          <w:szCs w:val="22"/>
        </w:rPr>
        <w:t xml:space="preserve">Calendar and trigger dependency timeline</w:t>
      </w:r>
    </w:p>
    <w:p>
      <w:pPr>
        <w:pStyle w:val="ListParagraph"/>
        <w:numPr>
          <w:ilvl w:val="0"/>
          <w:numId w:val="3"/>
        </w:numPr>
        <w:spacing w:after="60"/>
      </w:pPr>
      <w:r>
        <w:rPr>
          <w:rFonts w:ascii="Arial" w:cs="Arial" w:eastAsia="Arial" w:hAnsi="Arial"/>
          <w:sz w:val="22"/>
          <w:szCs w:val="22"/>
        </w:rPr>
        <w:t xml:space="preserve">Constraint and gate status board</w:t>
      </w:r>
    </w:p>
    <w:p>
      <w:pPr>
        <w:spacing w:after="80"/>
      </w:pPr>
    </w:p>
    <w:p>
      <w:pPr>
        <w:spacing w:after="120"/>
      </w:pPr>
      <w:r>
        <w:rPr>
          <w:rFonts w:ascii="Arial" w:cs="Arial" w:eastAsia="Arial" w:hAnsi="Arial"/>
          <w:b/>
          <w:bCs/>
          <w:sz w:val="22"/>
          <w:szCs w:val="22"/>
        </w:rPr>
        <w:t xml:space="preserve">Sentrais Internal View (Read-Write)</w:t>
      </w:r>
    </w:p>
    <w:p>
      <w:pPr>
        <w:pStyle w:val="ListParagraph"/>
        <w:numPr>
          <w:ilvl w:val="0"/>
          <w:numId w:val="3"/>
        </w:numPr>
        <w:spacing w:after="60"/>
      </w:pPr>
      <w:r>
        <w:rPr>
          <w:rFonts w:ascii="Arial" w:cs="Arial" w:eastAsia="Arial" w:hAnsi="Arial"/>
          <w:sz w:val="22"/>
          <w:szCs w:val="22"/>
        </w:rPr>
        <w:t xml:space="preserve">All above views with edit capability</w:t>
      </w:r>
    </w:p>
    <w:p>
      <w:pPr>
        <w:pStyle w:val="ListParagraph"/>
        <w:numPr>
          <w:ilvl w:val="0"/>
          <w:numId w:val="3"/>
        </w:numPr>
        <w:spacing w:after="60"/>
      </w:pPr>
      <w:r>
        <w:rPr>
          <w:rFonts w:ascii="Arial" w:cs="Arial" w:eastAsia="Arial" w:hAnsi="Arial"/>
          <w:sz w:val="22"/>
          <w:szCs w:val="22"/>
        </w:rPr>
        <w:t xml:space="preserve">Scoring override with justification logging</w:t>
      </w:r>
    </w:p>
    <w:p>
      <w:pPr>
        <w:pStyle w:val="ListParagraph"/>
        <w:numPr>
          <w:ilvl w:val="0"/>
          <w:numId w:val="3"/>
        </w:numPr>
        <w:spacing w:after="60"/>
      </w:pPr>
      <w:r>
        <w:rPr>
          <w:rFonts w:ascii="Arial" w:cs="Arial" w:eastAsia="Arial" w:hAnsi="Arial"/>
          <w:sz w:val="22"/>
          <w:szCs w:val="22"/>
        </w:rPr>
        <w:t xml:space="preserve">Evidence Ledger administration</w:t>
      </w:r>
    </w:p>
    <w:p>
      <w:pPr>
        <w:pStyle w:val="ListParagraph"/>
        <w:numPr>
          <w:ilvl w:val="0"/>
          <w:numId w:val="3"/>
        </w:numPr>
        <w:spacing w:after="60"/>
      </w:pPr>
      <w:r>
        <w:rPr>
          <w:rFonts w:ascii="Arial" w:cs="Arial" w:eastAsia="Arial" w:hAnsi="Arial"/>
          <w:sz w:val="22"/>
          <w:szCs w:val="22"/>
        </w:rPr>
        <w:t xml:space="preserve">Engagement configuration and template management</w:t>
      </w:r>
    </w:p>
    <w:p>
      <w:pPr>
        <w:pStyle w:val="ListParagraph"/>
        <w:numPr>
          <w:ilvl w:val="0"/>
          <w:numId w:val="3"/>
        </w:numPr>
        <w:spacing w:after="60"/>
      </w:pPr>
      <w:r>
        <w:rPr>
          <w:rFonts w:ascii="Arial" w:cs="Arial" w:eastAsia="Arial" w:hAnsi="Arial"/>
          <w:sz w:val="22"/>
          <w:szCs w:val="22"/>
        </w:rPr>
        <w:t xml:space="preserve">Cross-engagement benchmarking and analytics</w:t>
      </w:r>
    </w:p>
    <w:p>
      <w:r>
        <w:br w:type="page"/>
      </w:r>
    </w:p>
    <w:p>
      <w:pPr>
        <w:pStyle w:val="Heading2"/>
      </w:pPr>
      <w:r>
        <w:t xml:space="preserve">10.3 Heatmap Specification</w:t>
      </w:r>
    </w:p>
    <w:p>
      <w:pPr>
        <w:spacing w:after="120"/>
      </w:pPr>
      <w:r>
        <w:rPr>
          <w:rFonts w:ascii="Arial" w:cs="Arial" w:eastAsia="Arial" w:hAnsi="Arial"/>
          <w:sz w:val="22"/>
          <w:szCs w:val="22"/>
        </w:rPr>
        <w:t xml:space="preserve">The Maturity Heatmap is the signature visualization of the Blueprint360 assessment. It provides an at-a-glance view of organizational readiness across all dimensions and maturity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rows (dimensions) x 5 columns (maturity levels); each cell represents the organization's assessed position for that dimension at that 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 Encoding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(#C62828) for Levels 1-2 (Fragmented/Defined); Yellow (#F57C00) for Level 3 (Operationalized); Green (#4CAF50) for Levels 4-5 (Measured/Orchestrated)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Cell Content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value (1.0-5.0), confidence indicator (high/medium/low), evidence count badge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Click-through to evidence artifacts; hover for dimension summary; filter by evidence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 matches dashboard rendering pixel-for-pixel; includes legend, timestamp, and engagement metadata</w:t>
            </w:r>
          </w:p>
        </w:tc>
      </w:tr>
    </w:tbl>
    <w:p>
      <w:pPr>
        <w:spacing w:after="80"/>
      </w:pPr>
    </w:p>
    <w:p>
      <w:pPr>
        <w:pStyle w:val="Heading2"/>
      </w:pPr>
      <w:r>
        <w:t xml:space="preserve">10.4 Dependency Graph Visualization</w:t>
      </w:r>
    </w:p>
    <w:p>
      <w:pPr>
        <w:spacing w:after="120"/>
      </w:pPr>
      <w:r>
        <w:rPr>
          <w:rFonts w:ascii="Arial" w:cs="Arial" w:eastAsia="Arial" w:hAnsi="Arial"/>
          <w:sz w:val="22"/>
          <w:szCs w:val="22"/>
        </w:rPr>
        <w:t xml:space="preserve">The interactive dependency graph provides a visual representation of the operational blueprint. Nodes represent entities (stakeholders, systems, processes, constraints) and edges represent dependencies. The visualization supports force-directed layout, hierarchical layout (by entity type), zoom and pan with smooth transitions, node filtering by entity type, criticality, or dimension, edge highlighting for critical path and cascade impact analysis, detail panels on node selection showing full entity attributes and linked evidence, and export to PDF and SVG formats.</w:t>
      </w:r>
    </w:p>
    <w:p>
      <w:pPr>
        <w:pStyle w:val="Heading2"/>
      </w:pPr>
      <w:r>
        <w:t xml:space="preserve">10.5 Real-Time Intelligence Context (Sentrais Command)</w:t>
      </w:r>
    </w:p>
    <w:p>
      <w:pPr>
        <w:spacing w:after="120"/>
      </w:pPr>
      <w:r>
        <w:rPr>
          <w:rFonts w:ascii="Arial" w:cs="Arial" w:eastAsia="Arial" w:hAnsi="Arial"/>
          <w:sz w:val="22"/>
          <w:szCs w:val="22"/>
        </w:rPr>
        <w:t xml:space="preserve">For client-facing dashboard access, Sentrais Command operates in read-only mode, providing visibility into live-state implications without operational control. The dashboard surfaces contextual intelligence including current readiness posture against live operational conditions, active risk alerts correlated to calendar events and triggers, evidence collection progress relative to engagement milestones, and benchmark comparisons against anonymized cross-engagement baselines.</w:t>
      </w:r>
    </w:p>
    <w:p>
      <w:r>
        <w:br w:type="page"/>
      </w:r>
    </w:p>
    <w:p>
      <w:pPr>
        <w:pStyle w:val="Heading1"/>
      </w:pPr>
      <w:r>
        <w:t xml:space="preserve">11. Execution Product Conversion Engine</w:t>
      </w:r>
    </w:p>
    <w:p>
      <w:pPr>
        <w:spacing w:after="120"/>
      </w:pPr>
      <w:r>
        <w:rPr>
          <w:rFonts w:ascii="Arial" w:cs="Arial" w:eastAsia="Arial" w:hAnsi="Arial"/>
          <w:sz w:val="22"/>
          <w:szCs w:val="22"/>
        </w:rPr>
        <w:t xml:space="preserve">The Conversion Engine maps validated maturity outcomes to appropriate Sentrais execution products. It is the final stage of the Blueprint360 pipeline and ensures that deployment recommendations are evidence-led, not assumption-driven.</w:t>
      </w:r>
    </w:p>
    <w:p>
      <w:pPr>
        <w:pStyle w:val="Heading2"/>
      </w:pPr>
      <w:r>
        <w:t xml:space="preserve">11.1 Product Mapping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Identified Gap Domain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Execution Product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Deployment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League or venue operations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EVERGAME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League and competition orchestration; game-day operations; multi-venue coordination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Stadium certification &amp;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Venue certification, revenue intelligence, compliance tracking, facility readiness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Multi-agency city coordination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CiviGrid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city orchestration, multi-agency coordination, city-wide operational alignment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 / national security readiness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SEARGrid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National-level SEAR orchestration, cross-jurisdiction resilience, federal alignment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Entertainment &amp; live 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EntertainmentOS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Concert, festival, broadcast, and media operations orchestration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R&amp;D lifecycle &amp; innovation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 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 orchestration, model training, ecosystem simulation</w:t>
            </w:r>
          </w:p>
        </w:tc>
      </w:tr>
    </w:tbl>
    <w:p>
      <w:pPr>
        <w:spacing w:after="80"/>
      </w:pPr>
    </w:p>
    <w:p>
      <w:pPr>
        <w:pStyle w:val="Heading2"/>
      </w:pPr>
      <w:r>
        <w:t xml:space="preserve">11.2 Conversion Decision Flow</w:t>
      </w:r>
    </w:p>
    <w:p>
      <w:pPr>
        <w:spacing w:after="120"/>
      </w:pPr>
      <w:r>
        <w:rPr>
          <w:rFonts w:ascii="Arial" w:cs="Arial" w:eastAsia="Arial" w:hAnsi="Arial"/>
          <w:sz w:val="22"/>
          <w:szCs w:val="22"/>
        </w:rPr>
        <w:t xml:space="preserve">The conversion engine executes the following automated sequence: extract gap domains from the Risk Register and dimension-level scoring, map each gap domain to one or more candidate execution products, rank candidates by evidence strength and readiness alignment, generate the Recommended Execution Path with confidence scores, produce the commercial conversion proposal with POC credit documentation, and stage for CRM Stage 7 (Execution Conversion) advancement.</w:t>
      </w:r>
    </w:p>
    <w:p>
      <w:pPr>
        <w:spacing w:after="120"/>
      </w:pPr>
      <w:r>
        <w:rPr>
          <w:rFonts w:ascii="Arial" w:cs="Arial" w:eastAsia="Arial" w:hAnsi="Arial"/>
          <w:sz w:val="22"/>
          <w:szCs w:val="22"/>
        </w:rPr>
        <w:t xml:space="preserve">The governing principle is explicit: Sentrais does not deploy tools into unproven environments. Readiness is proven first through Blueprint360, then operationalized through the appropriate execution product.</w:t>
      </w:r>
    </w:p>
    <w:p>
      <w:r>
        <w:br w:type="page"/>
      </w:r>
    </w:p>
    <w:p>
      <w:pPr>
        <w:pStyle w:val="Heading1"/>
      </w:pPr>
      <w:r>
        <w:t xml:space="preserve">12. Integration Framework &amp; API Specification</w:t>
      </w:r>
    </w:p>
    <w:p>
      <w:pPr>
        <w:spacing w:after="120"/>
      </w:pPr>
      <w:r>
        <w:rPr>
          <w:rFonts w:ascii="Arial" w:cs="Arial" w:eastAsia="Arial" w:hAnsi="Arial"/>
          <w:sz w:val="22"/>
          <w:szCs w:val="22"/>
        </w:rPr>
        <w:t xml:space="preserve">All integrations within the automation framework are classified and governed according to the Sentrais Integration Framework. Every integration requires an Interface Control Document, security mapping, latency validation, failure protocol, and SLA assignment.</w:t>
      </w:r>
    </w:p>
    <w:p>
      <w:pPr>
        <w:pStyle w:val="Heading2"/>
      </w:pPr>
      <w:r>
        <w:t xml:space="preserve">12.1 Integration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Integration Class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Integrations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connections to Sentrais Core OS subsystems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Blueprint Engine API, Evidence Ledger API, Scoring Engine API, Entity Registry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Integrations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system connections for data ingestion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systems, document management, calendar feeds, HR/staffing systems, ticketing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 Integrations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Connections for reporting and intelligence output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 platforms, executive dashboards, PDF/report generation, notification services</w:t>
            </w:r>
          </w:p>
        </w:tc>
      </w:tr>
    </w:tbl>
    <w:p>
      <w:pPr>
        <w:spacing w:after="80"/>
      </w:pPr>
    </w:p>
    <w:p>
      <w:pPr>
        <w:pStyle w:val="Heading2"/>
      </w:pPr>
      <w:r>
        <w:t xml:space="preserve">12.2 API Endpoint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Base Path</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/api/v1/ingest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(submit), GET (status), DELETE (retract)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API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Registry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/api/v1/entities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 search + relationship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RBAC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Blueprint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/api/v1/blueprint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(current), GET (dependency-graph), POST (rebuild)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RBAC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/api/v1/scoring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(trigger), GET (results), GET (heatmap)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RBAC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/api/v1/risks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 priority sort + remediation tracking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RBAC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Ledger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/api/v1/evidence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(commit), GET (audit-trail), GET (artifact)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RBAC + MFA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(view config), WebSocket (real-time updates)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view-level RBAC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Stage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/api/v1/crm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(pipeline), POST (advance), GET (forecast)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RBAC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/api/v1/conversion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(map), GET (recommendation), POST (proposal)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 + RBAC</w:t>
            </w:r>
          </w:p>
        </w:tc>
      </w:tr>
    </w:tbl>
    <w:p>
      <w:r>
        <w:br w:type="page"/>
      </w:r>
    </w:p>
    <w:p>
      <w:pPr>
        <w:pStyle w:val="Heading1"/>
      </w:pPr>
      <w:r>
        <w:t xml:space="preserve">13. Security, Governance &amp; Compliance</w:t>
      </w:r>
    </w:p>
    <w:p>
      <w:pPr>
        <w:pStyle w:val="Heading2"/>
      </w:pPr>
      <w:r>
        <w:t xml:space="preserve">13.1 Security Architecture</w:t>
      </w:r>
    </w:p>
    <w:p>
      <w:pPr>
        <w:spacing w:after="120"/>
      </w:pPr>
      <w:r>
        <w:rPr>
          <w:rFonts w:ascii="Arial" w:cs="Arial" w:eastAsia="Arial" w:hAnsi="Arial"/>
          <w:sz w:val="22"/>
          <w:szCs w:val="22"/>
        </w:rPr>
        <w:t xml:space="preserve">The automation framework enforces Zero Trust security at every layer. All inter-service communication uses mutual TLS. All external API access requires OAuth 2.0 with scoped tokens. Multi-factor authentication is required for Evidence Ledger write operations and all administrative functions.</w:t>
      </w:r>
    </w:p>
    <w:p>
      <w:pPr>
        <w:spacing w:after="120"/>
      </w:pPr>
      <w:r>
        <w:rPr>
          <w:rFonts w:ascii="Arial" w:cs="Arial" w:eastAsia="Arial" w:hAnsi="Arial"/>
          <w:sz w:val="22"/>
          <w:szCs w:val="22"/>
        </w:rPr>
        <w:t xml:space="preserve">Role-Based Access Control (RBAC) governs all data access. Roles are defined at the engagement level and inherited from the Sentrais Role &amp; Identity Framework. The security layer maps directly to the Six-Layer Intelligence Model, with the Security &amp; Governance Layer (Layer 4.6) providing enforcement across all other layers.</w:t>
      </w:r>
    </w:p>
    <w:p>
      <w:pPr>
        <w:pStyle w:val="Heading2"/>
      </w:pPr>
      <w:r>
        <w:t xml:space="preserve">13.2 IP Boundary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Client Retains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Sentrais Retains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 Decisions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operational decisions made using the platform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Methodology for structuring and scoring those decisions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 assignments, local configuration, access control decisions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OS IP, Edge Application architecture, Blueprint methodology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organizational data ingested during engagement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Ledger structure, Orchestration Logic Engine, scoring algorithms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assessment reports, scorecards, and recommendations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framework, visualization templates, output generation engine</w:t>
            </w:r>
          </w:p>
        </w:tc>
      </w:tr>
    </w:tbl>
    <w:p>
      <w:pPr>
        <w:spacing w:after="80"/>
      </w:pPr>
    </w:p>
    <w:p>
      <w:pPr>
        <w:pStyle w:val="Heading2"/>
      </w:pPr>
      <w:r>
        <w:t xml:space="preserve">13.3 AI Governance</w:t>
      </w:r>
    </w:p>
    <w:p>
      <w:pPr>
        <w:spacing w:after="120"/>
      </w:pPr>
      <w:r>
        <w:rPr>
          <w:rFonts w:ascii="Arial" w:cs="Arial" w:eastAsia="Arial" w:hAnsi="Arial"/>
          <w:sz w:val="22"/>
          <w:szCs w:val="22"/>
        </w:rPr>
        <w:t xml:space="preserve">All intelligence models deployed within the automation framework comply with the Sentrais AI Governance standard: human-in-the-loop review for all scoring overrides, explainability logging for all automated decisions, bias monitoring across engagement demographics, model drift detection with automatic alerting, and simulation validation prior to any production model release. AI is treated as a controlled subsystem within the Orchestration Layer and never operates autonomously on scoring or readiness determinations.</w:t>
      </w:r>
    </w:p>
    <w:p>
      <w:r>
        <w:br w:type="page"/>
      </w:r>
    </w:p>
    <w:p>
      <w:pPr>
        <w:pStyle w:val="Heading1"/>
      </w:pPr>
      <w:r>
        <w:t xml:space="preserve">14. Deployment Lifecycle &amp; Certification</w:t>
      </w:r>
    </w:p>
    <w:p>
      <w:pPr>
        <w:pStyle w:val="Heading2"/>
      </w:pPr>
      <w:r>
        <w:t xml:space="preserve">14.1 Deployment Phases</w:t>
      </w:r>
    </w:p>
    <w:p>
      <w:pPr>
        <w:spacing w:after="120"/>
      </w:pPr>
      <w:r>
        <w:rPr>
          <w:rFonts w:ascii="Arial" w:cs="Arial" w:eastAsia="Arial" w:hAnsi="Arial"/>
          <w:sz w:val="22"/>
          <w:szCs w:val="22"/>
        </w:rPr>
        <w:t xml:space="preserve">The automation framework follows the Sentrais Deployment Lifecycle 2.0:</w:t>
      </w:r>
    </w:p>
    <w:p>
      <w:pPr>
        <w:pStyle w:val="ListParagraph"/>
        <w:numPr>
          <w:ilvl w:val="0"/>
          <w:numId w:val="2"/>
        </w:numPr>
        <w:spacing w:after="60"/>
      </w:pPr>
      <w:r>
        <w:rPr>
          <w:rFonts w:ascii="Arial" w:cs="Arial" w:eastAsia="Arial" w:hAnsi="Arial"/>
          <w:sz w:val="22"/>
          <w:szCs w:val="22"/>
        </w:rPr>
        <w:t xml:space="preserve">Discovery: Engagement scoping, stakeholder identification, ecosystem boundary definition</w:t>
      </w:r>
    </w:p>
    <w:p>
      <w:pPr>
        <w:pStyle w:val="ListParagraph"/>
        <w:numPr>
          <w:ilvl w:val="0"/>
          <w:numId w:val="2"/>
        </w:numPr>
        <w:spacing w:after="60"/>
      </w:pPr>
      <w:r>
        <w:rPr>
          <w:rFonts w:ascii="Arial" w:cs="Arial" w:eastAsia="Arial" w:hAnsi="Arial"/>
          <w:sz w:val="22"/>
          <w:szCs w:val="22"/>
        </w:rPr>
        <w:t xml:space="preserve">Design: Blueprint architecture, ingestion pipeline configuration, scoring model calibration</w:t>
      </w:r>
    </w:p>
    <w:p>
      <w:pPr>
        <w:pStyle w:val="ListParagraph"/>
        <w:numPr>
          <w:ilvl w:val="0"/>
          <w:numId w:val="2"/>
        </w:numPr>
        <w:spacing w:after="60"/>
      </w:pPr>
      <w:r>
        <w:rPr>
          <w:rFonts w:ascii="Arial" w:cs="Arial" w:eastAsia="Arial" w:hAnsi="Arial"/>
          <w:sz w:val="22"/>
          <w:szCs w:val="22"/>
        </w:rPr>
        <w:t xml:space="preserve">Build: Pipeline implementation, dashboard configuration, integration development</w:t>
      </w:r>
    </w:p>
    <w:p>
      <w:pPr>
        <w:pStyle w:val="ListParagraph"/>
        <w:numPr>
          <w:ilvl w:val="0"/>
          <w:numId w:val="2"/>
        </w:numPr>
        <w:spacing w:after="60"/>
      </w:pPr>
      <w:r>
        <w:rPr>
          <w:rFonts w:ascii="Arial" w:cs="Arial" w:eastAsia="Arial" w:hAnsi="Arial"/>
          <w:sz w:val="22"/>
          <w:szCs w:val="22"/>
        </w:rPr>
        <w:t xml:space="preserve">Integrate: Client system connections, data feed establishment, authentication setup</w:t>
      </w:r>
    </w:p>
    <w:p>
      <w:pPr>
        <w:pStyle w:val="ListParagraph"/>
        <w:numPr>
          <w:ilvl w:val="0"/>
          <w:numId w:val="2"/>
        </w:numPr>
        <w:spacing w:after="60"/>
      </w:pPr>
      <w:r>
        <w:rPr>
          <w:rFonts w:ascii="Arial" w:cs="Arial" w:eastAsia="Arial" w:hAnsi="Arial"/>
          <w:sz w:val="22"/>
          <w:szCs w:val="22"/>
        </w:rPr>
        <w:t xml:space="preserve">Secure: Security testing, penetration testing, access control validation</w:t>
      </w:r>
    </w:p>
    <w:p>
      <w:pPr>
        <w:pStyle w:val="ListParagraph"/>
        <w:numPr>
          <w:ilvl w:val="0"/>
          <w:numId w:val="2"/>
        </w:numPr>
        <w:spacing w:after="60"/>
      </w:pPr>
      <w:r>
        <w:rPr>
          <w:rFonts w:ascii="Arial" w:cs="Arial" w:eastAsia="Arial" w:hAnsi="Arial"/>
          <w:sz w:val="22"/>
          <w:szCs w:val="22"/>
        </w:rPr>
        <w:t xml:space="preserve">Deploy: Production environment activation, data migration, user provisioning</w:t>
      </w:r>
    </w:p>
    <w:p>
      <w:pPr>
        <w:pStyle w:val="ListParagraph"/>
        <w:numPr>
          <w:ilvl w:val="0"/>
          <w:numId w:val="2"/>
        </w:numPr>
        <w:spacing w:after="60"/>
      </w:pPr>
      <w:r>
        <w:rPr>
          <w:rFonts w:ascii="Arial" w:cs="Arial" w:eastAsia="Arial" w:hAnsi="Arial"/>
          <w:sz w:val="22"/>
          <w:szCs w:val="22"/>
        </w:rPr>
        <w:t xml:space="preserve">Certify: End-to-end validation, dashboard accuracy verification, output fidelity testing</w:t>
      </w:r>
    </w:p>
    <w:p>
      <w:pPr>
        <w:pStyle w:val="ListParagraph"/>
        <w:numPr>
          <w:ilvl w:val="0"/>
          <w:numId w:val="2"/>
        </w:numPr>
        <w:spacing w:after="60"/>
      </w:pPr>
      <w:r>
        <w:rPr>
          <w:rFonts w:ascii="Arial" w:cs="Arial" w:eastAsia="Arial" w:hAnsi="Arial"/>
          <w:sz w:val="22"/>
          <w:szCs w:val="22"/>
        </w:rPr>
        <w:t xml:space="preserve">Sustain: Quarterly readiness reviews, continuous SLA validation, model drift detection, security audits, Evidence Ledger monitoring</w:t>
      </w:r>
    </w:p>
    <w:p>
      <w:pPr>
        <w:pStyle w:val="ListParagraph"/>
        <w:numPr>
          <w:ilvl w:val="0"/>
          <w:numId w:val="2"/>
        </w:numPr>
        <w:spacing w:after="60"/>
      </w:pPr>
      <w:r>
        <w:rPr>
          <w:rFonts w:ascii="Arial" w:cs="Arial" w:eastAsia="Arial" w:hAnsi="Arial"/>
          <w:sz w:val="22"/>
          <w:szCs w:val="22"/>
        </w:rPr>
        <w:t xml:space="preserve">Renew: Annual recertification (mandatory for SEARGrid, CiviGrid, eVenu, and EntertainmentOS deployments). Certification is evidence-based, not attestation-based.</w:t>
      </w:r>
    </w:p>
    <w:p>
      <w:pPr>
        <w:spacing w:after="80"/>
      </w:pPr>
    </w:p>
    <w:p>
      <w:pPr>
        <w:pStyle w:val="Heading2"/>
      </w:pPr>
      <w:r>
        <w:t xml:space="preserve">14.2 Certification Requirements</w:t>
      </w:r>
    </w:p>
    <w:p>
      <w:pPr>
        <w:spacing w:after="120"/>
      </w:pPr>
      <w:r>
        <w:rPr>
          <w:rFonts w:ascii="Arial" w:cs="Arial" w:eastAsia="Arial" w:hAnsi="Arial"/>
          <w:sz w:val="22"/>
          <w:szCs w:val="22"/>
        </w:rPr>
        <w:t xml:space="preserve">No deployment is considered enterprise-grade without the following certification artifacts: completed simulation validation, validated dashboard outputs matching PDF exports, security verification (penetration test + access control audit), integration validation (all endpoints tested under load), and Evidence Ledger review confirming immutability and completeness.</w:t>
      </w:r>
    </w:p>
    <w:p>
      <w:r>
        <w:br w:type="page"/>
      </w:r>
    </w:p>
    <w:p>
      <w:pPr>
        <w:pStyle w:val="Heading1"/>
      </w:pPr>
      <w:r>
        <w:t xml:space="preserve">15. NOVATE Enablement Integration</w:t>
      </w:r>
    </w:p>
    <w:p>
      <w:pPr>
        <w:spacing w:after="120"/>
      </w:pPr>
      <w:r>
        <w:rPr>
          <w:rFonts w:ascii="Arial" w:cs="Arial" w:eastAsia="Arial" w:hAnsi="Arial"/>
          <w:sz w:val="22"/>
          <w:szCs w:val="22"/>
        </w:rPr>
        <w:t xml:space="preserve">NOVATE teams operating within the Sentrais ecosystem follow the N-Ovate Innovation Nexus (NIN) methodology for engagement blueprinting. The automation framework supports the full NIN workflow.</w:t>
      </w:r>
    </w:p>
    <w:p>
      <w:pPr>
        <w:pStyle w:val="Heading2"/>
      </w:pPr>
      <w:r>
        <w:t xml:space="preserve">15.1 Blueprinting Phase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NIN Phase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Automation Support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Foundation &amp; Frame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engagement type classification; objective template generation; stakeholder intake forms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configuration record; initial Entity Registry scaffold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Ecosystem Mapping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 stakeholder interview workflow; automated process map import; system overlay intake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Populated Entity Registry; initial Dependency Graph; stakeholder heatmap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Gap &amp; Constraint Analysis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gap detection from ingestion data; constraint register population; gate identification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 register; Constraint Registry; Notification Gate definitions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Innovation &amp; Simulation Design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template generation; simulation goal definition; data trigger configuration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 storyboard; pilot use case registry; inject point definitions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Integration Blueprint Finalization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validation workflow; Sentrais ingestion confirmation; role and SLA assignment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Blueprint; integration intake record; live readiness confirmation</w:t>
            </w:r>
          </w:p>
        </w:tc>
      </w:tr>
    </w:tbl>
    <w:p>
      <w:pPr>
        <w:spacing w:after="80"/>
      </w:pPr>
    </w:p>
    <w:p>
      <w:pPr>
        <w:pStyle w:val="Heading2"/>
      </w:pPr>
      <w:r>
        <w:t xml:space="preserve">15.2 Sentrais Module Mapping</w:t>
      </w:r>
    </w:p>
    <w:p>
      <w:pPr>
        <w:spacing w:after="120"/>
      </w:pPr>
      <w:r>
        <w:rPr>
          <w:rFonts w:ascii="Arial" w:cs="Arial" w:eastAsia="Arial" w:hAnsi="Arial"/>
          <w:sz w:val="22"/>
          <w:szCs w:val="22"/>
        </w:rPr>
        <w:t xml:space="preserve">The automation framework maps NOVATE blueprint elements to Sentrais modules: Stakeholders map to Permissions and Access Roles, Workflows map to Digital Playbooks and Triggers, Systems and Data map to the Integration Engine and Feeds, Risks and Constraints map to Notification Gates and Alert Logic, KPIs and Outcomes map to Scorecard Dashboards, and Simulations map to the Scenario Runner and Load Models.</w:t>
      </w:r>
    </w:p>
    <w:p>
      <w:r>
        <w:br w:type="page"/>
      </w:r>
    </w:p>
    <w:p>
      <w:pPr>
        <w:pStyle w:val="Heading1"/>
      </w:pPr>
      <w:r>
        <w:t xml:space="preserve">16. Appendices</w:t>
      </w:r>
    </w:p>
    <w:p>
      <w:pPr>
        <w:pStyle w:val="Heading2"/>
      </w:pPr>
      <w:r>
        <w:t xml:space="preserve">16.1 Appendix A: Complete Artifact Checklist</w:t>
      </w:r>
    </w:p>
    <w:p>
      <w:pPr>
        <w:spacing w:after="120"/>
      </w:pPr>
      <w:r>
        <w:rPr>
          <w:rFonts w:ascii="Arial" w:cs="Arial" w:eastAsia="Arial" w:hAnsi="Arial"/>
          <w:b/>
          <w:bCs/>
          <w:sz w:val="22"/>
          <w:szCs w:val="22"/>
        </w:rPr>
        <w:t xml:space="preserve">Pre-Kickoff Artifacts (Ingestion Gate)</w:t>
      </w:r>
    </w:p>
    <w:p>
      <w:pPr>
        <w:pStyle w:val="ListParagraph"/>
        <w:numPr>
          <w:ilvl w:val="0"/>
          <w:numId w:val="3"/>
        </w:numPr>
        <w:spacing w:after="60"/>
      </w:pPr>
      <w:r>
        <w:rPr>
          <w:rFonts w:ascii="Arial" w:cs="Arial" w:eastAsia="Arial" w:hAnsi="Arial"/>
          <w:sz w:val="22"/>
          <w:szCs w:val="22"/>
        </w:rPr>
        <w:t xml:space="preserve">Signed SOW and NDA</w:t>
      </w:r>
    </w:p>
    <w:p>
      <w:pPr>
        <w:pStyle w:val="ListParagraph"/>
        <w:numPr>
          <w:ilvl w:val="0"/>
          <w:numId w:val="3"/>
        </w:numPr>
        <w:spacing w:after="60"/>
      </w:pPr>
      <w:r>
        <w:rPr>
          <w:rFonts w:ascii="Arial" w:cs="Arial" w:eastAsia="Arial" w:hAnsi="Arial"/>
          <w:sz w:val="22"/>
          <w:szCs w:val="22"/>
        </w:rPr>
        <w:t xml:space="preserve">Executive sponsor designation</w:t>
      </w:r>
    </w:p>
    <w:p>
      <w:pPr>
        <w:pStyle w:val="ListParagraph"/>
        <w:numPr>
          <w:ilvl w:val="0"/>
          <w:numId w:val="3"/>
        </w:numPr>
        <w:spacing w:after="60"/>
      </w:pPr>
      <w:r>
        <w:rPr>
          <w:rFonts w:ascii="Arial" w:cs="Arial" w:eastAsia="Arial" w:hAnsi="Arial"/>
          <w:sz w:val="22"/>
          <w:szCs w:val="22"/>
        </w:rPr>
        <w:t xml:space="preserve">Stakeholder list and contact information</w:t>
      </w:r>
    </w:p>
    <w:p>
      <w:pPr>
        <w:pStyle w:val="ListParagraph"/>
        <w:numPr>
          <w:ilvl w:val="0"/>
          <w:numId w:val="3"/>
        </w:numPr>
        <w:spacing w:after="60"/>
      </w:pPr>
      <w:r>
        <w:rPr>
          <w:rFonts w:ascii="Arial" w:cs="Arial" w:eastAsia="Arial" w:hAnsi="Arial"/>
          <w:sz w:val="22"/>
          <w:szCs w:val="22"/>
        </w:rPr>
        <w:t xml:space="preserve">Access to relevant policies, plans, and SOPs</w:t>
      </w:r>
    </w:p>
    <w:p>
      <w:pPr>
        <w:spacing w:after="80"/>
      </w:pPr>
    </w:p>
    <w:p>
      <w:pPr>
        <w:spacing w:after="120"/>
      </w:pPr>
      <w:r>
        <w:rPr>
          <w:rFonts w:ascii="Arial" w:cs="Arial" w:eastAsia="Arial" w:hAnsi="Arial"/>
          <w:b/>
          <w:bCs/>
          <w:sz w:val="22"/>
          <w:szCs w:val="22"/>
        </w:rPr>
        <w:t xml:space="preserve">Operational Calendars (Required Ingestion)</w:t>
      </w:r>
    </w:p>
    <w:p>
      <w:pPr>
        <w:pStyle w:val="ListParagraph"/>
        <w:numPr>
          <w:ilvl w:val="0"/>
          <w:numId w:val="3"/>
        </w:numPr>
        <w:spacing w:after="60"/>
      </w:pPr>
      <w:r>
        <w:rPr>
          <w:rFonts w:ascii="Arial" w:cs="Arial" w:eastAsia="Arial" w:hAnsi="Arial"/>
          <w:sz w:val="22"/>
          <w:szCs w:val="22"/>
        </w:rPr>
        <w:t xml:space="preserve">Event calendar (games, concerts, SEAR events, key dates)</w:t>
      </w:r>
    </w:p>
    <w:p>
      <w:pPr>
        <w:pStyle w:val="ListParagraph"/>
        <w:numPr>
          <w:ilvl w:val="0"/>
          <w:numId w:val="3"/>
        </w:numPr>
        <w:spacing w:after="60"/>
      </w:pPr>
      <w:r>
        <w:rPr>
          <w:rFonts w:ascii="Arial" w:cs="Arial" w:eastAsia="Arial" w:hAnsi="Arial"/>
          <w:sz w:val="22"/>
          <w:szCs w:val="22"/>
        </w:rPr>
        <w:t xml:space="preserve">Operational blackout periods</w:t>
      </w:r>
    </w:p>
    <w:p>
      <w:pPr>
        <w:pStyle w:val="ListParagraph"/>
        <w:numPr>
          <w:ilvl w:val="0"/>
          <w:numId w:val="3"/>
        </w:numPr>
        <w:spacing w:after="60"/>
      </w:pPr>
      <w:r>
        <w:rPr>
          <w:rFonts w:ascii="Arial" w:cs="Arial" w:eastAsia="Arial" w:hAnsi="Arial"/>
          <w:sz w:val="22"/>
          <w:szCs w:val="22"/>
        </w:rPr>
        <w:t xml:space="preserve">Rehearsals, tabletop exercises, and drills</w:t>
      </w:r>
    </w:p>
    <w:p>
      <w:pPr>
        <w:pStyle w:val="ListParagraph"/>
        <w:numPr>
          <w:ilvl w:val="0"/>
          <w:numId w:val="3"/>
        </w:numPr>
        <w:spacing w:after="60"/>
      </w:pPr>
      <w:r>
        <w:rPr>
          <w:rFonts w:ascii="Arial" w:cs="Arial" w:eastAsia="Arial" w:hAnsi="Arial"/>
          <w:sz w:val="22"/>
          <w:szCs w:val="22"/>
        </w:rPr>
        <w:t xml:space="preserve">Go-live and certification deadlines</w:t>
      </w:r>
    </w:p>
    <w:p>
      <w:pPr>
        <w:spacing w:after="80"/>
      </w:pPr>
    </w:p>
    <w:p>
      <w:pPr>
        <w:spacing w:after="120"/>
      </w:pPr>
      <w:r>
        <w:rPr>
          <w:rFonts w:ascii="Arial" w:cs="Arial" w:eastAsia="Arial" w:hAnsi="Arial"/>
          <w:b/>
          <w:bCs/>
          <w:sz w:val="22"/>
          <w:szCs w:val="22"/>
        </w:rPr>
        <w:t xml:space="preserve">Operational Triggers &amp; Dependencies (Required Ingestion)</w:t>
      </w:r>
    </w:p>
    <w:p>
      <w:pPr>
        <w:pStyle w:val="ListParagraph"/>
        <w:numPr>
          <w:ilvl w:val="0"/>
          <w:numId w:val="3"/>
        </w:numPr>
        <w:spacing w:after="60"/>
      </w:pPr>
      <w:r>
        <w:rPr>
          <w:rFonts w:ascii="Arial" w:cs="Arial" w:eastAsia="Arial" w:hAnsi="Arial"/>
          <w:sz w:val="22"/>
          <w:szCs w:val="22"/>
        </w:rPr>
        <w:t xml:space="preserve">Season start or major event date</w:t>
      </w:r>
    </w:p>
    <w:p>
      <w:pPr>
        <w:pStyle w:val="ListParagraph"/>
        <w:numPr>
          <w:ilvl w:val="0"/>
          <w:numId w:val="3"/>
        </w:numPr>
        <w:spacing w:after="60"/>
      </w:pPr>
      <w:r>
        <w:rPr>
          <w:rFonts w:ascii="Arial" w:cs="Arial" w:eastAsia="Arial" w:hAnsi="Arial"/>
          <w:sz w:val="22"/>
          <w:szCs w:val="22"/>
        </w:rPr>
        <w:t xml:space="preserve">Venue certification or inspection deadlines</w:t>
      </w:r>
    </w:p>
    <w:p>
      <w:pPr>
        <w:pStyle w:val="ListParagraph"/>
        <w:numPr>
          <w:ilvl w:val="0"/>
          <w:numId w:val="3"/>
        </w:numPr>
        <w:spacing w:after="60"/>
      </w:pPr>
      <w:r>
        <w:rPr>
          <w:rFonts w:ascii="Arial" w:cs="Arial" w:eastAsia="Arial" w:hAnsi="Arial"/>
          <w:sz w:val="22"/>
          <w:szCs w:val="22"/>
        </w:rPr>
        <w:t xml:space="preserve">Staffing and credentialing cutoffs</w:t>
      </w:r>
    </w:p>
    <w:p>
      <w:pPr>
        <w:pStyle w:val="ListParagraph"/>
        <w:numPr>
          <w:ilvl w:val="0"/>
          <w:numId w:val="3"/>
        </w:numPr>
        <w:spacing w:after="60"/>
      </w:pPr>
      <w:r>
        <w:rPr>
          <w:rFonts w:ascii="Arial" w:cs="Arial" w:eastAsia="Arial" w:hAnsi="Arial"/>
          <w:sz w:val="22"/>
          <w:szCs w:val="22"/>
        </w:rPr>
        <w:t xml:space="preserve">Technology freeze or change windows</w:t>
      </w:r>
    </w:p>
    <w:p>
      <w:pPr>
        <w:pStyle w:val="ListParagraph"/>
        <w:numPr>
          <w:ilvl w:val="0"/>
          <w:numId w:val="3"/>
        </w:numPr>
        <w:spacing w:after="60"/>
      </w:pPr>
      <w:r>
        <w:rPr>
          <w:rFonts w:ascii="Arial" w:cs="Arial" w:eastAsia="Arial" w:hAnsi="Arial"/>
          <w:sz w:val="22"/>
          <w:szCs w:val="22"/>
        </w:rPr>
        <w:t xml:space="preserve">Security posture changes or threat escalations</w:t>
      </w:r>
    </w:p>
    <w:p>
      <w:pPr>
        <w:spacing w:after="80"/>
      </w:pPr>
    </w:p>
    <w:p>
      <w:pPr>
        <w:spacing w:after="120"/>
      </w:pPr>
      <w:r>
        <w:rPr>
          <w:rFonts w:ascii="Arial" w:cs="Arial" w:eastAsia="Arial" w:hAnsi="Arial"/>
          <w:b/>
          <w:bCs/>
          <w:sz w:val="22"/>
          <w:szCs w:val="22"/>
        </w:rPr>
        <w:t xml:space="preserve">During-POC Working Artifacts (Pipeline Outputs)</w:t>
      </w:r>
    </w:p>
    <w:p>
      <w:pPr>
        <w:pStyle w:val="ListParagraph"/>
        <w:numPr>
          <w:ilvl w:val="0"/>
          <w:numId w:val="3"/>
        </w:numPr>
        <w:spacing w:after="60"/>
      </w:pPr>
      <w:r>
        <w:rPr>
          <w:rFonts w:ascii="Arial" w:cs="Arial" w:eastAsia="Arial" w:hAnsi="Arial"/>
          <w:sz w:val="22"/>
          <w:szCs w:val="22"/>
        </w:rPr>
        <w:t xml:space="preserve">Interview notes and evidence logs</w:t>
      </w:r>
    </w:p>
    <w:p>
      <w:pPr>
        <w:pStyle w:val="ListParagraph"/>
        <w:numPr>
          <w:ilvl w:val="0"/>
          <w:numId w:val="3"/>
        </w:numPr>
        <w:spacing w:after="60"/>
      </w:pPr>
      <w:r>
        <w:rPr>
          <w:rFonts w:ascii="Arial" w:cs="Arial" w:eastAsia="Arial" w:hAnsi="Arial"/>
          <w:sz w:val="22"/>
          <w:szCs w:val="22"/>
        </w:rPr>
        <w:t xml:space="preserve">Maturity scorecard and heatmap</w:t>
      </w:r>
    </w:p>
    <w:p>
      <w:pPr>
        <w:pStyle w:val="ListParagraph"/>
        <w:numPr>
          <w:ilvl w:val="0"/>
          <w:numId w:val="3"/>
        </w:numPr>
        <w:spacing w:after="60"/>
      </w:pPr>
      <w:r>
        <w:rPr>
          <w:rFonts w:ascii="Arial" w:cs="Arial" w:eastAsia="Arial" w:hAnsi="Arial"/>
          <w:sz w:val="22"/>
          <w:szCs w:val="22"/>
        </w:rPr>
        <w:t xml:space="preserve">Operational blueprint and dependency maps</w:t>
      </w:r>
    </w:p>
    <w:p>
      <w:pPr>
        <w:pStyle w:val="ListParagraph"/>
        <w:numPr>
          <w:ilvl w:val="0"/>
          <w:numId w:val="3"/>
        </w:numPr>
        <w:spacing w:after="60"/>
      </w:pPr>
      <w:r>
        <w:rPr>
          <w:rFonts w:ascii="Arial" w:cs="Arial" w:eastAsia="Arial" w:hAnsi="Arial"/>
          <w:sz w:val="22"/>
          <w:szCs w:val="22"/>
        </w:rPr>
        <w:t xml:space="preserve">Risk register and remediation backlog</w:t>
      </w:r>
    </w:p>
    <w:p>
      <w:pPr>
        <w:spacing w:after="80"/>
      </w:pPr>
    </w:p>
    <w:p>
      <w:pPr>
        <w:spacing w:after="120"/>
      </w:pPr>
      <w:r>
        <w:rPr>
          <w:rFonts w:ascii="Arial" w:cs="Arial" w:eastAsia="Arial" w:hAnsi="Arial"/>
          <w:b/>
          <w:bCs/>
          <w:sz w:val="22"/>
          <w:szCs w:val="22"/>
        </w:rPr>
        <w:t xml:space="preserve">Close-Out &amp; Conversion Artifacts (Final Outputs)</w:t>
      </w:r>
    </w:p>
    <w:p>
      <w:pPr>
        <w:pStyle w:val="ListParagraph"/>
        <w:numPr>
          <w:ilvl w:val="0"/>
          <w:numId w:val="3"/>
        </w:numPr>
        <w:spacing w:after="60"/>
      </w:pPr>
      <w:r>
        <w:rPr>
          <w:rFonts w:ascii="Arial" w:cs="Arial" w:eastAsia="Arial" w:hAnsi="Arial"/>
          <w:sz w:val="22"/>
          <w:szCs w:val="22"/>
        </w:rPr>
        <w:t xml:space="preserve">Executive POC close-out report</w:t>
      </w:r>
    </w:p>
    <w:p>
      <w:pPr>
        <w:pStyle w:val="ListParagraph"/>
        <w:numPr>
          <w:ilvl w:val="0"/>
          <w:numId w:val="3"/>
        </w:numPr>
        <w:spacing w:after="60"/>
      </w:pPr>
      <w:r>
        <w:rPr>
          <w:rFonts w:ascii="Arial" w:cs="Arial" w:eastAsia="Arial" w:hAnsi="Arial"/>
          <w:sz w:val="22"/>
          <w:szCs w:val="22"/>
        </w:rPr>
        <w:t xml:space="preserve">Go/Conditional Go/No-Go decision memo</w:t>
      </w:r>
    </w:p>
    <w:p>
      <w:pPr>
        <w:pStyle w:val="ListParagraph"/>
        <w:numPr>
          <w:ilvl w:val="0"/>
          <w:numId w:val="3"/>
        </w:numPr>
        <w:spacing w:after="60"/>
      </w:pPr>
      <w:r>
        <w:rPr>
          <w:rFonts w:ascii="Arial" w:cs="Arial" w:eastAsia="Arial" w:hAnsi="Arial"/>
          <w:sz w:val="22"/>
          <w:szCs w:val="22"/>
        </w:rPr>
        <w:t xml:space="preserve">Recommended execution product mapping</w:t>
      </w:r>
    </w:p>
    <w:p>
      <w:pPr>
        <w:pStyle w:val="ListParagraph"/>
        <w:numPr>
          <w:ilvl w:val="0"/>
          <w:numId w:val="3"/>
        </w:numPr>
        <w:spacing w:after="60"/>
      </w:pPr>
      <w:r>
        <w:rPr>
          <w:rFonts w:ascii="Arial" w:cs="Arial" w:eastAsia="Arial" w:hAnsi="Arial"/>
          <w:sz w:val="22"/>
          <w:szCs w:val="22"/>
        </w:rPr>
        <w:t xml:space="preserve">POC-to-execution pricing credit documentation</w:t>
      </w:r>
    </w:p>
    <w:p>
      <w:pPr>
        <w:pStyle w:val="Heading2"/>
      </w:pPr>
      <w:r>
        <w:t xml:space="preserve">16.2 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Blueprint360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Executive-grade security and operational maturity assessment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Sentrais Core 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protected intelligence engine; licensed, not client-owned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Ledger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 audit log of all decisions, data, and artifacts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Graph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Directed acyclic graph modeling all entity relationships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Registry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Canonical record of all stakeholders, systems, processes, and constraints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trigger that prompts review, validation, or approval before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Application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Verticalized orchestration layer built on Core OS (EVERGAME, eVenu, CiviGrid, SEARGrid)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Maturity Scorecard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Dimension-level scoring output across the five maturity dimensions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Color-coded matrix visualization of maturity scores across dimensions and levels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Readiness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Go/Conditional Go/No-Go decision point based on maturity scoring thresholds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N-Ovate Innovation Nexus; NOVATE's engagement methodology for Sentrais ecosystems</w:t>
            </w:r>
          </w:p>
        </w:tc>
      </w:tr>
    </w:tbl>
    <w:p>
      <w:pPr>
        <w:spacing w:after="200"/>
      </w:pPr>
    </w:p>
    <w:p>
      <w:pPr>
        <w:pBdr>
          <w:bottom w:val="single" w:color="2E75B6" w:sz="3" w:space="1"/>
        </w:pBdr>
        <w:spacing w:after="200" w:before="200"/>
      </w:pPr>
    </w:p>
    <w:p>
      <w:pPr>
        <w:spacing w:before="200"/>
        <w:jc w:val="center"/>
      </w:pPr>
      <w:r>
        <w:rPr>
          <w:rFonts w:ascii="Arial" w:cs="Arial" w:eastAsia="Arial" w:hAnsi="Arial"/>
          <w:b/>
          <w:bCs/>
          <w:color w:val="9E9E9E"/>
          <w:sz w:val="20"/>
          <w:szCs w:val="20"/>
        </w:rPr>
        <w:t xml:space="preserve">END OF DOCUMENT</w:t>
      </w:r>
    </w:p>
    <w:p>
      <w:pPr>
        <w:spacing w:after="200"/>
        <w:jc w:val="center"/>
      </w:pPr>
      <w:r>
        <w:rPr>
          <w:rFonts w:ascii="Arial" w:cs="Arial" w:eastAsia="Arial" w:hAnsi="Arial"/>
          <w:i/>
          <w:iCs/>
          <w:color w:val="9E9E9E"/>
          <w:sz w:val="18"/>
          <w:szCs w:val="18"/>
        </w:rPr>
        <w:t xml:space="preserve">Sentrais Core OS + Blueprint360 | Technical Build Specification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space="4"/>
      </w:pBdr>
      <w:tabs>
        <w:tab w:val="right" w:pos="9026"/>
      </w:tabs>
    </w:pPr>
    <w:r>
      <w:rPr>
        <w:rFonts w:ascii="Arial" w:cs="Arial" w:eastAsia="Arial" w:hAnsi="Arial"/>
        <w:color w:val="9E9E9E"/>
        <w:sz w:val="16"/>
        <w:szCs w:val="16"/>
      </w:rPr>
      <w:t xml:space="preserve">Sentrais Confidential</w:t>
    </w:r>
    <w:r>
      <w:rPr>
        <w:rFonts w:ascii="Arial" w:cs="Arial" w:eastAsia="Arial" w:hAnsi="Arial"/>
        <w:color w:val="9E9E9E"/>
        <w:sz w:val="16"/>
        <w:szCs w:val="16"/>
      </w:rPr>
      <w:t xml:space="preserve">	Page </w:t>
    </w:r>
    <w:r>
      <w:rPr>
        <w:rFonts w:ascii="Arial" w:cs="Arial" w:eastAsia="Arial" w:hAnsi="Arial"/>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9E9E9E"/>
        <w:sz w:val="16"/>
        <w:szCs w:val="16"/>
      </w:rPr>
      <w:t xml:space="preserve">Sentrais Core OS + Blueprint360 | Technical Build Specification</w:t>
    </w:r>
    <w:r>
      <w:rPr>
        <w:rFonts w:ascii="Arial" w:cs="Arial" w:eastAsia="Arial" w:hAnsi="Arial"/>
        <w:b/>
        <w:bCs/>
        <w:color w:val="C6282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2026-03-18T03:56:05.149Z</dcterms:created>
  <dcterms:modified xsi:type="dcterms:W3CDTF">2026-03-18T03:56:05.150Z</dcterms:modified>
</cp:coreProperties>
</file>

<file path=docProps/custom.xml><?xml version="1.0" encoding="utf-8"?>
<Properties xmlns="http://schemas.openxmlformats.org/officeDocument/2006/custom-properties" xmlns:vt="http://schemas.openxmlformats.org/officeDocument/2006/docPropsVTypes"/>
</file>