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A2E" w:val="clear"/>
            <w:tcMar>
              <w:top w:type="dxa" w:w="280"/>
              <w:left w:type="dxa" w:w="320"/>
              <w:bottom w:type="dxa" w:w="280"/>
              <w:right w:type="dxa" w:w="320"/>
            </w:tcMar>
          </w:tcPr>
          <w:p>
            <w:pPr>
              <w:spacing w:before="0" w:after="60"/>
              <w:jc w:val="center"/>
            </w:pPr>
            <w:r>
              <w:rPr>
                <w:rFonts w:ascii="Arial" w:cs="Arial" w:eastAsia="Arial" w:hAnsi="Arial"/>
                <w:b/>
                <w:bCs/>
                <w:color w:val="00D4AA"/>
                <w:spacing w:val="150"/>
                <w:sz w:val="56"/>
                <w:szCs w:val="56"/>
              </w:rPr>
              <w:t xml:space="preserve">SENTRAIS</w:t>
            </w:r>
          </w:p>
          <w:p>
            <w:pPr>
              <w:spacing w:before="0" w:after="40"/>
              <w:jc w:val="center"/>
            </w:pPr>
            <w:r>
              <w:rPr>
                <w:rFonts w:ascii="Arial" w:cs="Arial" w:eastAsia="Arial" w:hAnsi="Arial"/>
                <w:b/>
                <w:bCs/>
                <w:color w:val="FFFFFF"/>
                <w:sz w:val="44"/>
                <w:szCs w:val="44"/>
              </w:rPr>
              <w:t xml:space="preserve">Enterprise Security Design</w:t>
            </w:r>
          </w:p>
          <w:p>
            <w:pPr>
              <w:spacing w:before="0" w:after="40"/>
              <w:jc w:val="center"/>
            </w:pPr>
            <w:r>
              <w:rPr>
                <w:rFonts w:ascii="Arial" w:cs="Arial" w:eastAsia="Arial" w:hAnsi="Arial"/>
                <w:color w:val="9FE1CB"/>
                <w:sz w:val="22"/>
                <w:szCs w:val="22"/>
              </w:rPr>
              <w:t xml:space="preserve">Multi-Client · Multi-Vertical · Shared Intelligence OS</w:t>
            </w:r>
          </w:p>
          <w:p>
            <w:pPr>
              <w:spacing w:before="80" w:after="20"/>
              <w:jc w:val="center"/>
            </w:pPr>
            <w:r>
              <w:rPr>
                <w:rFonts w:ascii="Arial" w:cs="Arial" w:eastAsia="Arial" w:hAnsi="Arial"/>
                <w:i/>
                <w:iCs/>
                <w:color w:val="64A8D4"/>
                <w:sz w:val="18"/>
                <w:szCs w:val="18"/>
              </w:rPr>
              <w:t xml:space="preserve">NFL · NBA · LiveNation · Ticketmaster · SpectraGrid · CiviGrid-ATL · CiviGrid-LA · SEARGrid</w:t>
            </w:r>
          </w:p>
          <w:p>
            <w:pPr>
              <w:spacing w:before="20" w:after="0"/>
              <w:jc w:val="center"/>
            </w:pPr>
            <w:r>
              <w:rPr>
                <w:rFonts w:ascii="Arial" w:cs="Arial" w:eastAsia="Arial" w:hAnsi="Arial"/>
                <w:color w:val="4A7A9B"/>
                <w:sz w:val="17"/>
                <w:szCs w:val="17"/>
              </w:rPr>
              <w:t xml:space="preserve">v1.1 — Updated: Daryl Booker SecOps | Derek Johnson CTO NOVATELabs</w:t>
            </w:r>
          </w:p>
        </w:tc>
      </w:tr>
    </w:tbl>
    <w:p>
      <w:pPr>
        <w:spacing w:before="0" w:after="72"/>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539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p>
            <w:pPr>
              <w:jc w:val="center"/>
            </w:pPr>
            <w:r>
              <w:rPr>
                <w:rFonts w:ascii="Arial" w:cs="Arial" w:eastAsia="Arial" w:hAnsi="Arial"/>
                <w:color w:val="FFFFFF"/>
                <w:sz w:val="16"/>
                <w:szCs w:val="16"/>
              </w:rPr>
              <w:t xml:space="preserve">Security-grade</w:t>
            </w:r>
          </w:p>
        </w:tc>
        <w:tc>
          <w:tcPr>
            <w:tcW w:type="dxa" w:w="2340"/>
            <w:tcBorders>
              <w:top w:val="none" w:color="FFFFFF" w:sz="0"/>
              <w:left w:val="none" w:color="FFFFFF" w:sz="0"/>
              <w:bottom w:val="none" w:color="FFFFFF" w:sz="0"/>
              <w:right w:val="none" w:color="FFFFFF" w:sz="0"/>
            </w:tcBorders>
            <w:shd w:fill="1D9E7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SecOps: Daryl Booker</w:t>
            </w:r>
          </w:p>
          <w:p>
            <w:pPr>
              <w:jc w:val="center"/>
            </w:pPr>
            <w:r>
              <w:rPr>
                <w:rFonts w:ascii="Arial" w:cs="Arial" w:eastAsia="Arial" w:hAnsi="Arial"/>
                <w:color w:val="FFFFFF"/>
                <w:sz w:val="16"/>
                <w:szCs w:val="16"/>
              </w:rPr>
              <w:t xml:space="preserve">Primary owner</w:t>
            </w:r>
          </w:p>
        </w:tc>
        <w:tc>
          <w:tcPr>
            <w:tcW w:type="dxa" w:w="234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CTO NOVATELabs: Derek Johnson</w:t>
            </w:r>
          </w:p>
          <w:p>
            <w:pPr>
              <w:jc w:val="center"/>
            </w:pPr>
            <w:r>
              <w:rPr>
                <w:rFonts w:ascii="Arial" w:cs="Arial" w:eastAsia="Arial" w:hAnsi="Arial"/>
                <w:color w:val="FFFFFF"/>
                <w:sz w:val="16"/>
                <w:szCs w:val="16"/>
              </w:rPr>
              <w:t xml:space="preserve">Platform + Infra</w:t>
            </w:r>
          </w:p>
        </w:tc>
        <w:tc>
          <w:tcPr>
            <w:tcW w:type="dxa" w:w="2340"/>
            <w:tcBorders>
              <w:top w:val="none" w:color="FFFFFF" w:sz="0"/>
              <w:left w:val="none" w:color="FFFFFF" w:sz="0"/>
              <w:bottom w:val="none" w:color="FFFFFF" w:sz="0"/>
              <w:right w:val="none" w:color="FFFFFF" w:sz="0"/>
            </w:tcBorders>
            <w:shd w:fill="F5A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v1.1 · March 2026</w:t>
            </w:r>
          </w:p>
          <w:p>
            <w:pPr>
              <w:jc w:val="center"/>
            </w:pPr>
            <w:r>
              <w:rPr>
                <w:rFonts w:ascii="Arial" w:cs="Arial" w:eastAsia="Arial" w:hAnsi="Arial"/>
                <w:color w:val="FFFFFF"/>
                <w:sz w:val="16"/>
                <w:szCs w:val="16"/>
              </w:rPr>
              <w:t xml:space="preserve">Updated roster</w:t>
            </w:r>
          </w:p>
        </w:tc>
      </w:tr>
    </w:tbl>
    <w:p>
      <w:r>
        <w:br w:type="page"/>
      </w:r>
    </w:p>
    <w:p>
      <w:pPr>
        <w:pStyle w:val="Heading1"/>
        <w:pBdr>
          <w:bottom w:val="single" w:color="00D4AA" w:sz="8" w:space="4"/>
        </w:pBdr>
        <w:spacing w:before="360" w:after="160"/>
      </w:pPr>
      <w:r>
        <w:rPr>
          <w:rFonts w:ascii="Arial" w:cs="Arial" w:eastAsia="Arial" w:hAnsi="Arial"/>
          <w:b/>
          <w:bCs/>
          <w:color w:val="0F1A2E"/>
          <w:sz w:val="34"/>
          <w:szCs w:val="34"/>
        </w:rPr>
        <w:t xml:space="preserve">01  THE SECURITY DESIGN PROBLEM</w:t>
      </w:r>
    </w:p>
    <w:p>
      <w:pPr>
        <w:spacing w:before="50" w:after="50"/>
      </w:pPr>
      <w:r>
        <w:rPr>
          <w:rFonts w:ascii="Arial" w:cs="Arial" w:eastAsia="Arial" w:hAnsi="Arial"/>
          <w:color w:val="1A202C"/>
          <w:sz w:val="20"/>
          <w:szCs w:val="20"/>
        </w:rPr>
        <w:t xml:space="preserve">Sentrais operates a shared intelligence OS across a portfolio of clients whose data must never commingle — but whose aggregate operational patterns make the entire platform smarter over time. This is the central security design tension: the same infrastructure that must enforce absolute tenant isolation must simultaneously learn from cross-client operational patterns without ever moving raw client data across project boundaries.</w:t>
      </w:r>
    </w:p>
    <w:p>
      <w:pPr>
        <w:spacing w:before="0" w:after="36"/>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1F7" w:val="clear"/>
            <w:tcMar>
              <w:top w:type="dxa" w:w="120"/>
              <w:left w:type="dxa" w:w="220"/>
              <w:bottom w:type="dxa" w:w="120"/>
              <w:right w:type="dxa" w:w="220"/>
            </w:tcMar>
          </w:tcPr>
          <w:p>
            <w:pPr>
              <w:spacing w:before="0" w:after="50"/>
            </w:pPr>
            <w:r>
              <w:rPr>
                <w:rFonts w:ascii="Arial" w:cs="Arial" w:eastAsia="Arial" w:hAnsi="Arial"/>
                <w:b/>
                <w:bCs/>
                <w:color w:val="0F1A2E"/>
                <w:sz w:val="19"/>
                <w:szCs w:val="19"/>
              </w:rPr>
              <w:t xml:space="preserve">THE FIVE SECURITY DOMAINS</w:t>
            </w:r>
          </w:p>
          <w:p>
            <w:pPr>
              <w:spacing w:before="0" w:after="0"/>
            </w:pPr>
            <w:r>
              <w:rPr>
                <w:rFonts w:ascii="Arial" w:cs="Arial" w:eastAsia="Arial" w:hAnsi="Arial"/>
                <w:i/>
                <w:iCs/>
                <w:color w:val="0F1A2E"/>
                <w:sz w:val="18"/>
                <w:szCs w:val="18"/>
              </w:rPr>
              <w:t xml:space="preserve">Each client vertical generates a distinct security domain with different classification requirements, regulatory exposure, and data sensitivity profiles. A single Sentrais deployment may serve clients across all five simultaneously.</w:t>
            </w:r>
          </w:p>
        </w:tc>
      </w:tr>
    </w:tbl>
    <w:p>
      <w:pPr>
        <w:spacing w:before="0" w:after="36"/>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DOMAIN</w:t>
            </w:r>
          </w:p>
        </w:tc>
        <w:tc>
          <w:tcPr>
            <w:tcW w:type="dxa" w:w="24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CLIENTS</w:t>
            </w:r>
          </w:p>
        </w:tc>
        <w:tc>
          <w:tcPr>
            <w:tcW w:type="dxa" w:w="24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DATA SENSITIVITY</w:t>
            </w:r>
          </w:p>
        </w:tc>
        <w:tc>
          <w:tcPr>
            <w:tcW w:type="dxa" w:w="27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REGULATORY EXPOSURE</w:t>
            </w:r>
          </w:p>
        </w:tc>
      </w:tr>
      <w:tr>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D1 — League Operations</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NFL · NBA · Future Leagues</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Game operations, franchise data, revenue, competitive strategy</w:t>
            </w:r>
          </w:p>
        </w:tc>
        <w:tc>
          <w:tcPr>
            <w:tcW w:type="dxa" w:w="27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Proprietary. MSA-governed. No federal exposure.</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D2 — Venue &amp; Facility</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Stadium GMs · eVenu clients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Facility specs, ADA compliance, crowd density, emergency egress</w:t>
            </w:r>
          </w:p>
        </w:tc>
        <w:tc>
          <w:tcPr>
            <w:tcW w:type="dxa" w:w="27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OSHA, ADA, local fire codes. Venue-specific legal boundary.</w:t>
            </w:r>
          </w:p>
        </w:tc>
      </w:tr>
      <w:tr>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D3 — Host City / Municipal</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CiviGrid-ATL · CiviGrid-LA</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Multi-agency coordination, public safety plans, permit data</w:t>
            </w:r>
          </w:p>
        </w:tc>
        <w:tc>
          <w:tcPr>
            <w:tcW w:type="dxa" w:w="27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CJIS adjacent. State data sharing agreements. PPP governance.</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D4 — Entertainment / Commercial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LiveNation · Ticketmaster · SpectraGrid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Fan PII, commercial contracts, pricing, performer security</w:t>
            </w:r>
          </w:p>
        </w:tc>
        <w:tc>
          <w:tcPr>
            <w:tcW w:type="dxa" w:w="27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PCI-DSS (ticketing). CCPA/GDPR (fan PII). Commercial NDA.</w:t>
            </w:r>
          </w:p>
        </w:tc>
      </w:tr>
      <w:tr>
        <w:tc>
          <w:tcPr>
            <w:tcW w:type="dxa" w:w="18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D5 — National Security</w:t>
            </w:r>
          </w:p>
        </w:tc>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SEARGrid deployments</w:t>
            </w:r>
          </w:p>
        </w:tc>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Threat intelligence, federal agency coordination, SEAR protocols</w:t>
            </w:r>
          </w:p>
        </w:tc>
        <w:tc>
          <w:tcPr>
            <w:tcW w:type="dxa" w:w="27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NIST 800-53. FedRAMP pending. CJIS if LEA integration. CUI adjacent.</w:t>
            </w:r>
          </w:p>
        </w:tc>
      </w:tr>
    </w:tbl>
    <w:p>
      <w:pPr>
        <w:spacing w:before="0" w:after="36"/>
      </w:pPr>
      <w:r>
        <w:rPr>
          <w:sz w:val="18"/>
          <w:szCs w:val="18"/>
        </w:rPr>
        <w:t xml:space="preserve"/>
      </w:r>
    </w:p>
    <w:p>
      <w:pPr>
        <w:spacing w:before="50" w:after="50"/>
      </w:pPr>
      <w:r>
        <w:rPr>
          <w:rFonts w:ascii="Arial" w:cs="Arial" w:eastAsia="Arial" w:hAnsi="Arial"/>
          <w:color w:val="1A202C"/>
          <w:sz w:val="20"/>
          <w:szCs w:val="20"/>
        </w:rPr>
        <w:t xml:space="preserve">The fundamental rule: client data from Domain D1 (NFL) can never inform, enrich, or be visible to clients in D4 (LiveNation/Ticketmaster), even though both run on the same Sentrais Core OS. The shared intelligence layer learns from anonymized patterns and metadata — never from raw client data. Three independent enforcement mechanisms protect this: VPC Service Controls (infrastructure), Cloud IAM deny policies (identity), and one-way write pipeline architecture (application).</w:t>
      </w:r>
    </w:p>
    <w:p>
      <w:pPr>
        <w:spacing w:before="0" w:after="36"/>
      </w:pPr>
      <w:r>
        <w:rPr>
          <w:sz w:val="18"/>
          <w:szCs w:val="18"/>
        </w:rPr>
        <w:t xml:space="preserve"/>
      </w:r>
    </w:p>
    <w:p>
      <w:r>
        <w:br w:type="page"/>
      </w:r>
    </w:p>
    <w:p>
      <w:pPr>
        <w:pStyle w:val="Heading1"/>
        <w:pBdr>
          <w:bottom w:val="single" w:color="00D4AA" w:sz="8" w:space="4"/>
        </w:pBdr>
        <w:spacing w:before="360" w:after="160"/>
      </w:pPr>
      <w:r>
        <w:rPr>
          <w:rFonts w:ascii="Arial" w:cs="Arial" w:eastAsia="Arial" w:hAnsi="Arial"/>
          <w:b/>
          <w:bCs/>
          <w:color w:val="0F1A2E"/>
          <w:sz w:val="34"/>
          <w:szCs w:val="34"/>
        </w:rPr>
        <w:t xml:space="preserve">02  GCP MULTI-PROJECT TENANT ISOLATION ARCHITECTURE</w:t>
      </w:r>
    </w:p>
    <w:p>
      <w:pPr>
        <w:spacing w:before="50" w:after="50"/>
      </w:pPr>
      <w:r>
        <w:rPr>
          <w:rFonts w:ascii="Arial" w:cs="Arial" w:eastAsia="Arial" w:hAnsi="Arial"/>
          <w:color w:val="1A202C"/>
          <w:sz w:val="20"/>
          <w:szCs w:val="20"/>
        </w:rPr>
        <w:t xml:space="preserve">Sentrais enforces tenant isolation at the GCP project level — not the application level. Each major client vertical runs in its own GCP project with its own VPC Service Controls perimeter. There are no shared databases, no shared storage buckets, and no shared compute resources between client tenants. Derek Johnson (CTO, NOVATELabs) owns this architecture. Daryl Booker (SecOps) owns the security posture, compliance controls, and key management within it.</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2.1  GCP Project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160"/>
        <w:gridCol w:w="3200"/>
      </w:tblGrid>
      <w:tr>
        <w:trPr>
          <w:tblHeader/>
        </w:trPr>
        <w:tc>
          <w:tcPr>
            <w:tcW w:type="dxa" w:w="24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GCP PROJECT</w:t>
            </w:r>
          </w:p>
        </w:tc>
        <w:tc>
          <w:tcPr>
            <w:tcW w:type="dxa" w:w="16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SECURITY TIER</w:t>
            </w:r>
          </w:p>
        </w:tc>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TENANT</w:t>
            </w:r>
          </w:p>
        </w:tc>
        <w:tc>
          <w:tcPr>
            <w:tcW w:type="dxa" w:w="32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KEY SERVICES + DATA</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sentrais-core-os</w:t>
            </w:r>
          </w:p>
        </w:tc>
        <w:tc>
          <w:tcPr>
            <w:tcW w:type="dxa" w:w="16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INTERNAL — RESTRICTED</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 / NOVATELabs only</w:t>
            </w:r>
          </w:p>
        </w:tc>
        <w:tc>
          <w:tcPr>
            <w:tcW w:type="dxa" w:w="32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Evidence Ledger (BigQuery). SIPE engine. NIN gate orchestration. Coordination Engine. Anonymized patterns only — NO raw client data.</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sentrais-strategy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INTERNAL — FOUNDER ONLY</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Tye Hayes · Knox Phillips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Competitive intelligence. Pricing models. ML weights. Playbook IP. CMEK 90-day rotation. VPC perimeter. Hardware MFA.</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sentrais-nfl-prod</w:t>
            </w:r>
          </w:p>
        </w:tc>
        <w:tc>
          <w:tcPr>
            <w:tcW w:type="dxa" w:w="16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 NFL</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NFL + NOVATELabs</w:t>
            </w:r>
          </w:p>
        </w:tc>
        <w:tc>
          <w:tcPr>
            <w:tcW w:type="dxa" w:w="32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EVERGAME ops data. eVenu certs. Innovation HUB engagements. NFL360 pillar data. Isolated Firestore + BigQuery.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sentrais-nba-prod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 NBA (pipeline)</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NBA + NOVATELabs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EVERGAME-NBA vertical. Completely separate from NFL project. No NFL data accessible under any condition.</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sentrais-livnation-prod</w:t>
            </w:r>
          </w:p>
        </w:tc>
        <w:tc>
          <w:tcPr>
            <w:tcW w:type="dxa" w:w="16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 LiveNation</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LiveNation · SpectraGrid</w:t>
            </w:r>
          </w:p>
        </w:tc>
        <w:tc>
          <w:tcPr>
            <w:tcW w:type="dxa" w:w="32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SpectraGrid ops data. Concert/festival coordination. Fan engagement signals. PCI-DSS awareness.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sentrais-ticketmaster-prod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 Ticketmaster</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Ticketmaster only</w:t>
            </w:r>
          </w:p>
        </w:tc>
        <w:tc>
          <w:tcPr>
            <w:tcW w:type="dxa" w:w="32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Ticketing data. Fan PII. PCI-DSS CDE boundary. Separate from LiveNation project.</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sentrais-civigrid-atl</w:t>
            </w:r>
          </w:p>
        </w:tc>
        <w:tc>
          <w:tcPr>
            <w:tcW w:type="dxa" w:w="16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 Atlanta</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City of Atlanta agencies</w:t>
            </w:r>
          </w:p>
        </w:tc>
        <w:tc>
          <w:tcPr>
            <w:tcW w:type="dxa" w:w="32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CiviGrid-ATL. Multi-agency. Public safety plans. CJIS-adjacent data handling.</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sentrais-civigrid-la</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 Los Angeles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City of LA agencies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CiviGrid-LA. 2028 Olympic pipeline. Separate from ATL. Isolated data plane.</w:t>
            </w:r>
          </w:p>
        </w:tc>
      </w:tr>
      <w:tr>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sentrais-seargrid-prod</w:t>
            </w:r>
          </w:p>
        </w:tc>
        <w:tc>
          <w:tcPr>
            <w:tcW w:type="dxa" w:w="16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NATIONAL SECURITY</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Federal/State Authorities</w:t>
            </w:r>
          </w:p>
        </w:tc>
        <w:tc>
          <w:tcPr>
            <w:tcW w:type="dxa" w:w="32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SEARGrid. Threat intelligence. SEAR protocols. FedRAMP boundary. Daryl Booker SecOps primary. Hardware MFA mandatory.</w:t>
            </w:r>
          </w:p>
        </w:tc>
      </w:tr>
    </w:tbl>
    <w:p>
      <w:pPr>
        <w:spacing w:before="0" w:after="36"/>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1F7" w:val="clear"/>
            <w:tcMar>
              <w:top w:type="dxa" w:w="120"/>
              <w:left w:type="dxa" w:w="220"/>
              <w:bottom w:type="dxa" w:w="120"/>
              <w:right w:type="dxa" w:w="220"/>
            </w:tcMar>
          </w:tcPr>
          <w:p>
            <w:pPr>
              <w:spacing w:before="0" w:after="50"/>
            </w:pPr>
            <w:r>
              <w:rPr>
                <w:rFonts w:ascii="Arial" w:cs="Arial" w:eastAsia="Arial" w:hAnsi="Arial"/>
                <w:b/>
                <w:bCs/>
                <w:color w:val="0F1A2E"/>
                <w:sz w:val="19"/>
                <w:szCs w:val="19"/>
              </w:rPr>
              <w:t xml:space="preserve">VPC SERVICE CONTROLS — THE HARD PERIMETER</w:t>
            </w:r>
          </w:p>
          <w:p>
            <w:pPr>
              <w:spacing w:before="0" w:after="0"/>
            </w:pPr>
            <w:r>
              <w:rPr>
                <w:rFonts w:ascii="Arial" w:cs="Arial" w:eastAsia="Arial" w:hAnsi="Arial"/>
                <w:i/>
                <w:iCs/>
                <w:color w:val="0F1A2E"/>
                <w:sz w:val="18"/>
                <w:szCs w:val="18"/>
              </w:rPr>
              <w:t xml:space="preserve">Each client GCP project is wrapped in a VPC Service Controls perimeter. This prevents data exfiltration even by privileged API calls. Google Cloud services (BigQuery, Cloud Storage, Pub/Sub, Spanner) cannot respond to requests that would move data across the perimeter boundary. This is not application-layer enforcement — it is infrastructure-layer enforcement that no application code can bypass.</w:t>
            </w:r>
          </w:p>
        </w:tc>
      </w:tr>
    </w:tbl>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2.2  Data Classification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2160"/>
        <w:gridCol w:w="1800"/>
      </w:tblGrid>
      <w:tr>
        <w:trPr>
          <w:tblHeader/>
        </w:trPr>
        <w:tc>
          <w:tcPr>
            <w:tcW w:type="dxa" w:w="144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LEVEL</w:t>
            </w:r>
          </w:p>
        </w:tc>
        <w:tc>
          <w:tcPr>
            <w:tcW w:type="dxa" w:w="18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CONTENT</w:t>
            </w:r>
          </w:p>
        </w:tc>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ENCRYPTION</w:t>
            </w:r>
          </w:p>
        </w:tc>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ACCESS MODEL</w:t>
            </w:r>
          </w:p>
        </w:tc>
        <w:tc>
          <w:tcPr>
            <w:tcW w:type="dxa" w:w="18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EXAMPLES</w:t>
            </w:r>
          </w:p>
        </w:tc>
      </w:tr>
      <w:tr>
        <w:tc>
          <w:tcPr>
            <w:tcW w:type="dxa" w:w="144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RESTRICTED</w:t>
            </w:r>
          </w:p>
        </w:tc>
        <w:tc>
          <w:tcPr>
            <w:tcW w:type="dxa" w:w="18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Strategy IP · ML weights · pricing · agent configs</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CMEK · 90-day rotation · Founder key custody</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Tye Hayes + Knox Phillips only. VPC perimeter. Hardware MFA.</w:t>
            </w:r>
          </w:p>
        </w:tc>
        <w:tc>
          <w:tcPr>
            <w:tcW w:type="dxa" w:w="18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Pricing algorithm · Playbook IP · SIPE core secrets</w:t>
            </w:r>
          </w:p>
        </w:tc>
      </w:tr>
      <w:tr>
        <w:tc>
          <w:tcPr>
            <w:tcW w:type="dxa" w:w="14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INTERNAL</w:t>
            </w:r>
          </w:p>
        </w:tc>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Operational data · SIPE patterns · culture intel · churn scores</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Google-managed CMEK + TLS 1.3</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NOVATELabs staff by role. Standard MFA. No client access.</w:t>
            </w:r>
          </w:p>
        </w:tc>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Culture intel · Churn detectors · Portfolio data</w:t>
            </w:r>
          </w:p>
        </w:tc>
      </w:tr>
      <w:tr>
        <w:tc>
          <w:tcPr>
            <w:tcW w:type="dxa" w:w="144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NIN dashboards · gate reports · evidence summaries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Google-managed. Tenant-isolated Firestore per project.</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portal only. JWT persona claims. Engagement-scoped. Never cross-tenant.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BO dashboard · SVP D-01 · Vendor harness scorecard</w:t>
            </w:r>
          </w:p>
        </w:tc>
      </w:tr>
      <w:tr>
        <w:tc>
          <w:tcPr>
            <w:tcW w:type="dxa" w:w="14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PUBLIC</w:t>
            </w:r>
          </w:p>
        </w:tc>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Marketing · one-pagers · brand assets</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TLS 1.3 transit. Platform defaults at rest.</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Unrestricted. CDN-served. No authentication.</w:t>
            </w:r>
          </w:p>
        </w:tc>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Sentrais.com · Product one-pagers</w:t>
            </w:r>
          </w:p>
        </w:tc>
      </w:tr>
      <w:tr>
        <w:tc>
          <w:tcPr>
            <w:tcW w:type="dxa" w:w="144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NATIONAL SECURITY (D5)</w:t>
            </w:r>
          </w:p>
        </w:tc>
        <w:tc>
          <w:tcPr>
            <w:tcW w:type="dxa" w:w="18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Threat intel · SEAR protocols · federal agency data</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CMEK · HSM-backed · 30-day rotation · FedRAMP controls</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Daryl Booker SecOps + authorized federal counterparts only. Physical access controls.</w:t>
            </w:r>
          </w:p>
        </w:tc>
        <w:tc>
          <w:tcPr>
            <w:tcW w:type="dxa" w:w="18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SEARGrid ops · Federal agency coordination</w:t>
            </w:r>
          </w:p>
        </w:tc>
      </w:tr>
    </w:tbl>
    <w:p>
      <w:pPr>
        <w:spacing w:before="0" w:after="36"/>
      </w:pPr>
      <w:r>
        <w:rPr>
          <w:sz w:val="18"/>
          <w:szCs w:val="18"/>
        </w:rPr>
        <w:t xml:space="preserve"/>
      </w:r>
    </w:p>
    <w:p>
      <w:r>
        <w:br w:type="page"/>
      </w:r>
    </w:p>
    <w:p>
      <w:pPr>
        <w:pStyle w:val="Heading1"/>
        <w:pBdr>
          <w:bottom w:val="single" w:color="00D4AA" w:sz="8" w:space="4"/>
        </w:pBdr>
        <w:spacing w:before="360" w:after="160"/>
      </w:pPr>
      <w:r>
        <w:rPr>
          <w:rFonts w:ascii="Arial" w:cs="Arial" w:eastAsia="Arial" w:hAnsi="Arial"/>
          <w:b/>
          <w:bCs/>
          <w:color w:val="0F1A2E"/>
          <w:sz w:val="34"/>
          <w:szCs w:val="34"/>
        </w:rPr>
        <w:t xml:space="preserve">03  CROSS-CLIENT INTELLIGENCE WITHOUT DATA COMMINGLING</w:t>
      </w:r>
    </w:p>
    <w:p>
      <w:pPr>
        <w:spacing w:before="50" w:after="50"/>
      </w:pPr>
      <w:r>
        <w:rPr>
          <w:rFonts w:ascii="Arial" w:cs="Arial" w:eastAsia="Arial" w:hAnsi="Arial"/>
          <w:color w:val="1A202C"/>
          <w:sz w:val="20"/>
          <w:szCs w:val="20"/>
        </w:rPr>
        <w:t xml:space="preserve">SIPE learns from NFL data, LiveNation data, and CiviGrid data simultaneously — without any of those clients' raw data ever touching each other. The mechanism is a three-layer anonymization and pattern extraction pipeline designed by Derek Johnson (CTO, NOVATELabs) and governed by Daryl Booker (SecOps).</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3.1  The Intelligence Pipeline — How SIPE Learns Safely</w:t>
      </w:r>
    </w:p>
    <w:p>
      <w:pPr>
        <w:pStyle w:val="ListParagraph"/>
        <w:numPr>
          <w:ilvl w:val="0"/>
          <w:numId w:val="2"/>
        </w:numPr>
        <w:spacing w:before="36" w:after="36"/>
      </w:pPr>
      <w:r>
        <w:rPr>
          <w:rFonts w:ascii="Arial" w:cs="Arial" w:eastAsia="Arial" w:hAnsi="Arial"/>
          <w:color w:val="1A202C"/>
          <w:sz w:val="20"/>
          <w:szCs w:val="20"/>
        </w:rPr>
        <w:t xml:space="preserve">Layer 1 — Raw Data (Client Project, never leaves)</w:t>
      </w:r>
    </w:p>
    <w:p>
      <w:pPr>
        <w:pStyle w:val="ListParagraph"/>
        <w:numPr>
          <w:ilvl w:val="1"/>
          <w:numId w:val="2"/>
        </w:numPr>
        <w:spacing w:before="28" w:after="28"/>
      </w:pPr>
      <w:r>
        <w:rPr>
          <w:rFonts w:ascii="Arial" w:cs="Arial" w:eastAsia="Arial" w:hAnsi="Arial"/>
          <w:color w:val="64748B"/>
          <w:sz w:val="19"/>
          <w:szCs w:val="19"/>
        </w:rPr>
        <w:t xml:space="preserve">NFL's raw operational data lives only in sentrais-nfl-prod. LiveNation's data lives only in sentrais-livnation-prod. VPC Service Controls perimeters enforce this at the infrastructure layer — no application code can route data around it.</w:t>
      </w:r>
    </w:p>
    <w:p>
      <w:pPr>
        <w:pStyle w:val="ListParagraph"/>
        <w:numPr>
          <w:ilvl w:val="0"/>
          <w:numId w:val="2"/>
        </w:numPr>
        <w:spacing w:before="36" w:after="36"/>
      </w:pPr>
      <w:r>
        <w:rPr>
          <w:rFonts w:ascii="Arial" w:cs="Arial" w:eastAsia="Arial" w:hAnsi="Arial"/>
          <w:color w:val="1A202C"/>
          <w:sz w:val="20"/>
          <w:szCs w:val="20"/>
        </w:rPr>
        <w:t xml:space="preserve">Layer 2 — Anonymized Patterns (One-way extraction pipeline)</w:t>
      </w:r>
    </w:p>
    <w:p>
      <w:pPr>
        <w:pStyle w:val="ListParagraph"/>
        <w:numPr>
          <w:ilvl w:val="1"/>
          <w:numId w:val="2"/>
        </w:numPr>
        <w:spacing w:before="28" w:after="28"/>
      </w:pPr>
      <w:r>
        <w:rPr>
          <w:rFonts w:ascii="Arial" w:cs="Arial" w:eastAsia="Arial" w:hAnsi="Arial"/>
          <w:color w:val="64748B"/>
          <w:sz w:val="19"/>
          <w:szCs w:val="19"/>
        </w:rPr>
        <w:t xml:space="preserve">A scheduled Cloud Function within each client project extracts performance patterns — gate velocity, churn risk indicators, phase completion rates, harness threshold behaviors — stripped of all client-identifiable content. SHA-256 hashed, tagged with vertical type (SPORTS, ENTERTAINMENT, MUNICIPAL, FEDERAL) only.</w:t>
      </w:r>
    </w:p>
    <w:p>
      <w:pPr>
        <w:pStyle w:val="ListParagraph"/>
        <w:numPr>
          <w:ilvl w:val="1"/>
          <w:numId w:val="2"/>
        </w:numPr>
        <w:spacing w:before="28" w:after="28"/>
      </w:pPr>
      <w:r>
        <w:rPr>
          <w:rFonts w:ascii="Arial" w:cs="Arial" w:eastAsia="Arial" w:hAnsi="Arial"/>
          <w:color w:val="64748B"/>
          <w:sz w:val="19"/>
          <w:szCs w:val="19"/>
        </w:rPr>
        <w:t xml:space="preserve">The function writes one-way to a dedicated pattern dataset in sentrais-core-os. It cannot read from sentrais-core-os. This is enforced architecturally: the function's service account has BigQuery insert-only permissions on the patterns dataset and no read permissions on any data in core-os.</w:t>
      </w:r>
    </w:p>
    <w:p>
      <w:pPr>
        <w:pStyle w:val="ListParagraph"/>
        <w:numPr>
          <w:ilvl w:val="0"/>
          <w:numId w:val="2"/>
        </w:numPr>
        <w:spacing w:before="36" w:after="36"/>
      </w:pPr>
      <w:r>
        <w:rPr>
          <w:rFonts w:ascii="Arial" w:cs="Arial" w:eastAsia="Arial" w:hAnsi="Arial"/>
          <w:color w:val="1A202C"/>
          <w:sz w:val="20"/>
          <w:szCs w:val="20"/>
        </w:rPr>
        <w:t xml:space="preserve">Layer 3 — Aggregate Intelligence (sentrais-core-os only)</w:t>
      </w:r>
    </w:p>
    <w:p>
      <w:pPr>
        <w:pStyle w:val="ListParagraph"/>
        <w:numPr>
          <w:ilvl w:val="1"/>
          <w:numId w:val="2"/>
        </w:numPr>
        <w:spacing w:before="28" w:after="28"/>
      </w:pPr>
      <w:r>
        <w:rPr>
          <w:rFonts w:ascii="Arial" w:cs="Arial" w:eastAsia="Arial" w:hAnsi="Arial"/>
          <w:color w:val="64748B"/>
          <w:sz w:val="19"/>
          <w:szCs w:val="19"/>
        </w:rPr>
        <w:t xml:space="preserve">SIPE consumes anonymized patterns. It sees: 'In SPORTS verticals, P2 churn risk at day 14 with &lt;15 gap matrix items correlates with 87% engagement delay.' Not: 'The NFL's Fan Experience engagement had 12 gap items on March 14.'</w:t>
      </w:r>
    </w:p>
    <w:p>
      <w:pPr>
        <w:spacing w:before="0" w:after="36"/>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20"/>
              <w:bottom w:type="dxa" w:w="120"/>
              <w:right w:type="dxa" w:w="220"/>
            </w:tcMar>
          </w:tcPr>
          <w:p>
            <w:pPr>
              <w:spacing w:before="0" w:after="50"/>
            </w:pPr>
            <w:r>
              <w:rPr>
                <w:rFonts w:ascii="Arial" w:cs="Arial" w:eastAsia="Arial" w:hAnsi="Arial"/>
                <w:b/>
                <w:bCs/>
                <w:color w:val="0F1A2E"/>
                <w:sz w:val="19"/>
                <w:szCs w:val="19"/>
              </w:rPr>
              <w:t xml:space="preserve">THE CRITICAL RULE: PATTERNS FLOW UP. RAW DATA NEVER MOVES.</w:t>
            </w:r>
          </w:p>
          <w:p>
            <w:pPr>
              <w:spacing w:before="0" w:after="0"/>
            </w:pPr>
            <w:r>
              <w:rPr>
                <w:rFonts w:ascii="Arial" w:cs="Arial" w:eastAsia="Arial" w:hAnsi="Arial"/>
                <w:i/>
                <w:iCs/>
                <w:color w:val="0F1A2E"/>
                <w:sz w:val="18"/>
                <w:szCs w:val="18"/>
              </w:rPr>
              <w:t xml:space="preserve">Enforced by three independent layers: VPC Service Controls (infrastructure), Cloud IAM insert-only service account policy (identity), and one-way write pipeline with no read capability (application). All three must fail simultaneously for cross-contamination to occur. Daryl Booker (SecOps) audits this pipeline quarterly.</w:t>
            </w:r>
          </w:p>
        </w:tc>
      </w:tr>
    </w:tbl>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3.2  What SIPE Learns vs. What It Never Learns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CATEGORY</w:t>
            </w:r>
          </w:p>
        </w:tc>
        <w:tc>
          <w:tcPr>
            <w:tcW w:type="dxa" w:w="348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WHAT SIPE LEARNS</w:t>
            </w:r>
          </w:p>
        </w:tc>
        <w:tc>
          <w:tcPr>
            <w:tcW w:type="dxa" w:w="348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WHAT SIPE NEVER LEARNS</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Churn Pattern Timing</w:t>
            </w:r>
          </w:p>
        </w:tc>
        <w:tc>
          <w:tcPr>
            <w:tcW w:type="dxa" w:w="348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P2 gate delays &gt;21 days correlate with 3.2x higher churn risk in SPORTS verticals. Intervention at day 14 shows 76% success rate.</w:t>
            </w:r>
          </w:p>
        </w:tc>
        <w:tc>
          <w:tcPr>
            <w:tcW w:type="dxa" w:w="348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Which sports client delayed. Their gap matrix content. Stakeholder identities.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Harness Threshold Calibration</w:t>
            </w:r>
          </w:p>
        </w:tc>
        <w:tc>
          <w:tcPr>
            <w:tcW w:type="dxa" w:w="348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Broadcast latency at 420ms (not 500ms) produces strongest G4 pass predictor in entertainment venues. Threshold refinement recommended.</w:t>
            </w:r>
          </w:p>
        </w:tc>
        <w:tc>
          <w:tcPr>
            <w:tcW w:type="dxa" w:w="348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Which entertainment client. Which venue. Which event. Vendor identity.</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Calendar Conflict Impact</w:t>
            </w:r>
          </w:p>
        </w:tc>
        <w:tc>
          <w:tcPr>
            <w:tcW w:type="dxa" w:w="348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Municipal verticals show 2.8x higher stakeholder availability drop during election cycles. Playbook calendar logic updated.</w:t>
            </w:r>
          </w:p>
        </w:tc>
        <w:tc>
          <w:tcPr>
            <w:tcW w:type="dxa" w:w="348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Which city. Which election. Which stakeholders were affected.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Revenue Trigger Timing</w:t>
            </w:r>
          </w:p>
        </w:tc>
        <w:tc>
          <w:tcPr>
            <w:tcW w:type="dxa" w:w="348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G2-to-invoice lag &gt;5 BD correlates with 23% higher payment delay. Automation SLA tightened to 2 BD.</w:t>
            </w:r>
          </w:p>
        </w:tc>
        <w:tc>
          <w:tcPr>
            <w:tcW w:type="dxa" w:w="348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payment history. Invoice amounts. Engagement commercial terms.</w:t>
            </w:r>
          </w:p>
        </w:tc>
      </w:tr>
    </w:tbl>
    <w:p>
      <w:pPr>
        <w:spacing w:before="0" w:after="36"/>
      </w:pPr>
      <w:r>
        <w:rPr>
          <w:sz w:val="18"/>
          <w:szCs w:val="18"/>
        </w:rPr>
        <w:t xml:space="preserve"/>
      </w:r>
    </w:p>
    <w:p>
      <w:r>
        <w:br w:type="page"/>
      </w:r>
    </w:p>
    <w:p>
      <w:pPr>
        <w:pStyle w:val="Heading1"/>
        <w:pBdr>
          <w:bottom w:val="single" w:color="00D4AA" w:sz="8" w:space="4"/>
        </w:pBdr>
        <w:spacing w:before="360" w:after="160"/>
      </w:pPr>
      <w:r>
        <w:rPr>
          <w:rFonts w:ascii="Arial" w:cs="Arial" w:eastAsia="Arial" w:hAnsi="Arial"/>
          <w:b/>
          <w:bCs/>
          <w:color w:val="0F1A2E"/>
          <w:sz w:val="34"/>
          <w:szCs w:val="34"/>
        </w:rPr>
        <w:t xml:space="preserve">04  ZERO-TRUST IDENTITY AND ACCESS ARCHITECTURE</w:t>
      </w:r>
    </w:p>
    <w:p>
      <w:pPr>
        <w:spacing w:before="50" w:after="50"/>
      </w:pPr>
      <w:r>
        <w:rPr>
          <w:rFonts w:ascii="Arial" w:cs="Arial" w:eastAsia="Arial" w:hAnsi="Arial"/>
          <w:color w:val="1A202C"/>
          <w:sz w:val="20"/>
          <w:szCs w:val="20"/>
        </w:rPr>
        <w:t xml:space="preserve">Zero-trust applies across all access surfaces. Identity is the perimeter. Every request is authenticated, authorized against JWT claims, and logged to the Evidence Ledger. Derek Johnson (CTO, NOVATELabs) owns the GCP IAM architecture. Daryl Booker (SecOps) owns the identity governance, MFA policy enforcement, and access review cadence.</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4.1  Identity Layers by Principal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rPr>
          <w:tblHeader/>
        </w:trPr>
        <w:tc>
          <w:tcPr>
            <w:tcW w:type="dxa" w:w="18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PRINCIPAL TYPE</w:t>
            </w:r>
          </w:p>
        </w:tc>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IDENTITY PROVIDER</w:t>
            </w:r>
          </w:p>
        </w:tc>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MFA REQUIREMENT</w:t>
            </w:r>
          </w:p>
        </w:tc>
        <w:tc>
          <w:tcPr>
            <w:tcW w:type="dxa" w:w="324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DATA ACCESS</w:t>
            </w:r>
          </w:p>
        </w:tc>
      </w:tr>
      <w:tr>
        <w:tc>
          <w:tcPr>
            <w:tcW w:type="dxa" w:w="18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Tye Hayes — CEO/Founder</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Google Cloud Identity</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Hardware YubiKey. No software MFA for RESTRICTED tier.</w:t>
            </w:r>
          </w:p>
        </w:tc>
        <w:tc>
          <w:tcPr>
            <w:tcW w:type="dxa" w:w="324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RESTRICTED + all projects. CMEK dual key custody with Daryl Booker.</w:t>
            </w:r>
          </w:p>
        </w:tc>
      </w:tr>
      <w:tr>
        <w:tc>
          <w:tcPr>
            <w:tcW w:type="dxa" w:w="18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Daryl Booker — SecOps</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Google Cloud Identity</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Hardware YubiKey for D5 + RESTRICTED adjacency. TOTP all else.</w:t>
            </w:r>
          </w:p>
        </w:tc>
        <w:tc>
          <w:tcPr>
            <w:tcW w:type="dxa" w:w="324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sentrais-seargrid-prod primary. All client project security postures. CMEK key ceremonies. FedRAMP program.</w:t>
            </w:r>
          </w:p>
        </w:tc>
      </w:tr>
      <w:tr>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Derek Johnson — CTO NOVATELabs</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 Cloud Identity</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Hardware YubiKey for infra projects. TOTP all else.</w:t>
            </w:r>
          </w:p>
        </w:tc>
        <w:tc>
          <w:tcPr>
            <w:tcW w:type="dxa" w:w="32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GCP architecture full access. All NOVATELabs build projects. No Strategy Engine (RESTRICTED) access.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Knox Phillips — CRO</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 Cloud Identity</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TOTP MFA mandatory.</w:t>
            </w:r>
          </w:p>
        </w:tc>
        <w:tc>
          <w:tcPr>
            <w:tcW w:type="dxa" w:w="324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sentrais-strategy (read). Commercial dashboards. No SEARGrid. No client project raw data.</w:t>
            </w:r>
          </w:p>
        </w:tc>
      </w:tr>
      <w:tr>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Tionna — System Admin</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 Cloud Identity</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TOTP MFA. Hardware key for provisioning actions.</w:t>
            </w:r>
          </w:p>
        </w:tc>
        <w:tc>
          <w:tcPr>
            <w:tcW w:type="dxa" w:w="32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User lifecycle mgmt. IAM provisioning. Explicit DENY: Strategy Engine, Pricing models, IP Registry write, Gate Override Logs.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NOVATELabs Engagement Leads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 Workspace SSO</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TOTP MFA. Hardware key for NFL/federal client projects.</w:t>
            </w:r>
          </w:p>
        </w:tc>
        <w:tc>
          <w:tcPr>
            <w:tcW w:type="dxa" w:w="324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Assigned client project only. No cross-tenant. No RESTRICTED. Scoped by Firestore rules and JWT claims.</w:t>
            </w:r>
          </w:p>
        </w:tc>
      </w:tr>
      <w:tr>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NFL/NBA Client Stakeholders</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Firebase Auth / Client IdP SSO</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TOTP MFA. SSO enforced via client Azure AD or Google Workspace.</w:t>
            </w:r>
          </w:p>
        </w:tc>
        <w:tc>
          <w:tcPr>
            <w:tcW w:type="dxa" w:w="32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sentrais-[client]-prod CLIENT tier only. JWT persona claims. D-05 (culture intel) blocked at API layer.</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LiveNation / Ticketmaster</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Firebase Auth / Client IdP</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TOTP MFA. SSO via client corporate IdP.</w:t>
            </w:r>
          </w:p>
        </w:tc>
        <w:tc>
          <w:tcPr>
            <w:tcW w:type="dxa" w:w="324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sentrais-livnation-prod or ticketmaster-prod only. Zero access to any other client project.</w:t>
            </w:r>
          </w:p>
        </w:tc>
      </w:tr>
      <w:tr>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City Agency Personnel (CiviGrid)</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Firebase Auth / City SSO</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TOTP MFA. City-issued identity where applicable.</w:t>
            </w:r>
          </w:p>
        </w:tc>
        <w:tc>
          <w:tcPr>
            <w:tcW w:type="dxa" w:w="32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sentrais-civigrid-[city] only. Cross-agency data scoped by CiviGrid authorization matrix.</w:t>
            </w:r>
          </w:p>
        </w:tc>
      </w:tr>
      <w:tr>
        <w:tc>
          <w:tcPr>
            <w:tcW w:type="dxa" w:w="18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Federal / State (SEARGrid)</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GCP Identity + Agency PIV</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Hardware PIV where applicable. Hardware YubiKey minimum. No software MFA.</w:t>
            </w:r>
          </w:p>
        </w:tc>
        <w:tc>
          <w:tcPr>
            <w:tcW w:type="dxa" w:w="324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sentrais-seargrid-prod only. Daryl Booker-mediated provisioning. CISO (fractional, Kirby Winters) advisory.</w:t>
            </w:r>
          </w:p>
        </w:tc>
      </w:tr>
      <w:tr>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Ryan Harrelson — Fractional CTO</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 Cloud Identity (fractional)</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TOTP MFA.</w:t>
            </w:r>
          </w:p>
        </w:tc>
        <w:tc>
          <w:tcPr>
            <w:tcW w:type="dxa" w:w="32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 commercial platform advisory only. No NOVATELabs project access. No client production data.</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Kirby Winters — Fractional CISO</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 Cloud Identity (fractional)</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TOTP MFA.</w:t>
            </w:r>
          </w:p>
        </w:tc>
        <w:tc>
          <w:tcPr>
            <w:tcW w:type="dxa" w:w="324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 commercial security advisory only. Consulted on SEARGrid compliance posture. No production project access.</w:t>
            </w:r>
          </w:p>
        </w:tc>
      </w:tr>
    </w:tbl>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4.2  JWT Persona Claim Schema</w:t>
      </w:r>
    </w:p>
    <w:p>
      <w:pPr>
        <w:spacing w:before="50" w:after="50"/>
      </w:pPr>
      <w:r>
        <w:rPr>
          <w:rFonts w:ascii="Arial" w:cs="Arial" w:eastAsia="Arial" w:hAnsi="Arial"/>
          <w:color w:val="1A202C"/>
          <w:sz w:val="20"/>
          <w:szCs w:val="20"/>
        </w:rPr>
        <w:t xml:space="preserve">Every authenticated session carries JWT claims encoding the full access context. The API middleware validates claims on every request before any data query executes. These claims are issued by Firebase Auth with Identity Platform and cannot be self-modified by clients.</w:t>
      </w:r>
    </w:p>
    <w:p>
      <w:pPr>
        <w:spacing w:before="0" w:after="36"/>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JWT CLAIM</w:t>
            </w:r>
          </w:p>
        </w:tc>
        <w:tc>
          <w:tcPr>
            <w:tcW w:type="dxa" w:w="36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VALUES</w:t>
            </w:r>
          </w:p>
        </w:tc>
        <w:tc>
          <w:tcPr>
            <w:tcW w:type="dxa" w:w="36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ENFORCEMENT</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tenant_id</w:t>
            </w:r>
          </w:p>
        </w:tc>
        <w:tc>
          <w:tcPr>
            <w:tcW w:type="dxa" w:w="36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nfl · nba · livnation · ticketmaster · civigrid-atl · civigrid-la · seargrid</w:t>
            </w:r>
          </w:p>
        </w:tc>
        <w:tc>
          <w:tcPr>
            <w:tcW w:type="dxa" w:w="36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All Firestore queries scoped. BigQuery row-level security enforces. Cross-tenant query returns 403.</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persona</w:t>
            </w:r>
          </w:p>
        </w:tc>
        <w:tc>
          <w:tcPr>
            <w:tcW w:type="dxa" w:w="3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cio · el · analyst · svp · bo · vendor</w:t>
            </w:r>
          </w:p>
        </w:tc>
        <w:tc>
          <w:tcPr>
            <w:tcW w:type="dxa" w:w="3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Controls which API endpoints respond. D-05 endpoint returns 403 for any persona ≠ cio or el.</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data_tier</w:t>
            </w:r>
          </w:p>
        </w:tc>
        <w:tc>
          <w:tcPr>
            <w:tcW w:type="dxa" w:w="36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restricted · internal · client · public</w:t>
            </w:r>
          </w:p>
        </w:tc>
        <w:tc>
          <w:tcPr>
            <w:tcW w:type="dxa" w:w="36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internal tier blocked for all client personas. restricted blocked for all except Founder and designated leads.</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project_scope</w:t>
            </w:r>
          </w:p>
        </w:tc>
        <w:tc>
          <w:tcPr>
            <w:tcW w:type="dxa" w:w="3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[engagement_id] or 'all'</w:t>
            </w:r>
          </w:p>
        </w:tc>
        <w:tc>
          <w:tcPr>
            <w:tcW w:type="dxa" w:w="3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Analyst tokens include specific engagement_id. EL gets project cluster. CIO gets 'all' within tenant.</w:t>
            </w:r>
          </w:p>
        </w:tc>
      </w:tr>
      <w:tr>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security_domain</w:t>
            </w:r>
          </w:p>
        </w:tc>
        <w:tc>
          <w:tcPr>
            <w:tcW w:type="dxa" w:w="36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D1 · D2 · D3 · D4 · D5</w:t>
            </w:r>
          </w:p>
        </w:tc>
        <w:tc>
          <w:tcPr>
            <w:tcW w:type="dxa" w:w="36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D5 tokens issued only through Daryl Booker SecOps provisioning. Cannot be issued via standard Firebase Auth flows.</w:t>
            </w:r>
          </w:p>
        </w:tc>
      </w:tr>
    </w:tbl>
    <w:p>
      <w:pPr>
        <w:spacing w:before="0" w:after="36"/>
      </w:pPr>
      <w:r>
        <w:rPr>
          <w:sz w:val="18"/>
          <w:szCs w:val="18"/>
        </w:rPr>
        <w:t xml:space="preserve"/>
      </w:r>
    </w:p>
    <w:p>
      <w:r>
        <w:br w:type="page"/>
      </w:r>
    </w:p>
    <w:p>
      <w:pPr>
        <w:pStyle w:val="Heading1"/>
        <w:pBdr>
          <w:bottom w:val="single" w:color="00D4AA" w:sz="8" w:space="4"/>
        </w:pBdr>
        <w:spacing w:before="360" w:after="160"/>
      </w:pPr>
      <w:r>
        <w:rPr>
          <w:rFonts w:ascii="Arial" w:cs="Arial" w:eastAsia="Arial" w:hAnsi="Arial"/>
          <w:b/>
          <w:bCs/>
          <w:color w:val="0F1A2E"/>
          <w:sz w:val="34"/>
          <w:szCs w:val="34"/>
        </w:rPr>
        <w:t xml:space="preserve">05  CLIENT-VERTICAL SECURITY PROFILES</w:t>
      </w:r>
    </w:p>
    <w:p>
      <w:pPr>
        <w:pStyle w:val="Heading2"/>
        <w:spacing w:before="240" w:after="100"/>
      </w:pPr>
      <w:r>
        <w:rPr>
          <w:rFonts w:ascii="Arial" w:cs="Arial" w:eastAsia="Arial" w:hAnsi="Arial"/>
          <w:b/>
          <w:bCs/>
          <w:color w:val="2E75B6"/>
          <w:sz w:val="24"/>
          <w:szCs w:val="24"/>
        </w:rPr>
        <w:t xml:space="preserve">5.1  NFL — EVERGAME + Innovation HUB (Domain D1+D2)</w:t>
      </w:r>
    </w:p>
    <w:p>
      <w:pPr>
        <w:spacing w:before="44" w:after="44"/>
      </w:pPr>
      <w:r>
        <w:rPr>
          <w:rFonts w:ascii="Arial" w:cs="Arial" w:eastAsia="Arial" w:hAnsi="Arial"/>
          <w:b/>
          <w:bCs/>
          <w:color w:val="2E75B6"/>
          <w:sz w:val="19"/>
          <w:szCs w:val="19"/>
        </w:rPr>
        <w:t xml:space="preserve">GCP Project:  </w:t>
      </w:r>
      <w:r>
        <w:rPr>
          <w:rFonts w:ascii="Arial" w:cs="Arial" w:eastAsia="Arial" w:hAnsi="Arial"/>
          <w:color w:val="1A202C"/>
          <w:sz w:val="19"/>
          <w:szCs w:val="19"/>
        </w:rPr>
        <w:t xml:space="preserve">sentrais-nfl-prod</w:t>
      </w:r>
    </w:p>
    <w:p>
      <w:pPr>
        <w:spacing w:before="44" w:after="44"/>
      </w:pPr>
      <w:r>
        <w:rPr>
          <w:rFonts w:ascii="Arial" w:cs="Arial" w:eastAsia="Arial" w:hAnsi="Arial"/>
          <w:b/>
          <w:bCs/>
          <w:color w:val="2E75B6"/>
          <w:sz w:val="19"/>
          <w:szCs w:val="19"/>
        </w:rPr>
        <w:t xml:space="preserve">Architecture Owner:  </w:t>
      </w:r>
      <w:r>
        <w:rPr>
          <w:rFonts w:ascii="Arial" w:cs="Arial" w:eastAsia="Arial" w:hAnsi="Arial"/>
          <w:color w:val="1A202C"/>
          <w:sz w:val="19"/>
          <w:szCs w:val="19"/>
        </w:rPr>
        <w:t xml:space="preserve">Derek Johnson (CTO, NOVATELabs) — GCP project design, VPC perimeter, IAM deny policies</w:t>
      </w:r>
    </w:p>
    <w:p>
      <w:pPr>
        <w:spacing w:before="44" w:after="44"/>
      </w:pPr>
      <w:r>
        <w:rPr>
          <w:rFonts w:ascii="Arial" w:cs="Arial" w:eastAsia="Arial" w:hAnsi="Arial"/>
          <w:b/>
          <w:bCs/>
          <w:color w:val="2E75B6"/>
          <w:sz w:val="19"/>
          <w:szCs w:val="19"/>
        </w:rPr>
        <w:t xml:space="preserve">Security Owner:  </w:t>
      </w:r>
      <w:r>
        <w:rPr>
          <w:rFonts w:ascii="Arial" w:cs="Arial" w:eastAsia="Arial" w:hAnsi="Arial"/>
          <w:color w:val="1A202C"/>
          <w:sz w:val="19"/>
          <w:szCs w:val="19"/>
        </w:rPr>
        <w:t xml:space="preserve">Daryl Booker (SecOps) — compliance posture, CMEK, incident response lead</w:t>
      </w:r>
    </w:p>
    <w:p>
      <w:pPr>
        <w:spacing w:before="44" w:after="44"/>
      </w:pPr>
      <w:r>
        <w:rPr>
          <w:rFonts w:ascii="Arial" w:cs="Arial" w:eastAsia="Arial" w:hAnsi="Arial"/>
          <w:b/>
          <w:bCs/>
          <w:color w:val="2E75B6"/>
          <w:sz w:val="19"/>
          <w:szCs w:val="19"/>
        </w:rPr>
        <w:t xml:space="preserve">Special Boundary:  </w:t>
      </w:r>
      <w:r>
        <w:rPr>
          <w:rFonts w:ascii="Arial" w:cs="Arial" w:eastAsia="Arial" w:hAnsi="Arial"/>
          <w:color w:val="1A202C"/>
          <w:sz w:val="19"/>
          <w:szCs w:val="19"/>
        </w:rPr>
        <w:t xml:space="preserve">Culture Intelligence (D-05 equivalent) — INTERNAL tier only. NFL JWT tokens cannot retrieve culture scores regardless of persona claim.</w:t>
      </w:r>
    </w:p>
    <w:p>
      <w:pPr>
        <w:spacing w:before="44" w:after="44"/>
      </w:pPr>
      <w:r>
        <w:rPr>
          <w:rFonts w:ascii="Arial" w:cs="Arial" w:eastAsia="Arial" w:hAnsi="Arial"/>
          <w:b/>
          <w:bCs/>
          <w:color w:val="2E75B6"/>
          <w:sz w:val="19"/>
          <w:szCs w:val="19"/>
        </w:rPr>
        <w:t xml:space="preserve">AI IP Protection:  </w:t>
      </w:r>
      <w:r>
        <w:rPr>
          <w:rFonts w:ascii="Arial" w:cs="Arial" w:eastAsia="Arial" w:hAnsi="Arial"/>
          <w:color w:val="1A202C"/>
          <w:sz w:val="19"/>
          <w:szCs w:val="19"/>
        </w:rPr>
        <w:t xml:space="preserve">Platform IP owned by Resilient Reach LLC. Innovation HUB joint development governed by bifurcated AI IP framework per MSA v2.</w:t>
      </w:r>
    </w:p>
    <w:p>
      <w:pPr>
        <w:spacing w:before="44" w:after="44"/>
      </w:pPr>
      <w:r>
        <w:rPr>
          <w:rFonts w:ascii="Arial" w:cs="Arial" w:eastAsia="Arial" w:hAnsi="Arial"/>
          <w:b/>
          <w:bCs/>
          <w:color w:val="2E75B6"/>
          <w:sz w:val="19"/>
          <w:szCs w:val="19"/>
        </w:rPr>
        <w:t xml:space="preserve">SIPE Learning:  </w:t>
      </w:r>
      <w:r>
        <w:rPr>
          <w:rFonts w:ascii="Arial" w:cs="Arial" w:eastAsia="Arial" w:hAnsi="Arial"/>
          <w:color w:val="1A202C"/>
          <w:sz w:val="19"/>
          <w:szCs w:val="19"/>
        </w:rPr>
        <w:t xml:space="preserve">SPORTS vertical patterns only. Pattern extraction function runs within nfl-prod and writes anonymized data one-way to core-os.</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5.2  NBA and Future League Clients (Domain D1 — separate project per league)</w:t>
      </w:r>
    </w:p>
    <w:p>
      <w:pPr>
        <w:spacing w:before="50" w:after="50"/>
      </w:pPr>
      <w:r>
        <w:rPr>
          <w:rFonts w:ascii="Arial" w:cs="Arial" w:eastAsia="Arial" w:hAnsi="Arial"/>
          <w:color w:val="1A202C"/>
          <w:sz w:val="20"/>
          <w:szCs w:val="20"/>
        </w:rPr>
        <w:t xml:space="preserve">Each professional sports league receives its own isolated GCP project (sentrais-nba-prod, future: sentrais-mls-prod, etc.). League rivalry data, competitive strategy, revenue terms — all league-exclusive. A NOVATELabs EL assigned to the NFL engagement cannot be assigned to an NBA engagement without explicit re-provisioning by Tionna (System Admin), reviewed by Daryl Booker (SecOps), and logged to the Evidence Ledger.</w:t>
      </w:r>
    </w:p>
    <w:p>
      <w:pPr>
        <w:pStyle w:val="ListParagraph"/>
        <w:numPr>
          <w:ilvl w:val="0"/>
          <w:numId w:val="2"/>
        </w:numPr>
        <w:spacing w:before="36" w:after="36"/>
      </w:pPr>
      <w:r>
        <w:rPr>
          <w:rFonts w:ascii="Arial" w:cs="Arial" w:eastAsia="Arial" w:hAnsi="Arial"/>
          <w:color w:val="1A202C"/>
          <w:sz w:val="20"/>
          <w:szCs w:val="20"/>
        </w:rPr>
        <w:t xml:space="preserve">NFL vs. NBA data: zero shared infrastructure, zero shared keys, zero shared Firestore collections.</w:t>
      </w:r>
    </w:p>
    <w:p>
      <w:pPr>
        <w:pStyle w:val="ListParagraph"/>
        <w:numPr>
          <w:ilvl w:val="0"/>
          <w:numId w:val="2"/>
        </w:numPr>
        <w:spacing w:before="36" w:after="36"/>
      </w:pPr>
      <w:r>
        <w:rPr>
          <w:rFonts w:ascii="Arial" w:cs="Arial" w:eastAsia="Arial" w:hAnsi="Arial"/>
          <w:color w:val="1A202C"/>
          <w:sz w:val="20"/>
          <w:szCs w:val="20"/>
        </w:rPr>
        <w:t xml:space="preserve">Draft timing, salary cap data, trade deadline information: domain D1 restricted within each league's project. No cross-league exposure.</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5.3  LiveNation + SpectraGrid (Domain D4)</w:t>
      </w:r>
    </w:p>
    <w:p>
      <w:pPr>
        <w:spacing w:before="44" w:after="44"/>
      </w:pPr>
      <w:r>
        <w:rPr>
          <w:rFonts w:ascii="Arial" w:cs="Arial" w:eastAsia="Arial" w:hAnsi="Arial"/>
          <w:b/>
          <w:bCs/>
          <w:color w:val="F57C00"/>
          <w:sz w:val="19"/>
          <w:szCs w:val="19"/>
        </w:rPr>
        <w:t xml:space="preserve">GCP Project:  </w:t>
      </w:r>
      <w:r>
        <w:rPr>
          <w:rFonts w:ascii="Arial" w:cs="Arial" w:eastAsia="Arial" w:hAnsi="Arial"/>
          <w:color w:val="1A202C"/>
          <w:sz w:val="19"/>
          <w:szCs w:val="19"/>
        </w:rPr>
        <w:t xml:space="preserve">sentrais-livnation-prod</w:t>
      </w:r>
    </w:p>
    <w:p>
      <w:pPr>
        <w:spacing w:before="44" w:after="44"/>
      </w:pPr>
      <w:r>
        <w:rPr>
          <w:rFonts w:ascii="Arial" w:cs="Arial" w:eastAsia="Arial" w:hAnsi="Arial"/>
          <w:b/>
          <w:bCs/>
          <w:color w:val="F57C00"/>
          <w:sz w:val="19"/>
          <w:szCs w:val="19"/>
        </w:rPr>
        <w:t xml:space="preserve">PCI-DSS Awareness:  </w:t>
      </w:r>
      <w:r>
        <w:rPr>
          <w:rFonts w:ascii="Arial" w:cs="Arial" w:eastAsia="Arial" w:hAnsi="Arial"/>
          <w:color w:val="1A202C"/>
          <w:sz w:val="19"/>
          <w:szCs w:val="19"/>
        </w:rPr>
        <w:t xml:space="preserve">Ticketmaster is a separate GCP project (sentrais-ticketmaster-prod). PCI CDE governed independently.</w:t>
      </w:r>
    </w:p>
    <w:p>
      <w:pPr>
        <w:spacing w:before="44" w:after="44"/>
      </w:pPr>
      <w:r>
        <w:rPr>
          <w:rFonts w:ascii="Arial" w:cs="Arial" w:eastAsia="Arial" w:hAnsi="Arial"/>
          <w:b/>
          <w:bCs/>
          <w:color w:val="F57C00"/>
          <w:sz w:val="19"/>
          <w:szCs w:val="19"/>
        </w:rPr>
        <w:t xml:space="preserve">Fan PII Handling:  </w:t>
      </w:r>
      <w:r>
        <w:rPr>
          <w:rFonts w:ascii="Arial" w:cs="Arial" w:eastAsia="Arial" w:hAnsi="Arial"/>
          <w:color w:val="1A202C"/>
          <w:sz w:val="19"/>
          <w:szCs w:val="19"/>
        </w:rPr>
        <w:t xml:space="preserve">Fan behavioral data processed within LiveNation project only. No fan PII flows to sentrais-core-os under any pathway.</w:t>
      </w:r>
    </w:p>
    <w:p>
      <w:pPr>
        <w:spacing w:before="44" w:after="44"/>
      </w:pPr>
      <w:r>
        <w:rPr>
          <w:rFonts w:ascii="Arial" w:cs="Arial" w:eastAsia="Arial" w:hAnsi="Arial"/>
          <w:b/>
          <w:bCs/>
          <w:color w:val="F57C00"/>
          <w:sz w:val="19"/>
          <w:szCs w:val="19"/>
        </w:rPr>
        <w:t xml:space="preserve">Revenue Data:  </w:t>
      </w:r>
      <w:r>
        <w:rPr>
          <w:rFonts w:ascii="Arial" w:cs="Arial" w:eastAsia="Arial" w:hAnsi="Arial"/>
          <w:color w:val="1A202C"/>
          <w:sz w:val="19"/>
          <w:szCs w:val="19"/>
        </w:rPr>
        <w:t xml:space="preserve">Touring revenue terms, artist fee structures, venue deals — RESTRICTED within LiveNation project. Not available to Sentrais ELs without explicit client authorization.</w:t>
      </w:r>
    </w:p>
    <w:p>
      <w:pPr>
        <w:spacing w:before="44" w:after="44"/>
      </w:pPr>
      <w:r>
        <w:rPr>
          <w:rFonts w:ascii="Arial" w:cs="Arial" w:eastAsia="Arial" w:hAnsi="Arial"/>
          <w:b/>
          <w:bCs/>
          <w:color w:val="F57C00"/>
          <w:sz w:val="19"/>
          <w:szCs w:val="19"/>
        </w:rPr>
        <w:t xml:space="preserve">SIPE Learning:  </w:t>
      </w:r>
      <w:r>
        <w:rPr>
          <w:rFonts w:ascii="Arial" w:cs="Arial" w:eastAsia="Arial" w:hAnsi="Arial"/>
          <w:color w:val="1A202C"/>
          <w:sz w:val="19"/>
          <w:szCs w:val="19"/>
        </w:rPr>
        <w:t xml:space="preserve">ENTERTAINMENT domain patterns only. Zero sports data informs entertainment playbooks.</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5.4  Ticketmaster (Domain D4 — separate from LiveNation)</w:t>
      </w:r>
    </w:p>
    <w:p>
      <w:pPr>
        <w:spacing w:before="50" w:after="50"/>
      </w:pPr>
      <w:r>
        <w:rPr>
          <w:rFonts w:ascii="Arial" w:cs="Arial" w:eastAsia="Arial" w:hAnsi="Arial"/>
          <w:color w:val="1A202C"/>
          <w:sz w:val="20"/>
          <w:szCs w:val="20"/>
        </w:rPr>
        <w:t xml:space="preserve">Despite operating in the same entertainment ecosystem as LiveNation, Ticketmaster is a completely separate GCP project with its own VPC perimeter. The two projects cannot exchange data even within Sentrais infrastructure. Ticketmaster's pricing algorithms and inventory data represent separate IP. Dynamic pricing signals do not flow to SIPE even anonymized — pricing IP sensitivity outweighs learning benefit.</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5.5  CiviGrid — Atlanta and Los Angeles (Domain D3)</w:t>
      </w:r>
    </w:p>
    <w:p>
      <w:pPr>
        <w:spacing w:before="44" w:after="44"/>
      </w:pPr>
      <w:r>
        <w:rPr>
          <w:rFonts w:ascii="Arial" w:cs="Arial" w:eastAsia="Arial" w:hAnsi="Arial"/>
          <w:b/>
          <w:bCs/>
          <w:color w:val="148F77"/>
          <w:sz w:val="19"/>
          <w:szCs w:val="19"/>
        </w:rPr>
        <w:t xml:space="preserve">GCP Projects:  </w:t>
      </w:r>
      <w:r>
        <w:rPr>
          <w:rFonts w:ascii="Arial" w:cs="Arial" w:eastAsia="Arial" w:hAnsi="Arial"/>
          <w:color w:val="1A202C"/>
          <w:sz w:val="19"/>
          <w:szCs w:val="19"/>
        </w:rPr>
        <w:t xml:space="preserve">sentrais-civigrid-atl · sentrais-civigrid-la — two isolated projects, no shared plane</w:t>
      </w:r>
    </w:p>
    <w:p>
      <w:pPr>
        <w:spacing w:before="44" w:after="44"/>
      </w:pPr>
      <w:r>
        <w:rPr>
          <w:rFonts w:ascii="Arial" w:cs="Arial" w:eastAsia="Arial" w:hAnsi="Arial"/>
          <w:b/>
          <w:bCs/>
          <w:color w:val="148F77"/>
          <w:sz w:val="19"/>
          <w:szCs w:val="19"/>
        </w:rPr>
        <w:t xml:space="preserve">Data Sovereignty:  </w:t>
      </w:r>
      <w:r>
        <w:rPr>
          <w:rFonts w:ascii="Arial" w:cs="Arial" w:eastAsia="Arial" w:hAnsi="Arial"/>
          <w:color w:val="1A202C"/>
          <w:sz w:val="19"/>
          <w:szCs w:val="19"/>
        </w:rPr>
        <w:t xml:space="preserve">Sentrais is a data processor, not a controller, of city data. City agencies retain sovereign ownership. Mandatory data return at event closeout + audit retention period.</w:t>
      </w:r>
    </w:p>
    <w:p>
      <w:pPr>
        <w:spacing w:before="44" w:after="44"/>
      </w:pPr>
      <w:r>
        <w:rPr>
          <w:rFonts w:ascii="Arial" w:cs="Arial" w:eastAsia="Arial" w:hAnsi="Arial"/>
          <w:b/>
          <w:bCs/>
          <w:color w:val="148F77"/>
          <w:sz w:val="19"/>
          <w:szCs w:val="19"/>
        </w:rPr>
        <w:t xml:space="preserve">Cross-City Isolation:  </w:t>
      </w:r>
      <w:r>
        <w:rPr>
          <w:rFonts w:ascii="Arial" w:cs="Arial" w:eastAsia="Arial" w:hAnsi="Arial"/>
          <w:color w:val="1A202C"/>
          <w:sz w:val="19"/>
          <w:szCs w:val="19"/>
        </w:rPr>
        <w:t xml:space="preserve">Atlanta's emergency plans cannot be accessed by LA's system administrators. Two cities, two projects, two VPC perimeters.</w:t>
      </w:r>
    </w:p>
    <w:p>
      <w:pPr>
        <w:spacing w:before="44" w:after="44"/>
      </w:pPr>
      <w:r>
        <w:rPr>
          <w:rFonts w:ascii="Arial" w:cs="Arial" w:eastAsia="Arial" w:hAnsi="Arial"/>
          <w:b/>
          <w:bCs/>
          <w:color w:val="148F77"/>
          <w:sz w:val="19"/>
          <w:szCs w:val="19"/>
        </w:rPr>
        <w:t xml:space="preserve">Super-Cycle Context:  </w:t>
      </w:r>
      <w:r>
        <w:rPr>
          <w:rFonts w:ascii="Arial" w:cs="Arial" w:eastAsia="Arial" w:hAnsi="Arial"/>
          <w:color w:val="1A202C"/>
          <w:sz w:val="19"/>
          <w:szCs w:val="19"/>
        </w:rPr>
        <w:t xml:space="preserve">Super-Cycle research patterns (anonymized) flow to SIPE. City-specific emergency coordination data does not.</w:t>
      </w:r>
    </w:p>
    <w:p>
      <w:pPr>
        <w:spacing w:before="44" w:after="44"/>
      </w:pPr>
      <w:r>
        <w:rPr>
          <w:rFonts w:ascii="Arial" w:cs="Arial" w:eastAsia="Arial" w:hAnsi="Arial"/>
          <w:b/>
          <w:bCs/>
          <w:color w:val="148F77"/>
          <w:sz w:val="19"/>
          <w:szCs w:val="19"/>
        </w:rPr>
        <w:t xml:space="preserve">SIPE Learning:  </w:t>
      </w:r>
      <w:r>
        <w:rPr>
          <w:rFonts w:ascii="Arial" w:cs="Arial" w:eastAsia="Arial" w:hAnsi="Arial"/>
          <w:color w:val="1A202C"/>
          <w:sz w:val="19"/>
          <w:szCs w:val="19"/>
        </w:rPr>
        <w:t xml:space="preserve">MUNICIPAL domain patterns only. Response time models, multi-agency coordination velocity, escalation ladder effectiveness.</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5.6  SEARGrid — Federal and State Authority Deployments (Domain 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20"/>
              <w:bottom w:type="dxa" w:w="120"/>
              <w:right w:type="dxa" w:w="220"/>
            </w:tcMar>
          </w:tcPr>
          <w:p>
            <w:pPr>
              <w:spacing w:before="0" w:after="50"/>
            </w:pPr>
            <w:r>
              <w:rPr>
                <w:rFonts w:ascii="Arial" w:cs="Arial" w:eastAsia="Arial" w:hAnsi="Arial"/>
                <w:b/>
                <w:bCs/>
                <w:color w:val="791F1F"/>
                <w:sz w:val="19"/>
                <w:szCs w:val="19"/>
              </w:rPr>
              <w:t xml:space="preserve">HIGHEST SECURITY TIER — DARYL BOOKER SecOps OWNS THIS PROJECT</w:t>
            </w:r>
          </w:p>
          <w:p>
            <w:pPr>
              <w:spacing w:before="0" w:after="0"/>
            </w:pPr>
            <w:r>
              <w:rPr>
                <w:rFonts w:ascii="Arial" w:cs="Arial" w:eastAsia="Arial" w:hAnsi="Arial"/>
                <w:i/>
                <w:iCs/>
                <w:color w:val="791F1F"/>
                <w:sz w:val="18"/>
                <w:szCs w:val="18"/>
              </w:rPr>
              <w:t xml:space="preserve">SEARGrid operates under a separate GCP project (sentrais-seargrid-prod) with controls exceeding all other Sentrais deployments. Daryl Booker (SecOps) is the primary authority for all security operations, compliance, and access provisioning in this project. Kirby Winters (fractional CISO, Sentrais) provides advisory support on compliance posture but does not hold operational access.</w:t>
            </w:r>
          </w:p>
        </w:tc>
      </w:tr>
    </w:tbl>
    <w:p>
      <w:pPr>
        <w:spacing w:before="0" w:after="36"/>
      </w:pPr>
      <w:r>
        <w:rPr>
          <w:sz w:val="18"/>
          <w:szCs w:val="18"/>
        </w:rPr>
        <w:t xml:space="preserve"/>
      </w:r>
    </w:p>
    <w:p>
      <w:pPr>
        <w:spacing w:before="44" w:after="44"/>
      </w:pPr>
      <w:r>
        <w:rPr>
          <w:rFonts w:ascii="Arial" w:cs="Arial" w:eastAsia="Arial" w:hAnsi="Arial"/>
          <w:b/>
          <w:bCs/>
          <w:color w:val="E53935"/>
          <w:sz w:val="19"/>
          <w:szCs w:val="19"/>
        </w:rPr>
        <w:t xml:space="preserve">SecOps Primary:  </w:t>
      </w:r>
      <w:r>
        <w:rPr>
          <w:rFonts w:ascii="Arial" w:cs="Arial" w:eastAsia="Arial" w:hAnsi="Arial"/>
          <w:color w:val="1A202C"/>
          <w:sz w:val="19"/>
          <w:szCs w:val="19"/>
        </w:rPr>
        <w:t xml:space="preserve">Daryl Booker. Security operations lead. Hardware PIV/YubiKey mandatory. Physical access policy enforced.</w:t>
      </w:r>
    </w:p>
    <w:p>
      <w:pPr>
        <w:spacing w:before="44" w:after="44"/>
      </w:pPr>
      <w:r>
        <w:rPr>
          <w:rFonts w:ascii="Arial" w:cs="Arial" w:eastAsia="Arial" w:hAnsi="Arial"/>
          <w:b/>
          <w:bCs/>
          <w:color w:val="E53935"/>
          <w:sz w:val="19"/>
          <w:szCs w:val="19"/>
        </w:rPr>
        <w:t xml:space="preserve">CTO Support:  </w:t>
      </w:r>
      <w:r>
        <w:rPr>
          <w:rFonts w:ascii="Arial" w:cs="Arial" w:eastAsia="Arial" w:hAnsi="Arial"/>
          <w:color w:val="1A202C"/>
          <w:sz w:val="19"/>
          <w:szCs w:val="19"/>
        </w:rPr>
        <w:t xml:space="preserve">Derek Johnson (CTO, NOVATELabs). Infrastructure architecture for SEARGrid project. VPC perimeter design. GCP hardening.</w:t>
      </w:r>
    </w:p>
    <w:p>
      <w:pPr>
        <w:spacing w:before="44" w:after="44"/>
      </w:pPr>
      <w:r>
        <w:rPr>
          <w:rFonts w:ascii="Arial" w:cs="Arial" w:eastAsia="Arial" w:hAnsi="Arial"/>
          <w:b/>
          <w:bCs/>
          <w:color w:val="E53935"/>
          <w:sz w:val="19"/>
          <w:szCs w:val="19"/>
        </w:rPr>
        <w:t xml:space="preserve">Fractional Advisory:  </w:t>
      </w:r>
      <w:r>
        <w:rPr>
          <w:rFonts w:ascii="Arial" w:cs="Arial" w:eastAsia="Arial" w:hAnsi="Arial"/>
          <w:color w:val="1A202C"/>
          <w:sz w:val="19"/>
          <w:szCs w:val="19"/>
        </w:rPr>
        <w:t xml:space="preserve">Kirby Winters (fractional CISO). Consulted on compliance posture, FedRAMP documentation, and certification strategy. No production access.</w:t>
      </w:r>
    </w:p>
    <w:p>
      <w:pPr>
        <w:spacing w:before="44" w:after="44"/>
      </w:pPr>
      <w:r>
        <w:rPr>
          <w:rFonts w:ascii="Arial" w:cs="Arial" w:eastAsia="Arial" w:hAnsi="Arial"/>
          <w:b/>
          <w:bCs/>
          <w:color w:val="E53935"/>
          <w:sz w:val="19"/>
          <w:szCs w:val="19"/>
        </w:rPr>
        <w:t xml:space="preserve">FedRAMP Status:  </w:t>
      </w:r>
      <w:r>
        <w:rPr>
          <w:rFonts w:ascii="Arial" w:cs="Arial" w:eastAsia="Arial" w:hAnsi="Arial"/>
          <w:color w:val="1A202C"/>
          <w:sz w:val="19"/>
          <w:szCs w:val="19"/>
        </w:rPr>
        <w:t xml:space="preserve">FedRAMP preparation in progress. Target: FedRAMP Moderate. NIST 800-53 Rev 5 control baseline mapped. Security assessment scheduled. Daryl Booker leads the program.</w:t>
      </w:r>
    </w:p>
    <w:p>
      <w:pPr>
        <w:spacing w:before="44" w:after="44"/>
      </w:pPr>
      <w:r>
        <w:rPr>
          <w:rFonts w:ascii="Arial" w:cs="Arial" w:eastAsia="Arial" w:hAnsi="Arial"/>
          <w:b/>
          <w:bCs/>
          <w:color w:val="E53935"/>
          <w:sz w:val="19"/>
          <w:szCs w:val="19"/>
        </w:rPr>
        <w:t xml:space="preserve">CMEK Configuration:  </w:t>
      </w:r>
      <w:r>
        <w:rPr>
          <w:rFonts w:ascii="Arial" w:cs="Arial" w:eastAsia="Arial" w:hAnsi="Arial"/>
          <w:color w:val="1A202C"/>
          <w:sz w:val="19"/>
          <w:szCs w:val="19"/>
        </w:rPr>
        <w:t xml:space="preserve">Separate key hierarchy from all other Sentrais projects. HSM-backed keys. 30-day rotation. Key custodians: Daryl Booker (SecOps) + Tye Hayes (CEO). Kirby Winters consulted on ceremony process.</w:t>
      </w:r>
    </w:p>
    <w:p>
      <w:pPr>
        <w:spacing w:before="44" w:after="44"/>
      </w:pPr>
      <w:r>
        <w:rPr>
          <w:rFonts w:ascii="Arial" w:cs="Arial" w:eastAsia="Arial" w:hAnsi="Arial"/>
          <w:b/>
          <w:bCs/>
          <w:color w:val="E53935"/>
          <w:sz w:val="19"/>
          <w:szCs w:val="19"/>
        </w:rPr>
        <w:t xml:space="preserve">SEAR Event Data:  </w:t>
      </w:r>
      <w:r>
        <w:rPr>
          <w:rFonts w:ascii="Arial" w:cs="Arial" w:eastAsia="Arial" w:hAnsi="Arial"/>
          <w:color w:val="1A202C"/>
          <w:sz w:val="19"/>
          <w:szCs w:val="19"/>
        </w:rPr>
        <w:t xml:space="preserve">Threat intelligence, agency coordination, command decisions: zero SIPE contribution. SEARGrid is the only Sentrais deployment with no SIPE pattern feed. Security sensitivity outweighs learning benefit.</w:t>
      </w:r>
    </w:p>
    <w:p>
      <w:pPr>
        <w:spacing w:before="44" w:after="44"/>
      </w:pPr>
      <w:r>
        <w:rPr>
          <w:rFonts w:ascii="Arial" w:cs="Arial" w:eastAsia="Arial" w:hAnsi="Arial"/>
          <w:b/>
          <w:bCs/>
          <w:color w:val="E53935"/>
          <w:sz w:val="19"/>
          <w:szCs w:val="19"/>
        </w:rPr>
        <w:t xml:space="preserve">Event Separation:  </w:t>
      </w:r>
      <w:r>
        <w:rPr>
          <w:rFonts w:ascii="Arial" w:cs="Arial" w:eastAsia="Arial" w:hAnsi="Arial"/>
          <w:color w:val="1A202C"/>
          <w:sz w:val="19"/>
          <w:szCs w:val="19"/>
        </w:rPr>
        <w:t xml:space="preserve">A SEARGrid deployment for the Super Bowl uses completely separate infrastructure from the EVERGAME NFL deployment. Same physical event — two isolated projects — zero shared data plane.</w:t>
      </w:r>
    </w:p>
    <w:p>
      <w:pPr>
        <w:spacing w:before="0" w:after="36"/>
      </w:pPr>
      <w:r>
        <w:rPr>
          <w:sz w:val="18"/>
          <w:szCs w:val="18"/>
        </w:rPr>
        <w:t xml:space="preserve"/>
      </w:r>
    </w:p>
    <w:p>
      <w:r>
        <w:br w:type="page"/>
      </w:r>
    </w:p>
    <w:p>
      <w:pPr>
        <w:pStyle w:val="Heading1"/>
        <w:pBdr>
          <w:bottom w:val="single" w:color="00D4AA" w:sz="8" w:space="4"/>
        </w:pBdr>
        <w:spacing w:before="360" w:after="160"/>
      </w:pPr>
      <w:r>
        <w:rPr>
          <w:rFonts w:ascii="Arial" w:cs="Arial" w:eastAsia="Arial" w:hAnsi="Arial"/>
          <w:b/>
          <w:bCs/>
          <w:color w:val="0F1A2E"/>
          <w:sz w:val="34"/>
          <w:szCs w:val="34"/>
        </w:rPr>
        <w:t xml:space="preserve">06  INFRASTRUCTURE SECURITY — GCP IMPLEMENTATION</w:t>
      </w:r>
    </w:p>
    <w:p>
      <w:pPr>
        <w:pStyle w:val="Heading2"/>
        <w:spacing w:before="240" w:after="100"/>
      </w:pPr>
      <w:r>
        <w:rPr>
          <w:rFonts w:ascii="Arial" w:cs="Arial" w:eastAsia="Arial" w:hAnsi="Arial"/>
          <w:b/>
          <w:bCs/>
          <w:color w:val="2E75B6"/>
          <w:sz w:val="24"/>
          <w:szCs w:val="24"/>
        </w:rPr>
        <w:t xml:space="preserve">6.1  Encryption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SCOPE</w:t>
            </w:r>
          </w:p>
        </w:tc>
        <w:tc>
          <w:tcPr>
            <w:tcW w:type="dxa" w:w="24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AT-REST ENCRYPTION</w:t>
            </w:r>
          </w:p>
        </w:tc>
        <w:tc>
          <w:tcPr>
            <w:tcW w:type="dxa" w:w="24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IN-TRANSIT</w:t>
            </w:r>
          </w:p>
        </w:tc>
        <w:tc>
          <w:tcPr>
            <w:tcW w:type="dxa" w:w="24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KEY MANAGEMENT</w:t>
            </w:r>
          </w:p>
        </w:tc>
      </w:tr>
      <w:tr>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RESTRICTED tier (Strategy Engine)</w:t>
            </w:r>
          </w:p>
        </w:tc>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CMEK · AES-256 · 90-day rotation · Cloud KMS</w:t>
            </w:r>
          </w:p>
        </w:tc>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TLS 1.3 minimum</w:t>
            </w:r>
          </w:p>
        </w:tc>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Tye Hayes + Daryl Booker dual custody. No automated rotation.</w:t>
            </w:r>
          </w:p>
        </w:tc>
      </w:tr>
      <w:tr>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SEARGrid (D5)</w:t>
            </w:r>
          </w:p>
        </w:tc>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CMEK · AES-256 · 30-day rotation · HSM-backed KMS</w:t>
            </w:r>
          </w:p>
        </w:tc>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TLS 1.3 · FIPS 140-2 validated</w:t>
            </w:r>
          </w:p>
        </w:tc>
        <w:tc>
          <w:tcPr>
            <w:tcW w:type="dxa" w:w="240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Daryl Booker (SecOps) + authorized federal counterpart. Physical key ceremony.</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INTERNAL tier (Core OS, SIPE)</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Google-managed AES-256 + project-level CMEK</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TLS 1.3</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Derek Johnson (CTO) + Daryl Booker (SecOps). Automated 90-day rotation.</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CLIENT tier (each tenant project)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Google-managed AES-256. Tenant-isolated encryption scope.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TLS 1.3</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Google-managed. Client project-level scope. Daryl Booker reviews quarterly.</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PCI-DSS CDE (Ticketmaster)</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PCI-DSS P2PE where cardholder data touches. CMEK on all storage.</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TLS 1.3 + payment tokenization</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Daryl Booker oversight. PCI QSA-validated annually.</w:t>
            </w:r>
          </w:p>
        </w:tc>
      </w:tr>
    </w:tbl>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6.2  Network Security Model</w:t>
      </w:r>
    </w:p>
    <w:p>
      <w:pPr>
        <w:pStyle w:val="ListParagraph"/>
        <w:numPr>
          <w:ilvl w:val="0"/>
          <w:numId w:val="2"/>
        </w:numPr>
        <w:spacing w:before="36" w:after="36"/>
      </w:pPr>
      <w:r>
        <w:rPr>
          <w:rFonts w:ascii="Arial" w:cs="Arial" w:eastAsia="Arial" w:hAnsi="Arial"/>
          <w:color w:val="1A202C"/>
          <w:sz w:val="20"/>
          <w:szCs w:val="20"/>
        </w:rPr>
        <w:t xml:space="preserve">No public IPs on any Sentrais service — all services accessed via Cloud Load Balancing with Cloud Armor WAF. Derek Johnson owns the GCP network topology design.</w:t>
      </w:r>
    </w:p>
    <w:p>
      <w:pPr>
        <w:pStyle w:val="ListParagraph"/>
        <w:numPr>
          <w:ilvl w:val="0"/>
          <w:numId w:val="2"/>
        </w:numPr>
        <w:spacing w:before="36" w:after="36"/>
      </w:pPr>
      <w:r>
        <w:rPr>
          <w:rFonts w:ascii="Arial" w:cs="Arial" w:eastAsia="Arial" w:hAnsi="Arial"/>
          <w:color w:val="1A202C"/>
          <w:sz w:val="20"/>
          <w:szCs w:val="20"/>
        </w:rPr>
        <w:t xml:space="preserve">VPC Service Controls perimeters on all client projects — enforced at infrastructure layer by Daryl Booker SecOps configuration.</w:t>
      </w:r>
    </w:p>
    <w:p>
      <w:pPr>
        <w:pStyle w:val="ListParagraph"/>
        <w:numPr>
          <w:ilvl w:val="0"/>
          <w:numId w:val="2"/>
        </w:numPr>
        <w:spacing w:before="36" w:after="36"/>
      </w:pPr>
      <w:r>
        <w:rPr>
          <w:rFonts w:ascii="Arial" w:cs="Arial" w:eastAsia="Arial" w:hAnsi="Arial"/>
          <w:color w:val="1A202C"/>
          <w:sz w:val="20"/>
          <w:szCs w:val="20"/>
        </w:rPr>
        <w:t xml:space="preserve">Private Google Access enabled — VMs access Google APIs without traversing public internet.</w:t>
      </w:r>
    </w:p>
    <w:p>
      <w:pPr>
        <w:pStyle w:val="ListParagraph"/>
        <w:numPr>
          <w:ilvl w:val="0"/>
          <w:numId w:val="2"/>
        </w:numPr>
        <w:spacing w:before="36" w:after="36"/>
      </w:pPr>
      <w:r>
        <w:rPr>
          <w:rFonts w:ascii="Arial" w:cs="Arial" w:eastAsia="Arial" w:hAnsi="Arial"/>
          <w:color w:val="1A202C"/>
          <w:sz w:val="20"/>
          <w:szCs w:val="20"/>
        </w:rPr>
        <w:t xml:space="preserve">Cloud Armor: SQL injection, XSS, OWASP Top 10 rules on all client-facing load balancers.</w:t>
      </w:r>
    </w:p>
    <w:p>
      <w:pPr>
        <w:pStyle w:val="ListParagraph"/>
        <w:numPr>
          <w:ilvl w:val="0"/>
          <w:numId w:val="2"/>
        </w:numPr>
        <w:spacing w:before="36" w:after="36"/>
      </w:pPr>
      <w:r>
        <w:rPr>
          <w:rFonts w:ascii="Arial" w:cs="Arial" w:eastAsia="Arial" w:hAnsi="Arial"/>
          <w:color w:val="1A202C"/>
          <w:sz w:val="20"/>
          <w:szCs w:val="20"/>
        </w:rPr>
        <w:t xml:space="preserve">Shared VPC: Sentrais internal projects share a controlled hub VPC. Client projects use their own spoke VPCs with no peering to other client spoke VPCs — enforced by Derek Johnson architecture.</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6.3  Audit and Monitoring</w:t>
      </w:r>
    </w:p>
    <w:p>
      <w:pPr>
        <w:pStyle w:val="ListParagraph"/>
        <w:numPr>
          <w:ilvl w:val="0"/>
          <w:numId w:val="2"/>
        </w:numPr>
        <w:spacing w:before="36" w:after="36"/>
      </w:pPr>
      <w:r>
        <w:rPr>
          <w:rFonts w:ascii="Arial" w:cs="Arial" w:eastAsia="Arial" w:hAnsi="Arial"/>
          <w:color w:val="1A202C"/>
          <w:sz w:val="20"/>
          <w:szCs w:val="20"/>
        </w:rPr>
        <w:t xml:space="preserve">Cloud Audit Logs: all Admin Activity, Data Access, and System Event logs enabled for all projects. 7-year retention in BigQuery. Daryl Booker owns the audit log review cadence.</w:t>
      </w:r>
    </w:p>
    <w:p>
      <w:pPr>
        <w:pStyle w:val="ListParagraph"/>
        <w:numPr>
          <w:ilvl w:val="0"/>
          <w:numId w:val="2"/>
        </w:numPr>
        <w:spacing w:before="36" w:after="36"/>
      </w:pPr>
      <w:r>
        <w:rPr>
          <w:rFonts w:ascii="Arial" w:cs="Arial" w:eastAsia="Arial" w:hAnsi="Arial"/>
          <w:color w:val="1A202C"/>
          <w:sz w:val="20"/>
          <w:szCs w:val="20"/>
        </w:rPr>
        <w:t xml:space="preserve">Evidence Ledger: every gate decision, access authorization, persona elevation written to the immutable Evidence Ledger in sentrais-core-os.</w:t>
      </w:r>
    </w:p>
    <w:p>
      <w:pPr>
        <w:pStyle w:val="ListParagraph"/>
        <w:numPr>
          <w:ilvl w:val="0"/>
          <w:numId w:val="2"/>
        </w:numPr>
        <w:spacing w:before="36" w:after="36"/>
      </w:pPr>
      <w:r>
        <w:rPr>
          <w:rFonts w:ascii="Arial" w:cs="Arial" w:eastAsia="Arial" w:hAnsi="Arial"/>
          <w:color w:val="1A202C"/>
          <w:sz w:val="20"/>
          <w:szCs w:val="20"/>
        </w:rPr>
        <w:t xml:space="preserve">Chronicle SIEM: security event correlation across all Sentrais projects. Behavioral analytics. Anomaly detection. Daryl Booker primary operator.</w:t>
      </w:r>
    </w:p>
    <w:p>
      <w:pPr>
        <w:pStyle w:val="ListParagraph"/>
        <w:numPr>
          <w:ilvl w:val="0"/>
          <w:numId w:val="2"/>
        </w:numPr>
        <w:spacing w:before="36" w:after="36"/>
      </w:pPr>
      <w:r>
        <w:rPr>
          <w:rFonts w:ascii="Arial" w:cs="Arial" w:eastAsia="Arial" w:hAnsi="Arial"/>
          <w:color w:val="1A202C"/>
          <w:sz w:val="20"/>
          <w:szCs w:val="20"/>
        </w:rPr>
        <w:t xml:space="preserve">Security Command Center (SCC) Premium: continuous vulnerability scanning across all projects. Derek Johnson and Daryl Booker joint review.</w:t>
      </w:r>
    </w:p>
    <w:p>
      <w:pPr>
        <w:pStyle w:val="ListParagraph"/>
        <w:numPr>
          <w:ilvl w:val="0"/>
          <w:numId w:val="2"/>
        </w:numPr>
        <w:spacing w:before="36" w:after="36"/>
      </w:pPr>
      <w:r>
        <w:rPr>
          <w:rFonts w:ascii="Arial" w:cs="Arial" w:eastAsia="Arial" w:hAnsi="Arial"/>
          <w:color w:val="1A202C"/>
          <w:sz w:val="20"/>
          <w:szCs w:val="20"/>
        </w:rPr>
        <w:t xml:space="preserve">Real-time alerting: any RESTRICTED or D5 data access event triggers immediate notification to Daryl Booker. Response SLA: 15 minutes.</w:t>
      </w:r>
    </w:p>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6.4  Compliance Certification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400"/>
        <w:gridCol w:w="3000"/>
      </w:tblGrid>
      <w:tr>
        <w:trPr>
          <w:tblHeader/>
        </w:trPr>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STANDARD</w:t>
            </w:r>
          </w:p>
        </w:tc>
        <w:tc>
          <w:tcPr>
            <w:tcW w:type="dxa" w:w="18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APPLICABILITY</w:t>
            </w:r>
          </w:p>
        </w:tc>
        <w:tc>
          <w:tcPr>
            <w:tcW w:type="dxa" w:w="24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CURRENT STATUS</w:t>
            </w:r>
          </w:p>
        </w:tc>
        <w:tc>
          <w:tcPr>
            <w:tcW w:type="dxa" w:w="300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OWNER + TARGET DATE</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SOC 2 Type II</w:t>
            </w:r>
          </w:p>
        </w:tc>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All Sentrais platforms</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Controls designed. Pre-assessment complete.</w:t>
            </w:r>
          </w:p>
        </w:tc>
        <w:tc>
          <w:tcPr>
            <w:tcW w:type="dxa" w:w="3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Daryl Booker (SecOps) · Q4 2026</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ISO 27001</w:t>
            </w:r>
          </w:p>
        </w:tc>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Core OS + all client verticals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Gap assessment complete. ISMS framework implemented.</w:t>
            </w:r>
          </w:p>
        </w:tc>
        <w:tc>
          <w:tcPr>
            <w:tcW w:type="dxa" w:w="3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Daryl Booker (SecOps) · Q3 2026</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NIST 800-53 Rev 5</w:t>
            </w:r>
          </w:p>
        </w:tc>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SEARGrid + CiviGrid (municipal)</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Control baseline mapped. FedRAMP prep in progress.</w:t>
            </w:r>
          </w:p>
        </w:tc>
        <w:tc>
          <w:tcPr>
            <w:tcW w:type="dxa" w:w="3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Daryl Booker (SecOps) · FedRAMP Moderate Q1 2027</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PCI-DSS v4.0</w:t>
            </w:r>
          </w:p>
        </w:tc>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Ticketmaster project (CDE)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QSA engaged. CDE boundary scoped.</w:t>
            </w:r>
          </w:p>
        </w:tc>
        <w:tc>
          <w:tcPr>
            <w:tcW w:type="dxa" w:w="3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Daryl Booker (SecOps) · Q2 2026</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CCPA / GDPR</w:t>
            </w:r>
          </w:p>
        </w:tc>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All fan PII (LiveNation, Ticketmaster)</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Privacy notices implemented. DPA templates executed.</w:t>
            </w:r>
          </w:p>
        </w:tc>
        <w:tc>
          <w:tcPr>
            <w:tcW w:type="dxa" w:w="3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Daryl Booker (SecOps) · Ongoing</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NIST 800-171 (CUI)</w:t>
            </w:r>
          </w:p>
        </w:tc>
        <w:tc>
          <w:tcPr>
            <w:tcW w:type="dxa" w:w="18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SEARGrid if CUI designation applies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Pre-assessment framework ready.</w:t>
            </w:r>
          </w:p>
        </w:tc>
        <w:tc>
          <w:tcPr>
            <w:tcW w:type="dxa" w:w="3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Daryl Booker (SecOps) · Per-event activation</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Advisory — Fractional</w:t>
            </w:r>
          </w:p>
        </w:tc>
        <w:tc>
          <w:tcPr>
            <w:tcW w:type="dxa" w:w="18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Sentrais commercial security posture</w:t>
            </w:r>
          </w:p>
        </w:tc>
        <w:tc>
          <w:tcPr>
            <w:tcW w:type="dxa" w:w="24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Ryan Harrelson (fractional CTO) · Kirby Winters (fractional CISO) consulted on commercial platform security advisory only. No operational production access.</w:t>
            </w:r>
          </w:p>
        </w:tc>
        <w:tc>
          <w:tcPr>
            <w:tcW w:type="dxa" w:w="3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R. Harrelson + K. Winters · Advisory only</w:t>
            </w:r>
          </w:p>
        </w:tc>
      </w:tr>
    </w:tbl>
    <w:p>
      <w:pPr>
        <w:spacing w:before="0" w:after="36"/>
      </w:pPr>
      <w:r>
        <w:rPr>
          <w:sz w:val="18"/>
          <w:szCs w:val="18"/>
        </w:rPr>
        <w:t xml:space="preserve"/>
      </w:r>
    </w:p>
    <w:p>
      <w:r>
        <w:br w:type="page"/>
      </w:r>
    </w:p>
    <w:p>
      <w:pPr>
        <w:pStyle w:val="Heading1"/>
        <w:pBdr>
          <w:bottom w:val="single" w:color="00D4AA" w:sz="8" w:space="4"/>
        </w:pBdr>
        <w:spacing w:before="360" w:after="160"/>
      </w:pPr>
      <w:r>
        <w:rPr>
          <w:rFonts w:ascii="Arial" w:cs="Arial" w:eastAsia="Arial" w:hAnsi="Arial"/>
          <w:b/>
          <w:bCs/>
          <w:color w:val="0F1A2E"/>
          <w:sz w:val="34"/>
          <w:szCs w:val="34"/>
        </w:rPr>
        <w:t xml:space="preserve">07  SECURITY TEAM OWNERSHIP — COMPLETE RACI</w:t>
      </w:r>
    </w:p>
    <w:p>
      <w:pPr>
        <w:pStyle w:val="Heading2"/>
        <w:spacing w:before="240" w:after="100"/>
      </w:pPr>
      <w:r>
        <w:rPr>
          <w:rFonts w:ascii="Arial" w:cs="Arial" w:eastAsia="Arial" w:hAnsi="Arial"/>
          <w:b/>
          <w:bCs/>
          <w:color w:val="2E75B6"/>
          <w:sz w:val="24"/>
          <w:szCs w:val="24"/>
        </w:rPr>
        <w:t xml:space="preserve">7.1  Core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PERSON</w:t>
            </w:r>
          </w:p>
        </w:tc>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ROLE</w:t>
            </w:r>
          </w:p>
        </w:tc>
        <w:tc>
          <w:tcPr>
            <w:tcW w:type="dxa" w:w="504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SECURITY ACCOUNTABILITY</w:t>
            </w:r>
          </w:p>
        </w:tc>
      </w:tr>
      <w:tr>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Daryl Booker</w:t>
            </w:r>
          </w:p>
        </w:tc>
        <w:tc>
          <w:tcPr>
            <w:tcW w:type="dxa" w:w="216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SecOps — NOVATELabs</w:t>
            </w:r>
          </w:p>
        </w:tc>
        <w:tc>
          <w:tcPr>
            <w:tcW w:type="dxa" w:w="5040"/>
            <w:tcBorders>
              <w:top w:val="single" w:color="E2E8F0" w:sz="4"/>
              <w:left w:val="single" w:color="E2E8F0" w:sz="4"/>
              <w:bottom w:val="single" w:color="E2E8F0" w:sz="4"/>
              <w:right w:val="single" w:color="E2E8F0" w:sz="4"/>
            </w:tcBorders>
            <w:shd w:fill="FFEBEE" w:val="clear"/>
            <w:tcMar>
              <w:top w:type="dxa" w:w="80"/>
              <w:left w:type="dxa" w:w="100"/>
              <w:bottom w:type="dxa" w:w="80"/>
              <w:right w:type="dxa" w:w="100"/>
            </w:tcMar>
            <w:vAlign w:val="top"/>
          </w:tcPr>
          <w:p>
            <w:r>
              <w:rPr>
                <w:rFonts w:ascii="Arial" w:cs="Arial" w:eastAsia="Arial" w:hAnsi="Arial"/>
                <w:b w:val="false"/>
                <w:bCs w:val="false"/>
                <w:color w:val="791F1F"/>
                <w:sz w:val="18"/>
                <w:szCs w:val="18"/>
              </w:rPr>
              <w:t xml:space="preserve">PRIMARY security operations owner. SEARGrid project primary. FedRAMP program lead. CMEK key ceremonies. ABAC governance. All compliance certifications (SOC 2, FedRAMP, PCI QSA coordination, ISO 27001). PII governance (CCPA/GDPR). Incident response lead for all domains, especially D5. Chronicle SIEM operator. Access review cadence owner.</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Derek Johnson</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CTO — NOVATELabs</w:t>
            </w:r>
          </w:p>
        </w:tc>
        <w:tc>
          <w:tcPr>
            <w:tcW w:type="dxa" w:w="50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PRIMARY infrastructure architecture owner. GCP multi-project design. VPC Service Controls perimeter configuration. CMEK implementation. Cloud IAM deny policy authoring. Network topology (Shared VPC, Cloud Armor, Private Google Access). Security Command Center oversight. GCP hardening for all projects including SEARGrid. Technical architecture review of all cross-project access patterns.</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Tye Hayes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CEO / Founder</w:t>
            </w:r>
          </w:p>
        </w:tc>
        <w:tc>
          <w:tcPr>
            <w:tcW w:type="dxa" w:w="504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RESTRICTED tier data custody. Strategy Engine access. Dual CMEK key holder with Daryl Booker for RESTRICTED. Final authority on any cross-client data sharing decision. Business associate agreement authorization.</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Tionna</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System Admin</w:t>
            </w:r>
          </w:p>
        </w:tc>
        <w:tc>
          <w:tcPr>
            <w:tcW w:type="dxa" w:w="504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User lifecycle management. IAM provisioning under CTO direction. Monitoring and alerting operations. Explicit DENY on: Strategy Engine, Pricing models, IP Registry write/delete, Gate Override Logs (immutable). Cannot access RESTRICTED or D5 projects.</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Knox Phillips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CRO (Sentrais commercial)</w:t>
            </w:r>
          </w:p>
        </w:tc>
        <w:tc>
          <w:tcPr>
            <w:tcW w:type="dxa" w:w="504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Commercial platform security awareness. Engages Daryl Booker for any client security questions. No operational security access.</w:t>
            </w:r>
          </w:p>
        </w:tc>
      </w:tr>
    </w:tbl>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7.2  Fractional Advisors —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1F7" w:val="clear"/>
            <w:tcMar>
              <w:top w:type="dxa" w:w="120"/>
              <w:left w:type="dxa" w:w="220"/>
              <w:bottom w:type="dxa" w:w="120"/>
              <w:right w:type="dxa" w:w="220"/>
            </w:tcMar>
          </w:tcPr>
          <w:p>
            <w:pPr>
              <w:spacing w:before="0" w:after="50"/>
            </w:pPr>
            <w:r>
              <w:rPr>
                <w:rFonts w:ascii="Arial" w:cs="Arial" w:eastAsia="Arial" w:hAnsi="Arial"/>
                <w:b/>
                <w:bCs/>
                <w:color w:val="0F1A2E"/>
                <w:sz w:val="19"/>
                <w:szCs w:val="19"/>
              </w:rPr>
              <w:t xml:space="preserve">IMPORTANT: Fractional = Advisory Only</w:t>
            </w:r>
          </w:p>
          <w:p>
            <w:pPr>
              <w:spacing w:before="0" w:after="0"/>
            </w:pPr>
            <w:r>
              <w:rPr>
                <w:rFonts w:ascii="Arial" w:cs="Arial" w:eastAsia="Arial" w:hAnsi="Arial"/>
                <w:i/>
                <w:iCs/>
                <w:color w:val="0F1A2E"/>
                <w:sz w:val="18"/>
                <w:szCs w:val="18"/>
              </w:rPr>
              <w:t xml:space="preserve">Ryan Harrelson (fractional CTO) and Kirby Winters (fractional CISO) are Sentrais commercial-side advisors. They are consulted on platform architecture decisions and security posture at the commercial advisory level. They do not hold operational access to any NOVATELabs production GCP project, any client project, or any SEARGrid infrastructure. All operational ownership resides with Derek Johnson (CTO NOVATELabs) and Daryl Booker (SecOps).</w:t>
            </w:r>
          </w:p>
        </w:tc>
      </w:tr>
    </w:tbl>
    <w:p>
      <w:pPr>
        <w:spacing w:before="0" w:after="36"/>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PERSON</w:t>
            </w:r>
          </w:p>
        </w:tc>
        <w:tc>
          <w:tcPr>
            <w:tcW w:type="dxa" w:w="216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ROLE</w:t>
            </w:r>
          </w:p>
        </w:tc>
        <w:tc>
          <w:tcPr>
            <w:tcW w:type="dxa" w:w="252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SCOPE</w:t>
            </w:r>
          </w:p>
        </w:tc>
        <w:tc>
          <w:tcPr>
            <w:tcW w:type="dxa" w:w="2520"/>
            <w:tcBorders>
              <w:top w:val="single" w:color="E2E8F0" w:sz="4"/>
              <w:left w:val="single" w:color="E2E8F0" w:sz="4"/>
              <w:bottom w:val="single" w:color="E2E8F0" w:sz="4"/>
              <w:right w:val="single" w:color="E2E8F0" w:sz="4"/>
            </w:tcBorders>
            <w:shd w:fill="0F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EXPLICIT EXCLUSIONS</w:t>
            </w:r>
          </w:p>
        </w:tc>
      </w:tr>
      <w:tr>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Ryan Harrelson</w:t>
            </w:r>
          </w:p>
        </w:tc>
        <w:tc>
          <w:tcPr>
            <w:tcW w:type="dxa" w:w="216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Fractional CTO (Sentrais commercial)</w:t>
            </w:r>
          </w:p>
        </w:tc>
        <w:tc>
          <w:tcPr>
            <w:tcW w:type="dxa" w:w="252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Commercial platform architecture advisory. Technical due diligence for Sentrais commercial engagements. Consults on platform design decisions.</w:t>
            </w:r>
          </w:p>
        </w:tc>
        <w:tc>
          <w:tcPr>
            <w:tcW w:type="dxa" w:w="252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No NOVATELabs production project access. No client GCP project access. No SEARGrid access. No CMEK key custody.</w:t>
            </w:r>
          </w:p>
        </w:tc>
      </w:tr>
      <w:tr>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Kirby Winters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Fractional CISO (Sentrais commercial)</w:t>
            </w:r>
          </w:p>
        </w:tc>
        <w:tc>
          <w:tcPr>
            <w:tcW w:type="dxa" w:w="252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Security posture advisory for Sentrais commercial contracts. Consulted on FedRAMP strategy documentation. Contract security language review.</w:t>
            </w:r>
          </w:p>
        </w:tc>
        <w:tc>
          <w:tcPr>
            <w:tcW w:type="dxa" w:w="252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vAlign w:val="top"/>
          </w:tcPr>
          <w:p>
            <w:r>
              <w:rPr>
                <w:rFonts w:ascii="Arial" w:cs="Arial" w:eastAsia="Arial" w:hAnsi="Arial"/>
                <w:b w:val="false"/>
                <w:bCs w:val="false"/>
                <w:color w:val="1A202C"/>
                <w:sz w:val="18"/>
                <w:szCs w:val="18"/>
              </w:rPr>
              <w:t xml:space="preserve">No operational production project access. No SEARGrid access. No CMEK key ceremonies. Daryl Booker owns all operational security.</w:t>
            </w:r>
          </w:p>
        </w:tc>
      </w:tr>
    </w:tbl>
    <w:p>
      <w:pPr>
        <w:spacing w:before="0" w:after="36"/>
      </w:pPr>
      <w:r>
        <w:rPr>
          <w:sz w:val="18"/>
          <w:szCs w:val="18"/>
        </w:rPr>
        <w:t xml:space="preserve"/>
      </w:r>
    </w:p>
    <w:p>
      <w:pPr>
        <w:pStyle w:val="Heading2"/>
        <w:spacing w:before="240" w:after="100"/>
      </w:pPr>
      <w:r>
        <w:rPr>
          <w:rFonts w:ascii="Arial" w:cs="Arial" w:eastAsia="Arial" w:hAnsi="Arial"/>
          <w:b/>
          <w:bCs/>
          <w:color w:val="2E75B6"/>
          <w:sz w:val="24"/>
          <w:szCs w:val="24"/>
        </w:rPr>
        <w:t xml:space="preserve">7.3  The Super Bowl Security Architecture — All Five Domains Active</w:t>
      </w:r>
    </w:p>
    <w:p>
      <w:pPr>
        <w:spacing w:before="50" w:after="50"/>
      </w:pPr>
      <w:r>
        <w:rPr>
          <w:rFonts w:ascii="Arial" w:cs="Arial" w:eastAsia="Arial" w:hAnsi="Arial"/>
          <w:color w:val="1A202C"/>
          <w:sz w:val="20"/>
          <w:szCs w:val="20"/>
        </w:rPr>
        <w:t xml:space="preserve">The Super Bowl is the apex event where all five security domains activate simultaneously. This is the clearest demonstration of how the security design holds under maximum load.</w:t>
      </w:r>
    </w:p>
    <w:p>
      <w:pPr>
        <w:spacing w:before="0" w:after="36"/>
      </w:pPr>
      <w:r>
        <w:rPr>
          <w:sz w:val="18"/>
          <w:szCs w:val="18"/>
        </w:rPr>
        <w:t xml:space="preserve"/>
      </w:r>
    </w:p>
    <w:p>
      <w:pPr>
        <w:pStyle w:val="ListParagraph"/>
        <w:numPr>
          <w:ilvl w:val="0"/>
          <w:numId w:val="2"/>
        </w:numPr>
        <w:spacing w:before="36" w:after="36"/>
      </w:pPr>
      <w:r>
        <w:rPr>
          <w:rFonts w:ascii="Arial" w:cs="Arial" w:eastAsia="Arial" w:hAnsi="Arial"/>
          <w:color w:val="1A202C"/>
          <w:sz w:val="20"/>
          <w:szCs w:val="20"/>
        </w:rPr>
        <w:t xml:space="preserve">NFL Game Operations (D1, sentrais-nfl-prod): EVERGAME manages T-365 to T+30. Franchise data, game ops, revenue settlement. Derek Johnson architecture. Daryl Booker security posture.</w:t>
      </w:r>
    </w:p>
    <w:p>
      <w:pPr>
        <w:pStyle w:val="ListParagraph"/>
        <w:numPr>
          <w:ilvl w:val="0"/>
          <w:numId w:val="2"/>
        </w:numPr>
        <w:spacing w:before="36" w:after="36"/>
      </w:pPr>
      <w:r>
        <w:rPr>
          <w:rFonts w:ascii="Arial" w:cs="Arial" w:eastAsia="Arial" w:hAnsi="Arial"/>
          <w:color w:val="1A202C"/>
          <w:sz w:val="20"/>
          <w:szCs w:val="20"/>
        </w:rPr>
        <w:t xml:space="preserve">Venue Certification (D2, sentrais-nfl-prod): eVenu manages stadium certification within the same NFL project. Venue GM attests within nfl-prod.</w:t>
      </w:r>
    </w:p>
    <w:p>
      <w:pPr>
        <w:pStyle w:val="ListParagraph"/>
        <w:numPr>
          <w:ilvl w:val="0"/>
          <w:numId w:val="2"/>
        </w:numPr>
        <w:spacing w:before="36" w:after="36"/>
      </w:pPr>
      <w:r>
        <w:rPr>
          <w:rFonts w:ascii="Arial" w:cs="Arial" w:eastAsia="Arial" w:hAnsi="Arial"/>
          <w:color w:val="1A202C"/>
          <w:sz w:val="20"/>
          <w:szCs w:val="20"/>
        </w:rPr>
        <w:t xml:space="preserve">Host City Coordination (D3, sentrais-civigrid-[city]): CiviGrid manages municipal agency coordination in a separate project. Zero NFL data in this project.</w:t>
      </w:r>
    </w:p>
    <w:p>
      <w:pPr>
        <w:pStyle w:val="ListParagraph"/>
        <w:numPr>
          <w:ilvl w:val="0"/>
          <w:numId w:val="2"/>
        </w:numPr>
        <w:spacing w:before="36" w:after="36"/>
      </w:pPr>
      <w:r>
        <w:rPr>
          <w:rFonts w:ascii="Arial" w:cs="Arial" w:eastAsia="Arial" w:hAnsi="Arial"/>
          <w:color w:val="1A202C"/>
          <w:sz w:val="20"/>
          <w:szCs w:val="20"/>
        </w:rPr>
        <w:t xml:space="preserve">Entertainment Production (D4, sentrais-livnation-prod if applicable): Halftime show LiveNation coordination lives in their project. Never in nfl-prod.</w:t>
      </w:r>
    </w:p>
    <w:p>
      <w:pPr>
        <w:pStyle w:val="ListParagraph"/>
        <w:numPr>
          <w:ilvl w:val="0"/>
          <w:numId w:val="2"/>
        </w:numPr>
        <w:spacing w:before="36" w:after="36"/>
      </w:pPr>
      <w:r>
        <w:rPr>
          <w:rFonts w:ascii="Arial" w:cs="Arial" w:eastAsia="Arial" w:hAnsi="Arial"/>
          <w:color w:val="1A202C"/>
          <w:sz w:val="20"/>
          <w:szCs w:val="20"/>
        </w:rPr>
        <w:t xml:space="preserve">National Security (D5, sentrais-seargrid-prod): SEARGrid activates for Super Bowl MAXIMUM tier. Daryl Booker SecOps primary. Zero cross-project data sharing.</w:t>
      </w:r>
    </w:p>
    <w:p>
      <w:pPr>
        <w:spacing w:before="0" w:after="36"/>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1F7" w:val="clear"/>
            <w:tcMar>
              <w:top w:type="dxa" w:w="120"/>
              <w:left w:type="dxa" w:w="220"/>
              <w:bottom w:type="dxa" w:w="120"/>
              <w:right w:type="dxa" w:w="220"/>
            </w:tcMar>
          </w:tcPr>
          <w:p>
            <w:pPr>
              <w:spacing w:before="0" w:after="50"/>
            </w:pPr>
            <w:r>
              <w:rPr>
                <w:rFonts w:ascii="Arial" w:cs="Arial" w:eastAsia="Arial" w:hAnsi="Arial"/>
                <w:b/>
                <w:bCs/>
                <w:color w:val="0F1A2E"/>
                <w:sz w:val="19"/>
                <w:szCs w:val="19"/>
              </w:rPr>
              <w:t xml:space="preserve">FIVE DOMAINS · FOUR PROJECTS · ZERO DATA OVERLAP</w:t>
            </w:r>
          </w:p>
          <w:p>
            <w:pPr>
              <w:spacing w:before="0" w:after="0"/>
            </w:pPr>
            <w:r>
              <w:rPr>
                <w:rFonts w:ascii="Arial" w:cs="Arial" w:eastAsia="Arial" w:hAnsi="Arial"/>
                <w:i/>
                <w:iCs/>
                <w:color w:val="0F1A2E"/>
                <w:sz w:val="18"/>
                <w:szCs w:val="18"/>
              </w:rPr>
              <w:t xml:space="preserve">Same physical event. Four isolated GCP projects. The Sentrais Coordination Engine orchestrates cross-platform gate signals using only metadata. Derek Johnson owns the infrastructure architecture ensuring this isolation. Daryl Booker owns the security posture ensuring it holds.</w:t>
            </w:r>
          </w:p>
        </w:tc>
      </w:tr>
    </w:tbl>
    <w:p>
      <w:pPr>
        <w:spacing w:before="0" w:after="36"/>
      </w:pPr>
      <w:r>
        <w:rPr>
          <w:sz w:val="18"/>
          <w:szCs w:val="18"/>
        </w:rPr>
        <w:t xml:space="preserve"/>
      </w:r>
    </w:p>
    <w:p>
      <w:pPr>
        <w:pBdr>
          <w:bottom w:val="single" w:color="00D4AA" w:sz="6" w:space="3"/>
        </w:pBdr>
        <w:spacing w:before="80" w:after="80"/>
      </w:pPr>
    </w:p>
    <w:p>
      <w:pPr>
        <w:spacing w:before="0" w:after="36"/>
      </w:pPr>
      <w:r>
        <w:rPr>
          <w:sz w:val="18"/>
          <w:szCs w:val="18"/>
        </w:rPr>
        <w:t xml:space="preserve"/>
      </w:r>
    </w:p>
    <w:p>
      <w:pPr>
        <w:spacing w:before="80" w:after="60"/>
        <w:jc w:val="center"/>
      </w:pPr>
      <w:r>
        <w:rPr>
          <w:rFonts w:ascii="Arial" w:cs="Arial" w:eastAsia="Arial" w:hAnsi="Arial"/>
          <w:i/>
          <w:iCs/>
          <w:color w:val="2E75B6"/>
          <w:sz w:val="22"/>
          <w:szCs w:val="22"/>
        </w:rPr>
        <w:t xml:space="preserve">"Readiness without evidence is optimism. Security without architecture is policy."</w:t>
      </w:r>
    </w:p>
    <w:p>
      <w:pPr>
        <w:jc w:val="center"/>
      </w:pPr>
      <w:r>
        <w:rPr>
          <w:rFonts w:ascii="Arial" w:cs="Arial" w:eastAsia="Arial" w:hAnsi="Arial"/>
          <w:color w:val="94A3B8"/>
          <w:sz w:val="18"/>
          <w:szCs w:val="18"/>
        </w:rPr>
        <w:t xml:space="preserve">— Sentrais Security Design Doctrine · v1.1 · March 2026</w:t>
      </w:r>
    </w:p>
    <w:p>
      <w:pPr>
        <w:spacing w:before="0" w:after="36"/>
      </w:pPr>
      <w:r>
        <w:rPr>
          <w:sz w:val="18"/>
          <w:szCs w:val="18"/>
        </w:rPr>
        <w:t xml:space="preserve"/>
      </w:r>
    </w:p>
    <w:p>
      <w:pPr>
        <w:pBdr>
          <w:bottom w:val="single" w:color="E2E8F0" w:sz="6" w:space="3"/>
        </w:pBdr>
        <w:spacing w:before="80" w:after="80"/>
      </w:pPr>
    </w:p>
    <w:p>
      <w:pPr>
        <w:spacing w:before="0" w:after="36"/>
      </w:pPr>
      <w:r>
        <w:rPr>
          <w:sz w:val="18"/>
          <w:szCs w:val="18"/>
        </w:rPr>
        <w:t xml:space="preserve"/>
      </w:r>
    </w:p>
    <w:p>
      <w:pPr>
        <w:jc w:val="center"/>
      </w:pPr>
      <w:r>
        <w:rPr>
          <w:rFonts w:ascii="Arial" w:cs="Arial" w:eastAsia="Arial" w:hAnsi="Arial"/>
          <w:color w:val="94A3B8"/>
          <w:sz w:val="17"/>
          <w:szCs w:val="17"/>
        </w:rPr>
        <w:t xml:space="preserve">Daryl Booker SecOps · Derek Johnson CTO NOVATELabs · Tye Hayes CEO · NOVATELabs · Sentrais Corporation · CONFIDENTIAL</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60"/>
    </w:pPr>
    <w:r>
      <w:rPr>
        <w:rFonts w:ascii="Arial" w:cs="Arial" w:eastAsia="Arial" w:hAnsi="Arial"/>
        <w:color w:val="94A3B8"/>
        <w:sz w:val="16"/>
        <w:szCs w:val="16"/>
      </w:rPr>
      <w:t xml:space="preserve">v1.1 · March 2026 · NOVATELabs · Sentrais · CONFIDENTIAL</w:t>
    </w:r>
    <w:r>
      <w:rPr>
        <w:rFonts w:ascii="Arial" w:cs="Arial" w:eastAsia="Arial" w:hAnsi="Arial"/>
        <w:color w:val="94A3B8"/>
        <w:sz w:val="16"/>
        <w:szCs w:val="16"/>
      </w:rPr>
      <w:t xml:space="preserve">	Daryl Booker SecOps · Derek Johnson CTO NOVATELabs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A" w:sz="6" w:space="4"/>
      </w:pBdr>
      <w:tabs>
        <w:tab w:val="right" w:pos="9026"/>
      </w:tabs>
      <w:spacing w:before="0" w:after="100"/>
    </w:pPr>
    <w:r>
      <w:rPr>
        <w:rFonts w:ascii="Arial" w:cs="Arial" w:eastAsia="Arial" w:hAnsi="Arial"/>
        <w:b/>
        <w:bCs/>
        <w:color w:val="0F1A2E"/>
        <w:sz w:val="17"/>
        <w:szCs w:val="17"/>
      </w:rPr>
      <w:t xml:space="preserve">SENTRAIS ENTERPRISE SECURITY ARCHITECTURE</w:t>
    </w:r>
    <w:r>
      <w:rPr>
        <w:rFonts w:ascii="Arial" w:cs="Arial" w:eastAsia="Arial" w:hAnsi="Arial"/>
        <w:color w:val="64748B"/>
        <w:sz w:val="16"/>
        <w:szCs w:val="16"/>
      </w:rPr>
      <w:t xml:space="preserve">	CLASSIFICATION: INTERNAL · RESTRICTED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A2E"/>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0F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2026-03-25T01:23:10.985Z</dcterms:created>
  <dcterms:modified xsi:type="dcterms:W3CDTF">2026-03-25T01:23:10.986Z</dcterms:modified>
</cp:coreProperties>
</file>

<file path=docProps/custom.xml><?xml version="1.0" encoding="utf-8"?>
<Properties xmlns="http://schemas.openxmlformats.org/officeDocument/2006/custom-properties" xmlns:vt="http://schemas.openxmlformats.org/officeDocument/2006/docPropsVTypes"/>
</file>