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63.png" ContentType="image/png"/>
  <Override PartName="/word/media/rId49.png" ContentType="image/png"/>
  <Override PartName="/word/media/rId46.png" ContentType="image/png"/>
  <Override PartName="/word/media/rId56.png" ContentType="image/png"/>
  <Override PartName="/word/media/rId52.png" ContentType="image/png"/>
  <Override PartName="/word/media/rId59.png" ContentType="image/png"/>
  <Override PartName="/word/media/rId69.png" ContentType="image/png"/>
  <Override PartName="/word/media/rId43.png" ContentType="image/png"/>
  <Override PartName="/word/media/rId66.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4/30/23</w:t>
      </w:r>
    </w:p>
    <w:bookmarkStart w:id="20" w:name="summaryabstract"/>
    <w:p>
      <w:pPr>
        <w:pStyle w:val="Heading1"/>
      </w:pPr>
      <w:r>
        <w:t xml:space="preserve">1. Summary/Abstract</w:t>
      </w:r>
    </w:p>
    <w:p>
      <w:pPr>
        <w:pStyle w:val="FirstParagraph"/>
      </w:pPr>
      <w:r>
        <w:t xml:space="preserve">This project aims to identify factors associated with racial disparities in HIV-related death rates in the United States. To assess this, we look at the ratio of Black-to-White HIV-related mortality rate (MRR) from 2020 in the United States. Additionally, we assess whether social determinants of health (SDOH) can explain variation in MRR at the state-level and regional-level. Both spatial and non-spatial methods were used.</w:t>
      </w:r>
    </w:p>
    <w:p>
      <w:r>
        <w:br w:type="page"/>
      </w:r>
    </w:p>
    <w:bookmarkEnd w:id="20"/>
    <w:bookmarkStart w:id="22" w:name="introduction"/>
    <w:p>
      <w:pPr>
        <w:pStyle w:val="Heading1"/>
      </w:pPr>
      <w:r>
        <w:t xml:space="preserve">2. Introduction</w:t>
      </w:r>
    </w:p>
    <w:p>
      <w:pPr>
        <w:pStyle w:val="FirstParagraph"/>
      </w:pPr>
      <w:r>
        <w:t xml:space="preserve">HIV continues to have a significant impact on marginalized communities, leading to significant disparities in the rates of new HIV diagnoses and HIV-related health outcomes, including late HIV diagnosis, progression to AIDS, and HIV-related death. The extent of these disparities are particularly pronounced in the United States when comparing HIV-related outcomes among Black and White persons. Studies have revealed a direct correlation between social determinants of health indicators and poor health outcomes for people with HIV. In this project, our objective is to identify the factors contributing to the disparities in HIV-related death rates between Black and White individuals in the United States.</w:t>
      </w:r>
    </w:p>
    <w:bookmarkStart w:id="21" w:name="question"/>
    <w:p>
      <w:pPr>
        <w:pStyle w:val="Heading2"/>
      </w:pPr>
      <w:r>
        <w:t xml:space="preserve">2.1 Question:</w:t>
      </w:r>
    </w:p>
    <w:p>
      <w:pPr>
        <w:pStyle w:val="FirstParagraph"/>
      </w:pPr>
      <w:r>
        <w:t xml:space="preserve">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pPr>
        <w:pStyle w:val="BodyText"/>
      </w:pPr>
      <w:r>
        <w:t xml:space="preserve">H0 : There is no spatial correlation between Black-to-White HIV-related MRR and SDOH or HIV-related outcomes.</w:t>
      </w:r>
    </w:p>
    <w:p>
      <w:pPr>
        <w:pStyle w:val="BodyText"/>
      </w:pPr>
      <w:r>
        <w:t xml:space="preserve">Ha : There is a spatial correlation between Black-to-White HIV-related MRR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w:t>
      </w:r>
      <w:r>
        <w:t xml:space="preserve"> </w:t>
      </w:r>
      <w:r>
        <w:t xml:space="preserve">(Jun 07 &amp; 2021, 2021)</w:t>
      </w:r>
      <w:r>
        <w:t xml:space="preserv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w:t>
      </w:r>
      <w:r>
        <w:t xml:space="preserve"> </w:t>
      </w:r>
      <w:r>
        <w:t xml:space="preserve">(Jun 07 &amp; 2021, 2021)</w:t>
      </w:r>
      <w:r>
        <w:t xml:space="preserve">. While the Ending the Epidemic initiative set up a goal of 90% reduction in new HIV infections by 2030 by upscaling efforts in HIV diagnoses treatment, and prevention, this is followed by nearly one decade of steady HIV diagnoses rates. Developing targeted intervention programs is essential to achieve this goal. To accomplish this, we need to gain a deeper understanding of the impact or contribution of complex factors such as social determinants of health or other barriers to poor HIV-related outcomes and disparities.</w:t>
      </w:r>
    </w:p>
    <w:bookmarkEnd w:id="23"/>
    <w:bookmarkStart w:id="36" w:name="materials-and-methods"/>
    <w:p>
      <w:pPr>
        <w:pStyle w:val="Heading1"/>
      </w:pPr>
      <w:r>
        <w:t xml:space="preserve">4. Materials and Methods</w:t>
      </w:r>
    </w:p>
    <w:bookmarkStart w:id="30"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w:t>
      </w:r>
      <w:r>
        <w:rPr>
          <w:iCs/>
          <w:i/>
        </w:rPr>
        <w:t xml:space="preserve">AIDSVu</w:t>
      </w:r>
      <w:r>
        <w:rPr>
          <w:iCs/>
          <w:i/>
        </w:rPr>
        <w:t xml:space="preserve"> </w:t>
      </w:r>
      <w:r>
        <w:rPr>
          <w:iCs/>
          <w:i/>
        </w:rPr>
        <w:t xml:space="preserve">datasets.</w:t>
      </w:r>
      <w:r>
        <w:rPr>
          <w:iCs/>
          <w:i/>
        </w:rPr>
        <w:t xml:space="preserve"> </w:t>
      </w:r>
      <w:r>
        <w:rPr>
          <w:iCs/>
          <w:i/>
        </w:rPr>
        <w:t xml:space="preserve">Includes</w:t>
      </w:r>
      <w:r>
        <w:t xml:space="preserve">, n.d.)</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5"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w:anchor="X6589fc6ab0dc82cf12099d1c2d40ab994e8410c">
        <w:r>
          <w:rPr>
            <w:rStyle w:val="Hyperlink"/>
          </w:rPr>
          <w:t xml:space="preserve">U.S. Census Bureau</w:t>
        </w:r>
      </w:hyperlink>
      <w:r>
        <w:t xml:space="preserve"> </w:t>
      </w:r>
      <w:r>
        <w:t xml:space="preserve">(</w:t>
      </w:r>
      <w:r>
        <w:t xml:space="preserve">“</w:t>
      </w:r>
      <w:r>
        <w:t xml:space="preserve">US Census Bureau</w:t>
      </w:r>
      <w:r>
        <w:t xml:space="preserve">,”</w:t>
      </w:r>
      <w:r>
        <w:t xml:space="preserve"> </w:t>
      </w:r>
      <w:r>
        <w:t xml:space="preserve">n.d.)</w:t>
      </w:r>
      <w:r>
        <w:t xml:space="preserve">. A five-year estimate of percent with access to broadband internet by state (released in 2020) was also obtained from the US Census Bureau.</w:t>
      </w:r>
    </w:p>
    <w:bookmarkEnd w:id="25"/>
    <w:bookmarkStart w:id="27"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6">
        <w:r>
          <w:rPr>
            <w:rStyle w:val="Hyperlink"/>
          </w:rPr>
          <w:t xml:space="preserve">Kids Count</w:t>
        </w:r>
      </w:hyperlink>
      <w:r>
        <w:t xml:space="preserve"> </w:t>
      </w:r>
      <w:r>
        <w:t xml:space="preserve">(</w:t>
      </w: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w:t>
      </w:r>
      <w:r>
        <w:t xml:space="preserve">, an online resource that provides high-quality data on the well-being of children in the United States.</w:t>
      </w:r>
    </w:p>
    <w:bookmarkEnd w:id="27"/>
    <w:bookmarkStart w:id="29" w:name="spatial-data"/>
    <w:p>
      <w:pPr>
        <w:pStyle w:val="Heading3"/>
      </w:pPr>
      <w:r>
        <w:t xml:space="preserve">4.1.4 Spatial data</w:t>
      </w:r>
    </w:p>
    <w:p>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w:t>
      </w:r>
      <w:r>
        <w:t xml:space="preserve"> </w:t>
      </w:r>
      <w:hyperlink r:id="rId28">
        <w:r>
          <w:rPr>
            <w:rStyle w:val="Hyperlink"/>
          </w:rPr>
          <w:t xml:space="preserve">GitHub</w:t>
        </w:r>
      </w:hyperlink>
      <w:r>
        <w:t xml:space="preserve">.</w:t>
      </w:r>
      <w:r>
        <w:t xml:space="preserve"> </w:t>
      </w:r>
      <w:r>
        <w:t xml:space="preserve">(Ubikuity, 2022)</w:t>
      </w:r>
    </w:p>
    <w:bookmarkEnd w:id="29"/>
    <w:bookmarkEnd w:id="30"/>
    <w:bookmarkStart w:id="34" w:name="data-processing"/>
    <w:p>
      <w:pPr>
        <w:pStyle w:val="Heading2"/>
      </w:pPr>
      <w:r>
        <w:t xml:space="preserve">4.2 Data processing</w:t>
      </w:r>
    </w:p>
    <w:bookmarkStart w:id="31"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1"/>
    <w:bookmarkStart w:id="32"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(Black and White) using counts of HIV related deaths divided by the estimated population based on US Census data multiplied by 100,000 persons. The variable</w:t>
      </w:r>
      <w:r>
        <w:t xml:space="preserve"> </w:t>
      </w:r>
      <w:r>
        <w:rPr>
          <w:rStyle w:val="VerbatimChar"/>
        </w:rPr>
        <w:t xml:space="preserve">MRR</w:t>
      </w:r>
      <w:r>
        <w:t xml:space="preserve"> </w:t>
      </w:r>
      <w:r>
        <w:t xml:space="preserve">was then computed for each state by dividing the estimate death rates for Black persons divided by the estimate death for White persons.</w:t>
      </w:r>
    </w:p>
    <w:bookmarkEnd w:id="32"/>
    <w:bookmarkStart w:id="33" w:name="social-determinants-of-health"/>
    <w:p>
      <w:pPr>
        <w:pStyle w:val="Heading3"/>
      </w:pPr>
      <w:r>
        <w:t xml:space="preserve">4.2.3 Social Determinants of Health</w:t>
      </w:r>
    </w:p>
    <w:p>
      <w:pPr>
        <w:pStyle w:val="FirstParagraph"/>
      </w:pPr>
      <w:r>
        <w:t xml:space="preserve">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bookmarkEnd w:id="33"/>
    <w:bookmarkEnd w:id="34"/>
    <w:bookmarkStart w:id="35" w:name="statistical-analysis"/>
    <w:p>
      <w:pPr>
        <w:pStyle w:val="Heading2"/>
      </w:pPr>
      <w:r>
        <w:t xml:space="preserve">4.3 Statistical Analysis</w:t>
      </w:r>
    </w:p>
    <w:p>
      <w:pPr>
        <w:pStyle w:val="FirstParagraph"/>
      </w:pPr>
      <w:r>
        <w:t xml:space="preserve">The goal of this analysis was to assess the spatial distribution of the Black-to-White HIV-related MRR. A number of predictors were analyzed using simple linear regression to predict MRR. Variables with a correlation coefficient of |-0.15| or more were selected as possible predictors. To address the possibility of multicollinearity between predictors, principal component analysis was then performed on these variable to aid in variable reduction.</w:t>
      </w:r>
    </w:p>
    <w:p>
      <w:pPr>
        <w:pStyle w:val="BodyText"/>
      </w:pPr>
      <w:r>
        <w:t xml:space="preserve">Both non-spatial and spatial models were fitted to data as appropriate. Analysis of the full models began with multiple linear regressions model before moving on to models of increasing complexity, such as Poisson regression and the conditional autoregressive (CAR) model. Models that were flexible to continuous data used</w:t>
      </w:r>
      <w:r>
        <w:t xml:space="preserve"> </w:t>
      </w:r>
      <w:r>
        <w:rPr>
          <w:rStyle w:val="VerbatimChar"/>
        </w:rPr>
        <w:t xml:space="preserve">MRR</w:t>
      </w:r>
      <w:r>
        <w:t xml:space="preserve"> </w:t>
      </w:r>
      <w:r>
        <w:t xml:space="preserve">as the primary outcome, while models that required count data used the number of deaths,</w:t>
      </w:r>
      <w:r>
        <w:t xml:space="preserve"> </w:t>
      </w:r>
      <w:r>
        <w:rPr>
          <w:rStyle w:val="VerbatimChar"/>
        </w:rPr>
        <w:t xml:space="preserve">Death Cases</w:t>
      </w:r>
      <w:r>
        <w:t xml:space="preserve"> </w:t>
      </w:r>
      <w:r>
        <w:t xml:space="preserve">, and used</w:t>
      </w:r>
      <w:r>
        <w:t xml:space="preserve"> </w:t>
      </w:r>
      <w:r>
        <w:rPr>
          <w:rStyle w:val="VerbatimChar"/>
        </w:rPr>
        <w:t xml:space="preserve">log(Population)</w:t>
      </w:r>
      <w:r>
        <w:t xml:space="preserve"> </w:t>
      </w:r>
      <w:r>
        <w:t xml:space="preserve">as the offset, and additionally included variables</w:t>
      </w:r>
      <w:r>
        <w:t xml:space="preserve"> </w:t>
      </w:r>
      <w:r>
        <w:rPr>
          <w:rStyle w:val="VerbatimChar"/>
        </w:rPr>
        <w:t xml:space="preserve">Race</w:t>
      </w:r>
      <w:r>
        <w:t xml:space="preserve"> </w:t>
      </w:r>
      <w:r>
        <w:t xml:space="preserve">and</w:t>
      </w:r>
      <w:r>
        <w:t xml:space="preserve"> </w:t>
      </w:r>
      <w:r>
        <w:rPr>
          <w:rStyle w:val="VerbatimChar"/>
        </w:rPr>
        <w:t xml:space="preserve">Region</w:t>
      </w:r>
      <w:r>
        <w:t xml:space="preserve"> </w:t>
      </w:r>
      <w:r>
        <w:t xml:space="preserve">in the models.</w:t>
      </w:r>
    </w:p>
    <w:p>
      <w:pPr>
        <w:pStyle w:val="BodyText"/>
      </w:pPr>
      <w:r>
        <w:t xml:space="preserve">Model comparison and relative goodness of fit of the various models used in this analysis was assessed using the Akaike information criterion (AIC).</w:t>
      </w:r>
    </w:p>
    <w:p>
      <w:pPr>
        <w:pStyle w:val="BodyText"/>
      </w:pPr>
      <w:r>
        <w:t xml:space="preserve">Moran’s</w:t>
      </w:r>
      <w:r>
        <w:t xml:space="preserve"> </w:t>
      </w:r>
      <w:r>
        <w:rPr>
          <w:iCs/>
          <w:i/>
        </w:rPr>
        <w:t xml:space="preserve">I</w:t>
      </w:r>
      <w:r>
        <w:t xml:space="preserve"> </w:t>
      </w:r>
      <w:r>
        <w:t xml:space="preserve">was computed to test the null hypothesis of spatial independence.</w:t>
      </w:r>
    </w:p>
    <w:bookmarkEnd w:id="35"/>
    <w:bookmarkEnd w:id="36"/>
    <w:bookmarkStart w:id="73" w:name="analysis"/>
    <w:p>
      <w:pPr>
        <w:pStyle w:val="Heading1"/>
      </w:pPr>
      <w:r>
        <w:t xml:space="preserve">5. Analysis</w:t>
      </w:r>
    </w:p>
    <w:bookmarkStart w:id="55" w:name="univariate-analysis"/>
    <w:p>
      <w:pPr>
        <w:pStyle w:val="Heading2"/>
      </w:pPr>
      <w:r>
        <w:t xml:space="preserve">5.1 Univariate analysis</w:t>
      </w:r>
    </w:p>
    <w:p>
      <w:pPr>
        <w:pStyle w:val="FirstParagraph"/>
      </w:pPr>
      <w:r>
        <w:t xml:space="preserve">Our primary outcome of interest was the Black-to-White HIV-related MRR, which was computed as described above.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935866" cy="1113182"/>
                  <wp:effectExtent b="0" l="0" r="0" t="0"/>
                  <wp:docPr descr="" title="" id="38" name="Picture"/>
                  <a:graphic>
                    <a:graphicData uri="http://schemas.openxmlformats.org/drawingml/2006/picture">
                      <pic:pic>
                        <pic:nvPicPr>
                          <pic:cNvPr descr="../../results/table1.png" id="39" name="Picture"/>
                          <pic:cNvPicPr>
                            <a:picLocks noChangeArrowheads="1" noChangeAspect="1"/>
                          </pic:cNvPicPr>
                        </pic:nvPicPr>
                        <pic:blipFill>
                          <a:blip r:embed="rId37"/>
                          <a:stretch>
                            <a:fillRect/>
                          </a:stretch>
                        </pic:blipFill>
                        <pic:spPr bwMode="auto">
                          <a:xfrm>
                            <a:off x="0" y="0"/>
                            <a:ext cx="2935866" cy="1113182"/>
                          </a:xfrm>
                          <a:prstGeom prst="rect">
                            <a:avLst/>
                          </a:prstGeom>
                          <a:noFill/>
                          <a:ln w="9525">
                            <a:noFill/>
                            <a:headEnd/>
                            <a:tailEnd/>
                          </a:ln>
                        </pic:spPr>
                      </pic:pic>
                    </a:graphicData>
                  </a:graphic>
                </wp:inline>
              </w:drawing>
            </w:r>
          </w:p>
          <w:p>
            <w:pPr>
              <w:jc w:val="center"/>
            </w:pPr>
            <w:pPr>
              <w:jc w:val="start"/>
              <w:spacing w:before="200"/>
              <w:pStyle w:val="ImageCaption"/>
            </w:pPr>
            <w:r>
              <w:t xml:space="preserve">Table 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733799"/>
                  <wp:effectExtent b="0" l="0" r="0" t="0"/>
                  <wp:docPr descr="" title="" id="41" name="Picture"/>
                  <a:graphic>
                    <a:graphicData uri="http://schemas.openxmlformats.org/drawingml/2006/picture">
                      <pic:pic>
                        <pic:nvPicPr>
                          <pic:cNvPr descr="../../results/MRR_hist.png" id="42" name="Picture"/>
                          <pic:cNvPicPr>
                            <a:picLocks noChangeArrowheads="1" noChangeAspect="1"/>
                          </pic:cNvPicPr>
                        </pic:nvPicPr>
                        <pic:blipFill>
                          <a:blip r:embed="rId40"/>
                          <a:stretch>
                            <a:fillRect/>
                          </a:stretch>
                        </pic:blipFill>
                        <pic:spPr bwMode="auto">
                          <a:xfrm>
                            <a:off x="0" y="0"/>
                            <a:ext cx="5334000" cy="37337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tc>
      </w:tr>
    </w:tbl>
    <w:p>
      <w:pPr>
        <w:pStyle w:val="BodyText"/>
      </w:pPr>
      <w:r>
        <w:t xml:space="preserve">Visual assessment (Figure 1) and Shapiro test were congruent that the distribution of Black-to-White HIV-related MRR in the US in 2020 followed a normal distribution (</w:t>
      </w:r>
      <w:r>
        <w:rPr>
          <w:iCs/>
          <w:i/>
        </w:rPr>
        <w:t xml:space="preserve">p</w:t>
      </w:r>
      <w:r>
        <w:t xml:space="preserve"> </w:t>
      </w:r>
      <w:r>
        <w:t xml:space="preserve">= 0.63). No normalizing transformation was needed. Below is the histogram of the our primary outcome variable, MRR.</w:t>
      </w:r>
    </w:p>
    <w:p>
      <w:pPr>
        <w:pStyle w:val="BodyText"/>
      </w:pPr>
      <w:r>
        <w:t xml:space="preserve">After verifying that the Black-to-White HIV-related MRR met assumptions of normality, I tested for spatial association of the Black-to-White MRR by computing Moran’s</w:t>
      </w:r>
      <w:r>
        <w:t xml:space="preserve"> </w:t>
      </w:r>
      <w:r>
        <w:rPr>
          <w:iCs/>
          <w:i/>
        </w:rPr>
        <w:t xml:space="preserve">I</w:t>
      </w:r>
      <w:r>
        <w:t xml:space="preserve"> </w:t>
      </w:r>
      <w:r>
        <w:t xml:space="preserve">(</w:t>
      </w:r>
      <w:r>
        <w:rPr>
          <w:rStyle w:val="VerbatimChar"/>
          <w:iCs/>
          <w:i/>
        </w:rPr>
        <w:t xml:space="preserve">I</w:t>
      </w:r>
      <w:r>
        <w:t xml:space="preserve"> </w:t>
      </w:r>
      <w:r>
        <w:rPr>
          <w:rStyle w:val="VerbatimChar"/>
        </w:rPr>
        <w:t xml:space="preserve">= 0.1507</w:t>
      </w:r>
      <w:r>
        <w:t xml:space="preserve">). For uncorrelated data, the expected value of Moran’s</w:t>
      </w:r>
      <w:r>
        <w:t xml:space="preserve"> </w:t>
      </w:r>
      <w:r>
        <w:rPr>
          <w:iCs/>
          <w:i/>
        </w:rPr>
        <w:t xml:space="preserve">I</w:t>
      </w:r>
      <w:r>
        <w:t xml:space="preserve"> </w:t>
      </w:r>
      <w:r>
        <w:t xml:space="preserve">was</w:t>
      </w:r>
      <w:r>
        <w:t xml:space="preserve"> </w:t>
      </w:r>
      <w:r>
        <w:rPr>
          <w:rStyle w:val="VerbatimChar"/>
        </w:rPr>
        <w:t xml:space="preserve">E(I) = - 0.0213</w:t>
      </w:r>
      <w:r>
        <w:t xml:space="preserve"> </w:t>
      </w:r>
      <w:r>
        <w:t xml:space="preserve">with a variance</w:t>
      </w:r>
      <w:r>
        <w:t xml:space="preserve"> </w:t>
      </w:r>
      <w:r>
        <w:rPr>
          <w:rStyle w:val="VerbatimChar"/>
        </w:rPr>
        <w:t xml:space="preserve">var(I) = 0.0095</w:t>
      </w:r>
      <w:r>
        <w:t xml:space="preserve">. The data showed statistically significant evidence of spatial dependence</w:t>
      </w:r>
      <w:r>
        <w:t xml:space="preserve"> </w:t>
      </w:r>
      <w:r>
        <w:rPr>
          <w:rStyle w:val="VerbatimChar"/>
        </w:rPr>
        <w:t xml:space="preserve">(z =1.768; p = 0.039)</w:t>
      </w:r>
      <w:r>
        <w:t xml:space="preserve">. Figure 2 shows a Moran’s scatter plot of spatially lagged Black-to-White HIV-related MRR and Black-to-White HIV-related MRR. The positive slope indicates that there is a degree of spatial clustering of the Black-to-White HIV-related MRR.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4" name="Picture"/>
                  <a:graphic>
                    <a:graphicData uri="http://schemas.openxmlformats.org/drawingml/2006/picture">
                      <pic:pic>
                        <pic:nvPicPr>
                          <pic:cNvPr descr="../../results/moran_mrr.pn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Moran’s Scatter Plot</w:t>
            </w:r>
          </w:p>
        </w:tc>
      </w:tr>
    </w:tbl>
    <w:p>
      <w:pPr>
        <w:pStyle w:val="BodyText"/>
      </w:pPr>
      <w:r>
        <w:t xml:space="preserve">Figure 3 and 4 show the raw HIV-related death rate by Race and State.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47" name="Picture"/>
                  <a:graphic>
                    <a:graphicData uri="http://schemas.openxmlformats.org/drawingml/2006/picture">
                      <pic:pic>
                        <pic:nvPicPr>
                          <pic:cNvPr descr="../../results/dr_state.png" id="48" name="Picture"/>
                          <pic:cNvPicPr>
                            <a:picLocks noChangeArrowheads="1" noChangeAspect="1"/>
                          </pic:cNvPicPr>
                        </pic:nvPicPr>
                        <pic:blipFill>
                          <a:blip r:embed="rId46"/>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Bargraph of Raw HIV-Related Death Rates by Race by State, 2020, United States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50" name="Picture"/>
                  <a:graphic>
                    <a:graphicData uri="http://schemas.openxmlformats.org/drawingml/2006/picture">
                      <pic:pic>
                        <pic:nvPicPr>
                          <pic:cNvPr descr="../../results/dr_region.png" id="51"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 of HIV-Related Death by Race by Region, 2020, United States</w:t>
            </w:r>
          </w:p>
        </w:tc>
      </w:tr>
    </w:tbl>
    <w:p>
      <w:pPr>
        <w:pStyle w:val="BodyText"/>
      </w:pPr>
      <w:r>
        <w:t xml:space="preserve">Figure 5 compares the raw HIV-related death rate by Race and Region. These plots again show distinct disparities between rate of HIV-related death by race. Additionally, there is evidence of disparities in HIV-related death rate by region for Black persons.</w:t>
      </w:r>
    </w:p>
    <w:p>
      <w:pPr>
        <w:pStyle w:val="BodyText"/>
      </w:pPr>
      <w:r>
        <w:t xml:space="preserve">Table 2 shows maps of selected predictors in the United States in 2020. We can see that the</w:t>
      </w:r>
      <w:r>
        <w:t xml:space="preserve"> </w:t>
      </w:r>
      <w:r>
        <w:rPr>
          <w:rStyle w:val="VerbatimChar"/>
        </w:rPr>
        <w:t xml:space="preserve">Gini Coefficient</w:t>
      </w:r>
      <w:r>
        <w:t xml:space="preserve"> </w:t>
      </w:r>
      <w:r>
        <w:t xml:space="preserve">was generally higher in Southern half of the country, indicating a greater degree of income inequality.</w:t>
      </w:r>
      <w:r>
        <w:t xml:space="preserve"> </w:t>
      </w:r>
      <w:r>
        <w:rPr>
          <w:rStyle w:val="VerbatimChar"/>
        </w:rPr>
        <w:t xml:space="preserve">Percent Uninsured Under 65 Years Old</w:t>
      </w:r>
      <w:r>
        <w:t xml:space="preserve"> </w:t>
      </w:r>
      <w:r>
        <w:t xml:space="preserve">was highest in Texas, with the South and non-coastal Western states also appearing to have higher rates of uninsured.</w:t>
      </w:r>
      <w:r>
        <w:t xml:space="preserve"> </w:t>
      </w:r>
      <w:r>
        <w:rPr>
          <w:rStyle w:val="VerbatimChar"/>
        </w:rPr>
        <w:t xml:space="preserve">Percent Without an Internet Subscription</w:t>
      </w:r>
      <w:r>
        <w:t xml:space="preserve"> </w:t>
      </w:r>
      <w:r>
        <w:t xml:space="preserve">was generally low through the United States, however, Wyoming had the highest percent without Internet subscription.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849090"/>
                  <wp:effectExtent b="0" l="0" r="0" t="0"/>
                  <wp:docPr descr="" title="" id="53" name="Picture"/>
                  <a:graphic>
                    <a:graphicData uri="http://schemas.openxmlformats.org/drawingml/2006/picture">
                      <pic:pic>
                        <pic:nvPicPr>
                          <pic:cNvPr descr="../../results/grid_map.png" id="54" name="Picture"/>
                          <pic:cNvPicPr>
                            <a:picLocks noChangeArrowheads="1" noChangeAspect="1"/>
                          </pic:cNvPicPr>
                        </pic:nvPicPr>
                        <pic:blipFill>
                          <a:blip r:embed="rId52"/>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Table 2</w:t>
            </w:r>
          </w:p>
        </w:tc>
      </w:tr>
    </w:tbl>
    <w:bookmarkEnd w:id="55"/>
    <w:bookmarkStart w:id="62" w:name="Xfa3aa92c3e456c1e05a734b051de344f4bf65cc"/>
    <w:p>
      <w:pPr>
        <w:pStyle w:val="Heading2"/>
      </w:pPr>
      <w:r>
        <w:t xml:space="preserve">5.2 Bivariate Analysis and Principal Component Analysis</w:t>
      </w:r>
    </w:p>
    <w:p>
      <w:pPr>
        <w:pStyle w:val="FirstParagraph"/>
      </w:pPr>
      <w:r>
        <w:t xml:space="preserve">To narrow down potential predictors to include in later models, I first started by performing simple linear regression models of MRR vs one of the possible predictors. Variables that had a correlation coefficient of |0.15| or more were then selected as possible variables for analysis. These possible predictors were then scaled and principal component analysis (PCA) was performed.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7" name="Picture"/>
                  <a:graphic>
                    <a:graphicData uri="http://schemas.openxmlformats.org/drawingml/2006/picture">
                      <pic:pic>
                        <pic:nvPicPr>
                          <pic:cNvPr descr="../../results/grid_bivar.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2. Simple Linear Regression between Outcome and Individual Predictors</w:t>
            </w:r>
          </w:p>
        </w:tc>
      </w:tr>
    </w:tbl>
    <w:p>
      <w:pPr>
        <w:pStyle w:val="BodyText"/>
      </w:pPr>
      <w:r>
        <w:t xml:space="preserve">Table 3. shows the plot from the bivariate analysis of predictors that were scaled and included in the PCA. Table 3 shows the results of PCA.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0" name="Picture"/>
                  <a:graphic>
                    <a:graphicData uri="http://schemas.openxmlformats.org/drawingml/2006/picture">
                      <pic:pic>
                        <pic:nvPicPr>
                          <pic:cNvPr descr="../../results/grid_pca.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3</w:t>
            </w:r>
          </w:p>
        </w:tc>
      </w:tr>
    </w:tbl>
    <w:p>
      <w:pPr>
        <w:pStyle w:val="BodyText"/>
      </w:pPr>
      <w:r>
        <w:t xml:space="preserve">Results of the PCA shows that the first principal component contributed for 91.7 % of variation between predictors. The variables</w:t>
      </w:r>
      <w:r>
        <w:t xml:space="preserve"> </w:t>
      </w:r>
      <w:r>
        <w:rPr>
          <w:rStyle w:val="VerbatimChar"/>
        </w:rPr>
        <w:t xml:space="preserve">Percent Uninsured Under 65 Years Old</w:t>
      </w:r>
      <w:r>
        <w:t xml:space="preserve"> </w:t>
      </w:r>
      <w:r>
        <w:t xml:space="preserve">explained the least amountof variation. Ultimately, only</w:t>
      </w:r>
      <w:r>
        <w:t xml:space="preserve"> </w:t>
      </w:r>
      <w:r>
        <w:rPr>
          <w:rStyle w:val="VerbatimChar"/>
        </w:rPr>
        <w:t xml:space="preserve">Median Household Income</w:t>
      </w:r>
      <w:r>
        <w:t xml:space="preserve">,</w:t>
      </w:r>
      <w:r>
        <w:t xml:space="preserve"> </w:t>
      </w:r>
      <w:r>
        <w:rPr>
          <w:rStyle w:val="VerbatimChar"/>
        </w:rPr>
        <w:t xml:space="preserve">Percent Living in Poverty</w:t>
      </w:r>
      <w:r>
        <w:t xml:space="preserve">,</w:t>
      </w:r>
      <w:r>
        <w:t xml:space="preserve"> </w:t>
      </w:r>
      <w:r>
        <w:rPr>
          <w:rStyle w:val="VerbatimChar"/>
        </w:rPr>
        <w:t xml:space="preserve">Percent Living with Food Insecurity</w:t>
      </w:r>
      <w:r>
        <w:t xml:space="preserve">, and</w:t>
      </w:r>
      <w:r>
        <w:t xml:space="preserve"> </w:t>
      </w:r>
      <w:r>
        <w:rPr>
          <w:rStyle w:val="VerbatimChar"/>
        </w:rPr>
        <w:t xml:space="preserve">Percent Without an Internet Subscription</w:t>
      </w:r>
      <w:r>
        <w:t xml:space="preserve"> </w:t>
      </w:r>
      <w:r>
        <w:t xml:space="preserve">were included as predictors in the full model.</w:t>
      </w:r>
    </w:p>
    <w:bookmarkEnd w:id="62"/>
    <w:bookmarkStart w:id="72"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64" name="Picture"/>
                  <a:graphic>
                    <a:graphicData uri="http://schemas.openxmlformats.org/drawingml/2006/picture">
                      <pic:pic>
                        <pic:nvPicPr>
                          <pic:cNvPr descr="../../results/car_fit_map.png" id="65"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67" name="Picture"/>
                  <a:graphic>
                    <a:graphicData uri="http://schemas.openxmlformats.org/drawingml/2006/picture">
                      <pic:pic>
                        <pic:nvPicPr>
                          <pic:cNvPr descr="../../results/mult_fit_map.png" id="68"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Figure.5</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0" name="Picture"/>
                  <a:graphic>
                    <a:graphicData uri="http://schemas.openxmlformats.org/drawingml/2006/picture">
                      <pic:pic>
                        <pic:nvPicPr>
                          <pic:cNvPr descr="../../results/grid_pred.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Figure.6</w:t>
            </w:r>
          </w:p>
        </w:tc>
      </w:tr>
    </w:tbl>
    <w:p>
      <w:pPr>
        <w:pStyle w:val="BodyText"/>
      </w:pPr>
      <w:r>
        <w:t xml:space="preserve">The CAR model accounting for spatial variation only performed marginally better than the GLM model that did not account for spatial variation.</w:t>
      </w:r>
    </w:p>
    <w:p>
      <w:r>
        <w:br w:type="page"/>
      </w:r>
    </w:p>
    <w:bookmarkEnd w:id="72"/>
    <w:bookmarkEnd w:id="73"/>
    <w:bookmarkStart w:id="76" w:name="discussion"/>
    <w:p>
      <w:pPr>
        <w:pStyle w:val="Heading1"/>
      </w:pPr>
      <w:r>
        <w:t xml:space="preserve">6. Discussion</w:t>
      </w:r>
    </w:p>
    <w:bookmarkStart w:id="74"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74"/>
    <w:bookmarkStart w:id="75"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75"/>
    <w:bookmarkEnd w:id="76"/>
    <w:bookmarkStart w:id="79"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7">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Start w:id="78" w:name="software"/>
    <w:p>
      <w:pPr>
        <w:pStyle w:val="Heading2"/>
      </w:pPr>
      <w:r>
        <w:t xml:space="preserve">7.1 Software</w:t>
      </w:r>
    </w:p>
    <w:p>
      <w:pPr>
        <w:pStyle w:val="SourceCode"/>
      </w:pPr>
      <w:r>
        <w:rPr>
          <w:rStyle w:val="FunctionTok"/>
        </w:rPr>
        <w:t xml:space="preserve">sessionInfo</w:t>
      </w:r>
      <w:r>
        <w:rPr>
          <w:rStyle w:val="NormalTok"/>
        </w:rPr>
        <w:t xml:space="preserve">() </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tidyselect_1.2.0  xfun_0.37         colorspace_2.1-0  vctrs_0.5.2      </w:t>
      </w:r>
      <w:r>
        <w:br/>
      </w:r>
      <w:r>
        <w:rPr>
          <w:rStyle w:val="VerbatimChar"/>
        </w:rPr>
        <w:t xml:space="preserve"> [5] generics_0.1.3    htmltools_0.5.4   viridisLite_0.4.1 yaml_2.3.7       </w:t>
      </w:r>
      <w:r>
        <w:br/>
      </w:r>
      <w:r>
        <w:rPr>
          <w:rStyle w:val="VerbatimChar"/>
        </w:rPr>
        <w:t xml:space="preserve"> [9] utf8_1.2.3        rlang_1.1.0       pillar_1.8.1      glue_1.6.2       </w:t>
      </w:r>
      <w:r>
        <w:br/>
      </w:r>
      <w:r>
        <w:rPr>
          <w:rStyle w:val="VerbatimChar"/>
        </w:rPr>
        <w:t xml:space="preserve">[13] withr_2.5.0       lifecycle_1.0.3   munsell_0.5.0     gtable_0.3.1     </w:t>
      </w:r>
      <w:r>
        <w:br/>
      </w:r>
      <w:r>
        <w:rPr>
          <w:rStyle w:val="VerbatimChar"/>
        </w:rPr>
        <w:t xml:space="preserve">[17] cellranger_1.1.0  rvest_1.0.3       evaluate_0.20     tzdb_0.3.0       </w:t>
      </w:r>
      <w:r>
        <w:br/>
      </w:r>
      <w:r>
        <w:rPr>
          <w:rStyle w:val="VerbatimChar"/>
        </w:rPr>
        <w:t xml:space="preserve">[21] fastmap_1.1.1     fansi_1.0.4       scales_1.2.1      webshot_0.5.4    </w:t>
      </w:r>
      <w:r>
        <w:br/>
      </w:r>
      <w:r>
        <w:rPr>
          <w:rStyle w:val="VerbatimChar"/>
        </w:rPr>
        <w:t xml:space="preserve">[25] jsonlite_1.8.4    systemfonts_1.0.4 hms_1.1.2         png_0.1-8        </w:t>
      </w:r>
      <w:r>
        <w:br/>
      </w:r>
      <w:r>
        <w:rPr>
          <w:rStyle w:val="VerbatimChar"/>
        </w:rPr>
        <w:t xml:space="preserve">[29] digest_0.6.31     stringi_1.7.12    grid_4.2.1        rprojroot_2.0.3  </w:t>
      </w:r>
      <w:r>
        <w:br/>
      </w:r>
      <w:r>
        <w:rPr>
          <w:rStyle w:val="VerbatimChar"/>
        </w:rPr>
        <w:t xml:space="preserve">[33] cli_3.6.0         tools_4.2.1       magrittr_2.0.3    pkgconfig_2.0.3  </w:t>
      </w:r>
      <w:r>
        <w:br/>
      </w:r>
      <w:r>
        <w:rPr>
          <w:rStyle w:val="VerbatimChar"/>
        </w:rPr>
        <w:t xml:space="preserve">[37] ellipsis_0.3.2    xml2_1.3.3        timechange_0.2.0  rmarkdown_2.20   </w:t>
      </w:r>
      <w:r>
        <w:br/>
      </w:r>
      <w:r>
        <w:rPr>
          <w:rStyle w:val="VerbatimChar"/>
        </w:rPr>
        <w:t xml:space="preserve">[41] svglite_2.1.1     httr_1.4.5        rstudioapi_0.14   R6_2.5.1         </w:t>
      </w:r>
      <w:r>
        <w:br/>
      </w:r>
      <w:r>
        <w:rPr>
          <w:rStyle w:val="VerbatimChar"/>
        </w:rPr>
        <w:t xml:space="preserve">[45] compiler_4.2.1   </w:t>
      </w:r>
    </w:p>
    <w:p>
      <w:r>
        <w:br w:type="page"/>
      </w:r>
    </w:p>
    <w:bookmarkEnd w:id="78"/>
    <w:bookmarkEnd w:id="79"/>
    <w:bookmarkStart w:id="86" w:name="references"/>
    <w:p>
      <w:pPr>
        <w:pStyle w:val="Heading1"/>
      </w:pPr>
      <w:r>
        <w:t xml:space="preserve">8. References</w:t>
      </w:r>
    </w:p>
    <w:bookmarkStart w:id="85" w:name="refs"/>
    <w:bookmarkStart w:id="80" w:name="ref-AIDSVuDatasetsIncludes"/>
    <w:p>
      <w:pPr>
        <w:pStyle w:val="Bibliography"/>
      </w:pPr>
      <w:r>
        <w:rPr>
          <w:iCs/>
          <w:i/>
        </w:rPr>
        <w:t xml:space="preserve">AIDSVu</w:t>
      </w:r>
      <w:r>
        <w:rPr>
          <w:iCs/>
          <w:i/>
        </w:rPr>
        <w:t xml:space="preserve"> </w:t>
      </w:r>
      <w:r>
        <w:rPr>
          <w:iCs/>
          <w:i/>
        </w:rPr>
        <w:t xml:space="preserve">datasets.</w:t>
      </w:r>
      <w:r>
        <w:rPr>
          <w:iCs/>
          <w:i/>
        </w:rPr>
        <w:t xml:space="preserve"> </w:t>
      </w:r>
      <w:r>
        <w:rPr>
          <w:iCs/>
          <w:i/>
        </w:rPr>
        <w:t xml:space="preserve">Includes</w:t>
      </w:r>
      <w:r>
        <w:rPr>
          <w:iCs/>
          <w:i/>
        </w:rPr>
        <w:t xml:space="preserve">: 2020</w:t>
      </w:r>
      <w:r>
        <w:rPr>
          <w:iCs/>
          <w:i/>
        </w:rPr>
        <w:t xml:space="preserve"> </w:t>
      </w:r>
      <w:r>
        <w:rPr>
          <w:iCs/>
          <w:i/>
        </w:rPr>
        <w:t xml:space="preserve">State Mortality</w:t>
      </w:r>
      <w:r>
        <w:rPr>
          <w:iCs/>
          <w:i/>
        </w:rPr>
        <w:t xml:space="preserve">, 2020</w:t>
      </w:r>
      <w:r>
        <w:rPr>
          <w:iCs/>
          <w:i/>
        </w:rPr>
        <w:t xml:space="preserve"> </w:t>
      </w:r>
      <w:r>
        <w:rPr>
          <w:iCs/>
          <w:i/>
        </w:rPr>
        <w:t xml:space="preserve">State Prevalence</w:t>
      </w:r>
      <w:r>
        <w:rPr>
          <w:iCs/>
          <w:i/>
        </w:rPr>
        <w:t xml:space="preserve">, 2020</w:t>
      </w:r>
      <w:r>
        <w:rPr>
          <w:iCs/>
          <w:i/>
        </w:rPr>
        <w:t xml:space="preserve"> </w:t>
      </w:r>
      <w:r>
        <w:rPr>
          <w:iCs/>
          <w:i/>
        </w:rPr>
        <w:t xml:space="preserve">State SDOH</w:t>
      </w:r>
      <w:r>
        <w:rPr>
          <w:iCs/>
          <w:i/>
        </w:rPr>
        <w:t xml:space="preserve">, 2020</w:t>
      </w:r>
      <w:r>
        <w:rPr>
          <w:iCs/>
          <w:i/>
        </w:rPr>
        <w:t xml:space="preserve"> </w:t>
      </w:r>
      <w:r>
        <w:rPr>
          <w:iCs/>
          <w:i/>
        </w:rPr>
        <w:t xml:space="preserve">Viral Suppression</w:t>
      </w:r>
      <w:r>
        <w:rPr>
          <w:iCs/>
          <w:i/>
        </w:rPr>
        <w:t xml:space="preserve">, 2020</w:t>
      </w:r>
      <w:r>
        <w:rPr>
          <w:iCs/>
          <w:i/>
        </w:rPr>
        <w:t xml:space="preserve"> </w:t>
      </w:r>
      <w:r>
        <w:rPr>
          <w:iCs/>
          <w:i/>
        </w:rPr>
        <w:t xml:space="preserve">State New Diagnoses</w:t>
      </w:r>
      <w:r>
        <w:rPr>
          <w:iCs/>
          <w:i/>
        </w:rPr>
        <w:t xml:space="preserve">, 2020</w:t>
      </w:r>
      <w:r>
        <w:rPr>
          <w:iCs/>
          <w:i/>
        </w:rPr>
        <w:t xml:space="preserve"> </w:t>
      </w:r>
      <w:r>
        <w:rPr>
          <w:iCs/>
          <w:i/>
        </w:rPr>
        <w:t xml:space="preserve">State Late Diagnoses</w:t>
      </w:r>
      <w:r>
        <w:rPr>
          <w:iCs/>
          <w:i/>
        </w:rPr>
        <w:t xml:space="preserve">, and 2020</w:t>
      </w:r>
      <w:r>
        <w:rPr>
          <w:iCs/>
          <w:i/>
        </w:rPr>
        <w:t xml:space="preserve"> </w:t>
      </w:r>
      <w:r>
        <w:rPr>
          <w:iCs/>
          <w:i/>
        </w:rPr>
        <w:t xml:space="preserve">State Receipt</w:t>
      </w:r>
      <w:r>
        <w:rPr>
          <w:iCs/>
          <w:i/>
        </w:rPr>
        <w:t xml:space="preserve"> </w:t>
      </w:r>
      <w:r>
        <w:rPr>
          <w:iCs/>
          <w:i/>
        </w:rPr>
        <w:t xml:space="preserve">of</w:t>
      </w:r>
      <w:r>
        <w:rPr>
          <w:iCs/>
          <w:i/>
        </w:rPr>
        <w:t xml:space="preserve"> </w:t>
      </w:r>
      <w:r>
        <w:rPr>
          <w:iCs/>
          <w:i/>
        </w:rPr>
        <w:t xml:space="preserve">Care</w:t>
      </w:r>
      <w:r>
        <w:t xml:space="preserve">. (n.d.).</w:t>
      </w:r>
      <w:r>
        <w:t xml:space="preserve"> </w:t>
      </w:r>
      <w:r>
        <w:t xml:space="preserve">Emory University’s Rollins School of Public Health, Gilead Sciences, Inc. and the Center for AIDS Research at Emory University (CFAR)</w:t>
      </w:r>
      <w:r>
        <w:t xml:space="preserve">.</w:t>
      </w:r>
    </w:p>
    <w:bookmarkEnd w:id="80"/>
    <w:bookmarkStart w:id="81" w:name="ref-jun07HIVAIDSEpidemic2021"/>
    <w:p>
      <w:pPr>
        <w:pStyle w:val="Bibliography"/>
      </w:pPr>
      <w:r>
        <w:t xml:space="preserve">Jun 07, P., &amp; 2021. (2021). The</w:t>
      </w:r>
      <w:r>
        <w:t xml:space="preserve"> </w:t>
      </w:r>
      <w:r>
        <w:t xml:space="preserve">HIV</w:t>
      </w:r>
      <w:r>
        <w:t xml:space="preserve">/</w:t>
      </w:r>
      <w:r>
        <w:t xml:space="preserve">AIDS Epidemic</w:t>
      </w:r>
      <w:r>
        <w:t xml:space="preserve"> </w:t>
      </w:r>
      <w:r>
        <w:t xml:space="preserve">in the</w:t>
      </w:r>
      <w:r>
        <w:t xml:space="preserve"> </w:t>
      </w:r>
      <w:r>
        <w:t xml:space="preserve">United States</w:t>
      </w:r>
      <w:r>
        <w:t xml:space="preserve">:</w:t>
      </w:r>
      <w:r>
        <w:t xml:space="preserve"> </w:t>
      </w:r>
      <w:r>
        <w:t xml:space="preserve">The Basics</w:t>
      </w:r>
      <w:r>
        <w:t xml:space="preserve">.</w:t>
      </w:r>
    </w:p>
    <w:bookmarkEnd w:id="81"/>
    <w:bookmarkStart w:id="82" w:name="ref-KIDSCOUNTData"/>
    <w:p>
      <w:pPr>
        <w:pStyle w:val="Bibliography"/>
      </w:pP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 https://datacenter.kidscount.org/.</w:t>
      </w:r>
    </w:p>
    <w:bookmarkEnd w:id="82"/>
    <w:bookmarkStart w:id="83" w:name="ref-ubikuity2022"/>
    <w:p>
      <w:pPr>
        <w:pStyle w:val="Bibliography"/>
      </w:pPr>
      <w:r>
        <w:t xml:space="preserve">Ubikuity. (2022).</w:t>
      </w:r>
      <w:r>
        <w:t xml:space="preserve"> </w:t>
      </w:r>
      <w:r>
        <w:rPr>
          <w:iCs/>
          <w:i/>
        </w:rPr>
        <w:t xml:space="preserve">List-of-neighboring-states-for-each-US-state</w:t>
      </w:r>
      <w:r>
        <w:t xml:space="preserve">. Retrieved from</w:t>
      </w:r>
      <w:r>
        <w:t xml:space="preserve"> </w:t>
      </w:r>
      <w:hyperlink r:id="rId28">
        <w:r>
          <w:rPr>
            <w:rStyle w:val="Hyperlink"/>
          </w:rPr>
          <w:t xml:space="preserve">https://github.com/ubikuity/List-of-neighboring-states-for-each-US-state</w:t>
        </w:r>
      </w:hyperlink>
    </w:p>
    <w:bookmarkEnd w:id="83"/>
    <w:bookmarkStart w:id="84" w:name="ref-USCensusBureau"/>
    <w:p>
      <w:pPr>
        <w:pStyle w:val="Bibliography"/>
      </w:pPr>
      <w:r>
        <w:t xml:space="preserve">US Census Bureau</w:t>
      </w:r>
      <w:r>
        <w:t xml:space="preserve">. (n.d.). https://data.census.gov/.</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37" Target="media/rId37.png" /><Relationship Type="http://schemas.openxmlformats.org/officeDocument/2006/relationships/hyperlink" Id="rId26" Target="https://datacenter.kidscount.org/" TargetMode="External" /><Relationship Type="http://schemas.openxmlformats.org/officeDocument/2006/relationships/hyperlink" Id="rId28" Target="https://github.com/ubikuity/List-of-neighboring-states-for-each-US-state" TargetMode="External" /><Relationship Type="http://schemas.openxmlformats.org/officeDocument/2006/relationships/hyperlink" Id="rId7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6" Target="https://datacenter.kidscount.org/" TargetMode="External" /><Relationship Type="http://schemas.openxmlformats.org/officeDocument/2006/relationships/hyperlink" Id="rId28" Target="https://github.com/ubikuity/List-of-neighboring-states-for-each-US-state" TargetMode="External" /><Relationship Type="http://schemas.openxmlformats.org/officeDocument/2006/relationships/hyperlink" Id="rId7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2023-04-30T15:03:24Z</dcterms:created>
  <dcterms:modified xsi:type="dcterms:W3CDTF">2023-04-30T15:03:24Z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4/30/23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