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158" w:before="315" w:line="240" w:lineRule="auto"/>
        <w:jc w:val="center"/>
        <w:rPr>
          <w:color w:val="222222"/>
          <w:sz w:val="96"/>
          <w:szCs w:val="96"/>
        </w:rPr>
      </w:pPr>
      <w:r w:rsidDel="00000000" w:rsidR="00000000" w:rsidRPr="00000000">
        <w:rPr>
          <w:color w:val="222222"/>
          <w:sz w:val="96"/>
          <w:szCs w:val="96"/>
          <w:rtl w:val="0"/>
        </w:rPr>
        <w:t xml:space="preserve">OMDb API</w:t>
      </w:r>
    </w:p>
    <w:p w:rsidR="00000000" w:rsidDel="00000000" w:rsidP="00000000" w:rsidRDefault="00000000" w:rsidRPr="00000000" w14:paraId="00000002">
      <w:pPr>
        <w:shd w:fill="ffffff" w:val="clear"/>
        <w:spacing w:after="315" w:line="240" w:lineRule="auto"/>
        <w:jc w:val="center"/>
        <w:rPr>
          <w:color w:val="6f6f6f"/>
          <w:sz w:val="34"/>
          <w:szCs w:val="34"/>
        </w:rPr>
      </w:pPr>
      <w:r w:rsidDel="00000000" w:rsidR="00000000" w:rsidRPr="00000000">
        <w:rPr>
          <w:color w:val="6f6f6f"/>
          <w:sz w:val="34"/>
          <w:szCs w:val="34"/>
          <w:rtl w:val="0"/>
        </w:rPr>
        <w:t xml:space="preserve">The Open Movie Database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http://www.omdbapi.com/</w:t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OMDb API-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ն վեբ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ծառայություն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է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որը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հասանելի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է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ֆիլմային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տեղեկատվություն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ստանալու համար</w:t>
      </w:r>
      <w:r w:rsidDel="00000000" w:rsidR="00000000" w:rsidRPr="00000000">
        <w:rPr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Կայքի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ամբողջ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բովանդակությունն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ու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պատկերները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պահպանվում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են բաժանորդների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կողմից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Համակարգը հարցումը ստանում է URL-ի միջոցով և արդյունքը վերադարձնում է JSON ֆորմատով: </w:t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Օգտագործումը</w:t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Ծրագրի աշխատանքի համար անհրաժեշտ է API Key (բանալի) , որը կարելի է ստանալ՝ գրանցվելով կայքում: Ամեն անգամ հարցում ուղարկելիս հարկավոր է Key-ը կցել հարցմանը: </w:t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4050" cy="3556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5503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Պարամետրեր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Հարցումները կարելի է ուղարկել տարբեր պարամետրերով` արդյունքը ավելի հստակ դարձնելու համար: Պարամետրերը կարելի է տեսակավորել ըստ ID-ի, անվան և հարցումի: Դրանք նույնպես կցվում են URL-ին, և ծրագիրը պահանջում է առնվազն 1 պարամետր:</w:t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i w:val="1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Ըստ ID-ի կամ անվան.</w:t>
      </w:r>
    </w:p>
    <w:p w:rsidR="00000000" w:rsidDel="00000000" w:rsidP="00000000" w:rsidRDefault="00000000" w:rsidRPr="00000000" w14:paraId="00000011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4050" cy="160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i w:val="1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Ըստ հարցումի.</w:t>
      </w:r>
    </w:p>
    <w:p w:rsidR="00000000" w:rsidDel="00000000" w:rsidP="00000000" w:rsidRDefault="00000000" w:rsidRPr="00000000" w14:paraId="00000015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4050" cy="1422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Օրինակներ</w:t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Հարցումը-The Social Network</w:t>
      </w:r>
    </w:p>
    <w:p w:rsidR="00000000" w:rsidDel="00000000" w:rsidP="00000000" w:rsidRDefault="00000000" w:rsidRPr="00000000" w14:paraId="0000001A">
      <w:pPr>
        <w:spacing w:after="160" w:line="259" w:lineRule="auto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Հղումը (URL)-</w:t>
      </w:r>
      <w:r w:rsidDel="00000000" w:rsidR="00000000" w:rsidRPr="00000000">
        <w:rPr>
          <w:sz w:val="32"/>
          <w:szCs w:val="32"/>
          <w:rtl w:val="0"/>
        </w:rPr>
        <w:t xml:space="preserve">http://www.omdbapi.com/?t=The+Social+Network</w:t>
      </w:r>
    </w:p>
    <w:p w:rsidR="00000000" w:rsidDel="00000000" w:rsidP="00000000" w:rsidRDefault="00000000" w:rsidRPr="00000000" w14:paraId="0000001B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Արդյունքը</w:t>
      </w:r>
    </w:p>
    <w:p w:rsidR="00000000" w:rsidDel="00000000" w:rsidP="00000000" w:rsidRDefault="00000000" w:rsidRPr="00000000" w14:paraId="0000001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4050" cy="13843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i w:val="1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Կամ</w:t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i w:val="1"/>
        </w:rPr>
        <w:drawing>
          <wp:inline distB="0" distT="0" distL="0" distR="0">
            <wp:extent cx="3012375" cy="3974647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67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2375" cy="3974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y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