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1F3864"/>
          <w:sz w:val="44"/>
          <w:szCs w:val="44"/>
        </w:rPr>
        <w:t xml:space="preserve">Seren — Biological-Age (“Heart Age”) Model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Predicting physiological age from wearable HRV, linked to stress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Graduation project (Data Science &amp; AI) · June 2026</w:t>
      </w:r>
    </w:p>
    <w:p>
      <w:pPr>
        <w:jc w:val="center"/>
      </w:pPr>
      <w:r>
        <w:rPr>
          <w:i/>
          <w:iCs/>
          <w:color w:val="2E75B6"/>
          <w:sz w:val="24"/>
          <w:szCs w:val="24"/>
        </w:rPr>
        <w:t xml:space="preserve">Headline: AA LOSO MAE 7.6 yrs, r 0.68 · cross-dataset young/old AUC 0.94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report documents Seren's biological-age (“heart age”) model: it predicts physiological age from wearable heart-rate-variability (HRV) and reports an age-gap (predicted − chronological). A positive gap means the body looks older than its years — a state accelerated by chronic stress and poor recovery. The age-gap is the headline metric that unifies the app's stress, sleep, and recovery signals. It is a wellness/screening estimate, not a clinical diagnosis.</w:t>
      </w:r>
    </w:p>
    <w:p>
      <w:pPr>
        <w:spacing w:after="120"/>
      </w:pPr>
      <w:r>
        <w:t xml:space="preserve">Biological age was chosen as the final wearable model because, unlike fatigue and trait anxiety (which proved unlearnable from wrist HRV), age has a strong, universal physiological signature — so the model genuinely works and generalizes.</w:t>
      </w:r>
    </w:p>
    <w:p>
      <w:pPr>
        <w:pStyle w:val="Heading1"/>
      </w:pPr>
      <w:r>
        <w:t xml:space="preserve">2.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360"/>
        <w:gridCol w:w="30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Dataset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Subjects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Signal / label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PhysioNet Autonomic Aging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1,095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ECG → RR → HRV ; age group (15 bins → midpoint)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PhysioNet Fantasia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ECG + beat annotations ; exact age (21–34, 68–85)</w:t>
            </w:r>
          </w:p>
        </w:tc>
      </w:tr>
    </w:tbl>
    <w:p>
      <w:pPr>
        <w:pStyle w:val="Heading1"/>
      </w:pPr>
      <w:r>
        <w:t xml:space="preserve">3. Method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ECG → R-peaks (Pan–Tompkins; ECG downsampled to 250 Hz) → RR → 14 HRV features (shared with the stress/focus extractor) — the same features the watch computes from PPG.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Subject-aggregate: median of a subject's 120 s windows (age is a stable trait).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GLOBAL normalization (NOT per-user) — age is between-subject, so per-user z-scoring would erase the signal.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XGBoost regressor (depth 3, 400 trees, lr 0.03), exported to a pure-TypeScript decision tree for on-device inference (verified to reproduce the trainer within 0.0001 yr).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On-device: aggregate recent windows (median) → global-normalize → predict age → age-gap vs the user's chronological age.</w:t>
      </w:r>
    </w:p>
    <w:p>
      <w:pPr>
        <w:pStyle w:val="Heading1"/>
      </w:pPr>
      <w:r>
        <w:t xml:space="preserve">4.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MAE (yrs)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R² / AUC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Autonomic Aging — 10-fold subject-level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7.58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0.68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0.46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Fantasia — within-dataset LOSO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10.95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0.64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Cross-dataset AA→Fantasia (young vs old)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AUC 0.94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Cross-dataset AA→Fantasia (absolute age)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0.77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Read: </w:t>
      </w:r>
      <w:r>
        <w:t xml:space="preserve">within-population the model is literature-grade (MAE 7.6 yrs); young-vs-old discrimination generalizes strongly across device and population (AUC 0.94). The absolute cross-dataset MAE (≈15 yrs) is inflated because the model under-predicts the elderly on Fantasia (young predicted 29 vs true 28; old predicted ~50 vs true 76) — the ranking transfers, the absolute calibration for old ages does not (device + coarse age-group labels + Fantasia's bimodal ages). Deployment surfaces the relative age-gap and recalibrates per device.</w:t>
      </w:r>
    </w:p>
    <w:p>
      <w:pPr>
        <w:pStyle w:val="Heading2"/>
      </w:pPr>
      <w:r>
        <w:t xml:space="preserve">4.1 Comparison with published results (same dataset /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300"/>
        <w:gridCol w:w="1100"/>
        <w:gridCol w:w="3400"/>
      </w:tblGrid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MAE (yrs)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Signal / features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Schumann et al. 2023 (same dataset)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 indices incl. continuous BP, baroreflex, QT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Attia et al. (deep ECG-age)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raw 12-lead ECG (black-box)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Strodthoff et al.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6.86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raw 12-lead ECG (black-box)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Ours (Seren)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7.58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0.68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 HRV features — watch-deployable, interpretable</w:t>
            </w:r>
          </w:p>
        </w:tc>
      </w:tr>
    </w:tbl>
    <w:p>
      <w:pPr>
        <w:spacing w:after="120"/>
      </w:pPr>
      <w:r>
        <w:t xml:space="preserve">Our model trails the best published result on the same dataset (Schumann et al., MAE 5.6 yrs) by ~2 years, and raw-ECG deep-learning age models (Attia/Strodthoff, ~6.9 yrs) by ~0.7 year. But those approaches require signals a watch does not provide — continuous blood pressure, baroreflex function, and 12-lead ECG — or are black-box deep nets on raw ECG. Ours uses only 14 watch-available HRV features in an interpretable on-device tree model. The result is a modest accuracy cost in exchange for consumer-wearable deployability and explainability — a deliberate, defensible trade.</w:t>
      </w:r>
    </w:p>
    <w:p>
      <w:pPr>
        <w:pStyle w:val="Heading1"/>
      </w:pPr>
      <w:r>
        <w:t xml:space="preserve">5. Mental-health link</w:t>
      </w:r>
    </w:p>
    <w:p>
      <w:pPr>
        <w:spacing w:after="120"/>
      </w:pPr>
      <w:r>
        <w:t xml:space="preserve">Chronic stress measurably accelerates biological aging — epigenetic age acceleration, telomere shortening (~3–6 years), and elevated cortisol. The age-gap is therefore framed as: “your stress, sleep, and recovery are shaping your physiological age — manage them to lower it.” This turns separate vitals into one motivating headline and connects a physiological measure to mental wellbeing.</w:t>
      </w:r>
    </w:p>
    <w:p>
      <w:pPr>
        <w:pStyle w:val="Heading1"/>
      </w:pPr>
      <w:r>
        <w:t xml:space="preserve">6. Deployment (in-app)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services/ai/bioAgeModel.ts — on-device inference (median aggregation + global norm + tree traversal → age + age-gap).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hooks/useWellness.tsx — loads the model, computes bio-age each cycle from the rolling feature history, exposes bioAge / chronologicalAge / setChronologicalAge.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app/(tabs)/index.tsx — “Physiological Age” card: predicted age, age-gap badge, and the stress-link message.</w:t>
      </w:r>
    </w:p>
    <w:p>
      <w:pPr>
        <w:pStyle w:val="Heading1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Chronological age must be provided for the gap (no onboarding field yet; demo default 25). Predicted age alone needs no input.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ECG-trained / PPG-deployed gap — shared with the other vitals; HRV features bridge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 labels are group midpoints (~5-yr bins) → a quantization floor on MAE.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Cross-device absolute calibration under-predicts the elderly — surface the relative age-gap; recalibrate per device.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Wellness screening, not a clinical diagnosis.</w:t>
      </w:r>
    </w:p>
    <w:p>
      <w:pPr>
        <w:pStyle w:val="Heading1"/>
      </w:pPr>
      <w:r>
        <w:t xml:space="preserve">8. 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Schumann, A., &amp; Bär, K. J. (2021). Autonomic Aging: A dataset to quantify changes of cardiovascular autonomic function during healthy aging. PhysioNet. DOI 10.13026/2hsy-t491.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Iyengar, N., Peng, C. K., Morin, R., Goldberger, A. L., Lipsitz, L. A. (1996). Age-related alterations in the fractal scaling of cardiac interbeat interval dynamics (Fantasia). Am. J. Physiology. PhysioNet DOI 10.13026/C2RG61.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Pan, J., Tompkins, W. J. (1985). A real-time QRS detection algorithm. IEEE Trans. Biomedical Engineering, BME-32(3), 230–236.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Chen, T., Guestrin, C. (2016). XGBoost: A scalable tree boosting system. KDD '16.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Epel, E. S., et al. (2004). Accelerated telomere shortening in response to life stress. PNAS, 101(49), 17312–17315.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Shaffer, F., Ginsberg, J. P. (2017). An overview of heart rate variability metrics and norms. Frontiers in Public Health, 5, 258.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2026-06-16T01:32:43.034Z</dcterms:created>
  <dcterms:modified xsi:type="dcterms:W3CDTF">2026-06-16T01:32:43.035Z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