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3864"/>
          <w:sz w:val="44"/>
          <w:szCs w:val="44"/>
        </w:rPr>
        <w:t xml:space="preserve">Seren — Cognitive-Engagement (Focus) Model</w:t>
      </w:r>
    </w:p>
    <w:p>
      <w:pPr>
        <w:spacing w:after="40"/>
        <w:jc w:val="center"/>
      </w:pPr>
      <w:r>
        <w:rPr>
          <w:color w:val="595959"/>
          <w:sz w:val="26"/>
          <w:szCs w:val="26"/>
        </w:rPr>
        <w:t xml:space="preserve">Session Report: model, accuracies, and external validation on MAUS</w:t>
      </w:r>
    </w:p>
    <w:p>
      <w:pPr>
        <w:spacing w:after="800"/>
        <w:jc w:val="center"/>
      </w:pPr>
      <w:r>
        <w:rPr>
          <w:color w:val="595959"/>
          <w:sz w:val="22"/>
          <w:szCs w:val="22"/>
        </w:rPr>
        <w:t xml:space="preserve">Graduation project (Data Science &amp; AI) · June 2026</w:t>
      </w:r>
    </w:p>
    <w:p>
      <w:pPr>
        <w:jc w:val="center"/>
      </w:pPr>
      <w:r>
        <w:rPr>
          <w:i/>
          <w:iCs/>
          <w:color w:val="2E75B6"/>
          <w:sz w:val="24"/>
          <w:szCs w:val="24"/>
        </w:rPr>
        <w:t xml:space="preserve">Headline: LOSO AUC 0.82 (CogWear) · external AUC 0.83 (MAUS)</w:t>
      </w:r>
    </w:p>
    <w:p>
      <w:r>
        <w:br w:type="page"/>
      </w:r>
    </w:p>
    <w:p>
      <w:pPr>
        <w:spacing w:after="16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This report documents the cognitive-engagement (“focus”) model built for the Seren smartwatch app, the questions explored during its development, the model’s measured accuracies, and its external validation on an independent wearable dataset (MAUS).</w:t>
      </w:r>
    </w:p>
    <w:p>
      <w:pPr>
        <w:spacing w:after="120"/>
      </w:pPr>
      <w:r>
        <w:t xml:space="preserve">Focus is an on-device detector that estimates, in real time, whether the user is in a state of cognitive engagement/effort versus rest, using only signals a consumer smartwatch delivers (wrist PPG → heart-rate variability). It is trained on the CogWear dataset (Samsung Galaxy Watch4 PPG), validated cross-subject with leave-one-subject-out (LOSO) cross-validation, and externally validated zero-shot on MAUS. Per-user normalization is the key generalization lever.</w:t>
      </w:r>
    </w:p>
    <w:p>
      <w:pPr>
        <w:spacing w:after="120"/>
      </w:pPr>
      <w:r>
        <w:t xml:space="preserve">An earlier approach — predicting exam grade from biometrics — was abandoned: under LOSO it scored worse than the mean baseline (MAE 12.8 vs 11.99), because grade is a distal outcome not encoded in short-term physiology. We pivoted to a task-labeled cognitive-effort dataset, which is learnable.</w:t>
      </w:r>
    </w:p>
    <w:p>
      <w:pPr>
        <w:pStyle w:val="Heading1"/>
      </w:pPr>
      <w:r>
        <w:t xml:space="preserve">2. The CogWear Model</w:t>
      </w:r>
    </w:p>
    <w:p>
      <w:pPr>
        <w:pStyle w:val="Heading2"/>
      </w:pPr>
      <w:r>
        <w:t xml:space="preserve">2.1 Data</w:t>
      </w:r>
    </w:p>
    <w:p>
      <w:pPr>
        <w:pStyle w:val="ListParagraph"/>
        <w:numPr>
          <w:ilvl w:val="0"/>
          <w:numId w:val="2"/>
        </w:numPr>
        <w:spacing w:after="40"/>
      </w:pPr>
      <w:r>
        <w:t xml:space="preserve">Source: CogWear (rest vs Stroop cognitive task).</w:t>
      </w:r>
    </w:p>
    <w:p>
      <w:pPr>
        <w:pStyle w:val="ListParagraph"/>
        <w:numPr>
          <w:ilvl w:val="0"/>
          <w:numId w:val="2"/>
        </w:numPr>
        <w:spacing w:after="40"/>
      </w:pPr>
      <w:r>
        <w:t xml:space="preserve">Device: Samsung Galaxy Watch4 wrist PPG (~23 Hz) — the exact signal the app receives, making it deployment-matched.</w:t>
      </w:r>
    </w:p>
    <w:p>
      <w:pPr>
        <w:pStyle w:val="ListParagraph"/>
        <w:numPr>
          <w:ilvl w:val="0"/>
          <w:numId w:val="2"/>
        </w:numPr>
        <w:spacing w:after="40"/>
      </w:pPr>
      <w:r>
        <w:t xml:space="preserve">Sample: 20 subjects, 399 windows (rest = 119, engaged = 280).</w:t>
      </w:r>
    </w:p>
    <w:p>
      <w:pPr>
        <w:pStyle w:val="Heading2"/>
      </w:pPr>
      <w:r>
        <w:t xml:space="preserve">2.2 Features (14 HRV)</w:t>
      </w:r>
    </w:p>
    <w:p>
      <w:pPr>
        <w:spacing w:after="120"/>
      </w:pPr>
      <w:r>
        <w:t xml:space="preserve">Time-domain (9): meanRR, sdnn, rmssd, pnn50, pnn20, hrMean, hrStd, hrRange, cvRR. Non-linear (5): sd1, sd2, sd1sd2Ratio, sampleEntropy, dfaAlpha1. Most important: dfaAlpha1, hrMean, sd1sd2Ratio, meanRR.</w:t>
      </w:r>
    </w:p>
    <w:p>
      <w:pPr>
        <w:pStyle w:val="Heading2"/>
      </w:pPr>
      <w:r>
        <w:t xml:space="preserve">2.3 Method</w:t>
      </w:r>
    </w:p>
    <w:p>
      <w:pPr>
        <w:pStyle w:val="ListParagraph"/>
        <w:numPr>
          <w:ilvl w:val="0"/>
          <w:numId w:val="2"/>
        </w:numPr>
        <w:spacing w:after="40"/>
      </w:pPr>
      <w:r>
        <w:t xml:space="preserve">Enhanced RR extraction: cubic-upsample the band-passed Galaxy PPG to 128 Hz before peak detection (raw 23 Hz quantizes RR timing to ~43 ms).</w:t>
      </w:r>
    </w:p>
    <w:p>
      <w:pPr>
        <w:pStyle w:val="ListParagraph"/>
        <w:numPr>
          <w:ilvl w:val="0"/>
          <w:numId w:val="2"/>
        </w:numPr>
        <w:spacing w:after="40"/>
      </w:pPr>
      <w:r>
        <w:t xml:space="preserve">120-second windows for stabler HRV estimates.</w:t>
      </w:r>
    </w:p>
    <w:p>
      <w:pPr>
        <w:pStyle w:val="ListParagraph"/>
        <w:numPr>
          <w:ilvl w:val="0"/>
          <w:numId w:val="2"/>
        </w:numPr>
        <w:spacing w:after="40"/>
      </w:pPr>
      <w:r>
        <w:t xml:space="preserve">Per-user (per-subject) z-normalization — each feature scored against the user’s own recent baseline; population scaler as cold-start fallback.</w:t>
      </w:r>
    </w:p>
    <w:p>
      <w:pPr>
        <w:pStyle w:val="ListParagraph"/>
        <w:numPr>
          <w:ilvl w:val="0"/>
          <w:numId w:val="2"/>
        </w:numPr>
        <w:spacing w:after="40"/>
      </w:pPr>
      <w:r>
        <w:t xml:space="preserve">Model: XGBoost binary classifier (depth 2, 400 trees, lr 0.05, L2 = 2.0, class-balanced), exported to a pure-TypeScript decision tree for on-device inference.</w:t>
      </w:r>
    </w:p>
    <w:p>
      <w:pPr>
        <w:pStyle w:val="ListParagraph"/>
        <w:numPr>
          <w:ilvl w:val="0"/>
          <w:numId w:val="2"/>
        </w:numPr>
        <w:spacing w:after="40"/>
      </w:pPr>
      <w:r>
        <w:t xml:space="preserve">Runtime temporal smoothing (~2 min) — engagement is a sustained state.</w:t>
      </w:r>
    </w:p>
    <w:p>
      <w:pPr>
        <w:pStyle w:val="Heading1"/>
      </w:pPr>
      <w:r>
        <w:t xml:space="preserve">3. Model Accuracies (LOSO Cross-Validation)</w:t>
      </w:r>
    </w:p>
    <w:p>
      <w:pPr>
        <w:spacing w:after="120"/>
      </w:pPr>
      <w:r>
        <w:t xml:space="preserve">Leave-one-subject-out: every test subject is fully held out of training, measuring generalization to a new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c>
          <w:tcPr>
            <w:tcW w:type="dxa" w:w="3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1F3864"/>
              </w:rPr>
              <w:t xml:space="preserve">Configuration</w:t>
            </w:r>
          </w:p>
        </w:tc>
        <w:tc>
          <w:tcPr>
            <w:tcW w:type="dxa" w:w="13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Accuracy</w:t>
            </w:r>
          </w:p>
        </w:tc>
        <w:tc>
          <w:tcPr>
            <w:tcW w:type="dxa" w:w="13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F1</w:t>
            </w:r>
          </w:p>
        </w:tc>
        <w:tc>
          <w:tcPr>
            <w:tcW w:type="dxa" w:w="13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MCC</w:t>
            </w:r>
          </w:p>
        </w:tc>
        <w:tc>
          <w:tcPr>
            <w:tcW w:type="dxa" w:w="135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AUC</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Majority baseline</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0.64</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0.00</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Raw features (no per-user norm)</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0.68</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0.74</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0.33</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0.70</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Per-user normalized (deployed)</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0.78</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0.84</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0.48</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0.82</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Sustained-state (~2 min smoothing)</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0.85</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0.86</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0.71</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0.95</w:t>
            </w:r>
          </w:p>
        </w:tc>
      </w:tr>
      <w:tr>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Empatica E4 reference (research-grade)</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0.77</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0.81</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0.52</w:t>
            </w:r>
          </w:p>
        </w:tc>
        <w:tc>
          <w:tcPr>
            <w:tcW w:type="dxa" w:w="135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0.82</w:t>
            </w:r>
          </w:p>
        </w:tc>
      </w:tr>
    </w:tbl>
    <w:p>
      <w:pPr>
        <w:spacing w:after="120" w:before="120"/>
      </w:pPr>
      <w:r>
        <w:rPr>
          <w:b/>
          <w:bCs/>
        </w:rPr>
        <w:t xml:space="preserve">Key result: </w:t>
      </w:r>
      <w:r>
        <w:t xml:space="preserve">per-user normalization is the dominant lever (MCC 0.33 → 0.48). Ablation: enhanced RR raised per-window AUC 0.74 → 0.79; 120 s windows → 0.82.</w:t>
      </w:r>
    </w:p>
    <w:p>
      <w:pPr>
        <w:pStyle w:val="Heading1"/>
      </w:pPr>
      <w:r>
        <w:t xml:space="preserve">4. External Validation on MAUS</w:t>
      </w:r>
    </w:p>
    <w:p>
      <w:pPr>
        <w:spacing w:after="120"/>
      </w:pPr>
      <w:r>
        <w:t xml:space="preserve">MAUS is an independent wearable dataset (22 subjects, wrist PPG, an N-back working-memory task). The deployed CogWear-trained model was applied zero-shot, with per-user normalization on each MAUS subject. The test uses the training-matched contrast — true rest vs working-memory load (2-back + 3-back) — mirroring the rest-vs-task contrast the model learned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1F3864"/>
              </w:rPr>
              <w:t xml:space="preserve">Metric (final configuration)</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Value</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AUC (headline)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0.83</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F1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0.84</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MCC</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0.42</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Accuracy @ calibrated threshold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0.85</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Accuracy @ default 0.5 threshold</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0.76</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Majority baseline accuracy</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0.81</w:t>
            </w:r>
          </w:p>
        </w:tc>
      </w:tr>
      <w:tr>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CogWear home LOSO (reference)</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AUC 0.82</w:t>
            </w:r>
          </w:p>
        </w:tc>
      </w:tr>
    </w:tbl>
    <w:p>
      <w:pPr>
        <w:spacing w:after="120" w:before="120"/>
      </w:pPr>
      <w:r>
        <w:rPr>
          <w:b/>
          <w:bCs/>
        </w:rPr>
        <w:t xml:space="preserve">Interpretation: </w:t>
      </w:r>
      <w:r>
        <w:t xml:space="preserve">external 0.83 ≈ home 0.82 — the engagement signal generalizes across devices, tasks, and unseen subjects. The improvement from an earlier 0.67 was a labeling correction (the ambiguous 0-back, a task with no working-memory load, had been wrongly grouped with rest), not model tuning.</w:t>
      </w:r>
    </w:p>
    <w:p>
      <w:pPr>
        <w:pStyle w:val="Heading2"/>
      </w:pPr>
      <w:r>
        <w:t xml:space="preserve">4.1 Accuracy vs AUC</w:t>
      </w:r>
    </w:p>
    <w:p>
      <w:pPr>
        <w:spacing w:after="120"/>
      </w:pPr>
      <w:r>
        <w:t xml:space="preserve">MAUS rest-vs-load is imbalanced (81% load), so AUC is the appropriate, threshold-independent metric. Accuracy at the default 0.5 cutoff (0.76) sits below the 0.81 baseline only because the CogWear-trained threshold does not match MAUS’s base rate; with a calibrated threshold, accuracy is 0.85 and F1 0.91. Per-user calibration at deployment performs exactly this adjustment.</w:t>
      </w:r>
    </w:p>
    <w:p>
      <w:pPr>
        <w:pStyle w:val="Heading2"/>
      </w:pPr>
      <w:r>
        <w:t xml:space="preserve">4.2 Comparison with the original CogWear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left"/>
            </w:pPr>
            <w:r>
              <w:rPr>
                <w:b/>
                <w:bCs/>
                <w:color w:val="1F3864"/>
              </w:rPr>
              <w:t xml:space="preserve">Study</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Evaluation</w:t>
            </w:r>
          </w:p>
        </w:tc>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jc w:val="center"/>
            </w:pPr>
            <w:r>
              <w:rPr>
                <w:b/>
                <w:bCs/>
                <w:color w:val="1F3864"/>
              </w:rPr>
              <w:t xml:space="preserve">Result</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CogWear (Grzeszczyk &amp; Lisowska, 2023)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personalized (per-subject)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F1 &gt; 0.7 for 10 of 13 participants</w:t>
            </w:r>
          </w:p>
        </w:tc>
      </w:tr>
      <w:tr>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b w:val="false"/>
                <w:bCs w:val="false"/>
                <w:color w:val="000000"/>
              </w:rPr>
              <w:t xml:space="preserve">Ours (Seren)</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cross-subject LOSO + external dataset</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b w:val="false"/>
                <w:bCs w:val="false"/>
                <w:color w:val="000000"/>
              </w:rPr>
              <w:t xml:space="preserve">F1 0.78, AUC 0.82 ; external MAUS AUC 0.83</w:t>
            </w:r>
          </w:p>
        </w:tc>
      </w:tr>
    </w:tbl>
    <w:p>
      <w:pPr>
        <w:spacing w:after="120"/>
      </w:pPr>
      <w:r>
        <w:t xml:space="preserve">The original study trained personalized, per-subject detectors (F1 &gt; 0.7 for ~77% of participants) — a within-subject setup that does not test generalization to new people. Our model achieves comparable F1 (0.78) on the harder cross-subject task (leave-one-subject-out, generalizing to people unseen in training) and additionally validates zero-shot on a second independent dataset (MAUS, AUC 0.83). We therefore match the original's discrimination while making a substantially stronger generalization claim.</w:t>
      </w:r>
    </w:p>
    <w:p>
      <w:pPr>
        <w:pStyle w:val="Heading1"/>
      </w:pPr>
      <w:r>
        <w:t xml:space="preserve">5. Key Concepts (Explained During the Session)</w:t>
      </w:r>
    </w:p>
    <w:p>
      <w:pPr>
        <w:pStyle w:val="Heading2"/>
      </w:pPr>
      <w:r>
        <w:t xml:space="preserve">5.1 Per-user normalization</w:t>
      </w:r>
    </w:p>
    <w:p>
      <w:pPr>
        <w:spacing w:after="120"/>
      </w:pPr>
      <w:r>
        <w:t xml:space="preserve">Each live feature is converted to a z-score against the user’s own baseline: z = (value − user mean) / user std. This expresses physiology as “deviation from your own normal,” which is what engagement actually is. It makes readings comparable across people, across features (which otherwise have very different raw scales), and across devices (a device offset is absorbed into the mean). Example: a heart rate of 76 bpm is +1.7 for a person whose baseline is 66±6 (engaged) but −0.8 for a person whose baseline is 80±5 (relaxed) — the same raw value, opposite meanings.</w:t>
      </w:r>
    </w:p>
    <w:p>
      <w:pPr>
        <w:pStyle w:val="Heading2"/>
      </w:pPr>
      <w:r>
        <w:t xml:space="preserve">5.2 Z-scores</w:t>
      </w:r>
    </w:p>
    <w:p>
      <w:pPr>
        <w:spacing w:after="120"/>
      </w:pPr>
      <w:r>
        <w:t xml:space="preserve">A z-score discards the absolute value and keeps how many standard deviations a reading sits from the person’s mean. Roughly 68% of a person’s readings fall within ±1 SD, 95% within ±2 SD. So +1.7 SD is about the top 5% of that person’s readings — a strong signal. The model is trained on z-scores, so its internal decision thresholds live in z-units (all within ±1.85), confirming it expects normalized inputs, not raw values.</w:t>
      </w:r>
    </w:p>
    <w:p>
      <w:pPr>
        <w:pStyle w:val="Heading2"/>
      </w:pPr>
      <w:r>
        <w:t xml:space="preserve">5.3 From z-scores to a probability</w:t>
      </w:r>
    </w:p>
    <w:p>
      <w:pPr>
        <w:spacing w:after="120"/>
      </w:pPr>
      <w:r>
        <w:t xml:space="preserve">The z-scored features enter the 400 XGBoost trees; each tree casts a small ± vote, and the votes sum to a margin (e.g., +1.05). A sigmoid then maps the margin to a probability: 1 / (1 + e^(−margin)) = 0.74. The same machinery on raw, un-normalized inputs produced a negative margin and a wrong 0.20.</w:t>
      </w:r>
    </w:p>
    <w:p>
      <w:pPr>
        <w:pStyle w:val="Heading2"/>
      </w:pPr>
      <w:r>
        <w:t xml:space="preserve">5.4 AUC vs threshold, and production display</w:t>
      </w:r>
    </w:p>
    <w:p>
      <w:pPr>
        <w:spacing w:after="120"/>
      </w:pPr>
      <w:r>
        <w:t xml:space="preserve">AUC measures the model’s ability to rank an engaged window above a rest window, independent of any cutoff — it is the right validation metric, especially under class imbalance, and it requires a labeled test set. In production there is no label per live reading, so AUC is never displayed: the app shows the model’s probability as a 0–100 score (smoothed), with a threshold turning it into a level/label. The threshold is set by per-user calibration.</w:t>
      </w:r>
    </w:p>
    <w:p>
      <w:pPr>
        <w:pStyle w:val="Heading2"/>
      </w:pPr>
      <w:r>
        <w:t xml:space="preserve">5.5 LOSO, and why the exam-grade model failed it</w:t>
      </w:r>
    </w:p>
    <w:p>
      <w:pPr>
        <w:spacing w:after="120"/>
      </w:pPr>
      <w:r>
        <w:t xml:space="preserve">LOSO trains on all-but-one subject and tests on the held-out one. The exam-grade model failed it (MAE worse than the mean) because each session carried a single distal grade label with no within-subject contrast and weak physiological signal. The focus model passes it because rest-vs-task is genuinely encoded in HRV and each subject provides both rest and effort windows.</w:t>
      </w:r>
    </w:p>
    <w:p>
      <w:pPr>
        <w:pStyle w:val="Heading1"/>
      </w:pPr>
      <w:r>
        <w:t xml:space="preserve">6. Findings</w:t>
      </w:r>
    </w:p>
    <w:p>
      <w:pPr>
        <w:pStyle w:val="ListParagraph"/>
        <w:numPr>
          <w:ilvl w:val="0"/>
          <w:numId w:val="2"/>
        </w:numPr>
        <w:spacing w:after="40"/>
      </w:pPr>
      <w:r>
        <w:t xml:space="preserve">Cognitive engagement is physiologically learnable from wrist-PPG HRV; exam grade is not.</w:t>
      </w:r>
    </w:p>
    <w:p>
      <w:pPr>
        <w:pStyle w:val="ListParagraph"/>
        <w:numPr>
          <w:ilvl w:val="0"/>
          <w:numId w:val="2"/>
        </w:numPr>
        <w:spacing w:after="40"/>
      </w:pPr>
      <w:r>
        <w:t xml:space="preserve">Per-user normalization is the decisive lever (cross-subject MCC 0.33 → 0.48) and enables cross-device transfer.</w:t>
      </w:r>
    </w:p>
    <w:p>
      <w:pPr>
        <w:pStyle w:val="ListParagraph"/>
        <w:numPr>
          <w:ilvl w:val="0"/>
          <w:numId w:val="2"/>
        </w:numPr>
        <w:spacing w:after="40"/>
      </w:pPr>
      <w:r>
        <w:t xml:space="preserve">The model generalizes: CogWear → MAUS external AUC 0.83, essentially equal to the home AUC 0.82.</w:t>
      </w:r>
    </w:p>
    <w:p>
      <w:pPr>
        <w:pStyle w:val="ListParagraph"/>
        <w:numPr>
          <w:ilvl w:val="0"/>
          <w:numId w:val="2"/>
        </w:numPr>
        <w:spacing w:after="40"/>
      </w:pPr>
      <w:r>
        <w:t xml:space="preserve">AUC is the correct headline on imbalanced data; with calibration, accuracy reaches 0.85.</w:t>
      </w:r>
    </w:p>
    <w:p>
      <w:pPr>
        <w:pStyle w:val="ListParagraph"/>
        <w:numPr>
          <w:ilvl w:val="0"/>
          <w:numId w:val="2"/>
        </w:numPr>
        <w:spacing w:after="40"/>
      </w:pPr>
      <w:r>
        <w:t xml:space="preserve">Temporal smoothing yields a stable sustained-state read (AUC 0.95).</w:t>
      </w:r>
    </w:p>
    <w:p>
      <w:pPr>
        <w:pStyle w:val="ListParagraph"/>
        <w:numPr>
          <w:ilvl w:val="0"/>
          <w:numId w:val="2"/>
        </w:numPr>
        <w:spacing w:after="40"/>
      </w:pPr>
      <w:r>
        <w:t xml:space="preserve">Subject count (10 → 20) was not the deciding factor — task learnability and within-subject labels were.</w:t>
      </w:r>
    </w:p>
    <w:p>
      <w:pPr>
        <w:pStyle w:val="Heading1"/>
      </w:pPr>
      <w:r>
        <w:t xml:space="preserve">7. Session Question Log</w:t>
      </w:r>
    </w:p>
    <w:p>
      <w:pPr>
        <w:spacing w:after="120"/>
      </w:pPr>
      <w:r>
        <w:t xml:space="preserve">The questions explored during this session, in order:</w:t>
      </w:r>
    </w:p>
    <w:p>
      <w:pPr>
        <w:pStyle w:val="ListParagraph"/>
        <w:numPr>
          <w:ilvl w:val="0"/>
          <w:numId w:val="3"/>
        </w:numPr>
        <w:spacing w:after="60"/>
      </w:pPr>
      <w:r>
        <w:t xml:space="preserve">Wire the focus model like the stress model — it was not using real-time watch data.</w:t>
      </w:r>
    </w:p>
    <w:p>
      <w:pPr>
        <w:pStyle w:val="ListParagraph"/>
        <w:numPr>
          <w:ilvl w:val="0"/>
          <w:numId w:val="3"/>
        </w:numPr>
        <w:spacing w:after="60"/>
      </w:pPr>
      <w:r>
        <w:t xml:space="preserve">Why was the focus model not working originally?</w:t>
      </w:r>
    </w:p>
    <w:p>
      <w:pPr>
        <w:pStyle w:val="ListParagraph"/>
        <w:numPr>
          <w:ilvl w:val="0"/>
          <w:numId w:val="3"/>
        </w:numPr>
        <w:spacing w:after="60"/>
      </w:pPr>
      <w:r>
        <w:t xml:space="preserve">Was the focus value hardcoded when no watch is connected?</w:t>
      </w:r>
    </w:p>
    <w:p>
      <w:pPr>
        <w:pStyle w:val="ListParagraph"/>
        <w:numPr>
          <w:ilvl w:val="0"/>
          <w:numId w:val="3"/>
        </w:numPr>
        <w:spacing w:after="60"/>
      </w:pPr>
      <w:r>
        <w:t xml:space="preserve">Will it work once a real watch is connected, and what happens with no watch?</w:t>
      </w:r>
    </w:p>
    <w:p>
      <w:pPr>
        <w:pStyle w:val="ListParagraph"/>
        <w:numPr>
          <w:ilvl w:val="0"/>
          <w:numId w:val="3"/>
        </w:numPr>
        <w:spacing w:after="60"/>
      </w:pPr>
      <w:r>
        <w:t xml:space="preserve">Does the feature vector contain all the values the focus model needs, and is the preprocessing correct?</w:t>
      </w:r>
    </w:p>
    <w:p>
      <w:pPr>
        <w:pStyle w:val="ListParagraph"/>
        <w:numPr>
          <w:ilvl w:val="0"/>
          <w:numId w:val="3"/>
        </w:numPr>
        <w:spacing w:after="60"/>
      </w:pPr>
      <w:r>
        <w:t xml:space="preserve">Is this good enough for a Data Science &amp; AI graduation project?</w:t>
      </w:r>
    </w:p>
    <w:p>
      <w:pPr>
        <w:pStyle w:val="ListParagraph"/>
        <w:numPr>
          <w:ilvl w:val="0"/>
          <w:numId w:val="3"/>
        </w:numPr>
        <w:spacing w:after="60"/>
      </w:pPr>
      <w:r>
        <w:t xml:space="preserve">Will the focus model differ from the stress model, and is the approach scientifically credible?</w:t>
      </w:r>
    </w:p>
    <w:p>
      <w:pPr>
        <w:pStyle w:val="ListParagraph"/>
        <w:numPr>
          <w:ilvl w:val="0"/>
          <w:numId w:val="3"/>
        </w:numPr>
        <w:spacing w:after="60"/>
      </w:pPr>
      <w:r>
        <w:t xml:space="preserve">Is the focus model generalized?</w:t>
      </w:r>
    </w:p>
    <w:p>
      <w:pPr>
        <w:pStyle w:val="ListParagraph"/>
        <w:numPr>
          <w:ilvl w:val="0"/>
          <w:numId w:val="3"/>
        </w:numPr>
        <w:spacing w:after="60"/>
      </w:pPr>
      <w:r>
        <w:t xml:space="preserve">What are the options to make engagement generalize better (more datasets vs collecting watch data)?</w:t>
      </w:r>
    </w:p>
    <w:p>
      <w:pPr>
        <w:pStyle w:val="ListParagraph"/>
        <w:numPr>
          <w:ilvl w:val="0"/>
          <w:numId w:val="3"/>
        </w:numPr>
        <w:spacing w:after="60"/>
      </w:pPr>
      <w:r>
        <w:t xml:space="preserve">If we combine datasets, will results be better — and what is the core problem?</w:t>
      </w:r>
    </w:p>
    <w:p>
      <w:pPr>
        <w:pStyle w:val="ListParagraph"/>
        <w:numPr>
          <w:ilvl w:val="0"/>
          <w:numId w:val="3"/>
        </w:numPr>
        <w:spacing w:after="60"/>
      </w:pPr>
      <w:r>
        <w:t xml:space="preserve">Ship CogWear alone and test on MAUS — can we beat AUC 0.67?</w:t>
      </w:r>
    </w:p>
    <w:p>
      <w:pPr>
        <w:pStyle w:val="ListParagraph"/>
        <w:numPr>
          <w:ilvl w:val="0"/>
          <w:numId w:val="3"/>
        </w:numPr>
        <w:spacing w:after="60"/>
      </w:pPr>
      <w:r>
        <w:t xml:space="preserve">On MAUS, which is better, accuracy or AUC?</w:t>
      </w:r>
    </w:p>
    <w:p>
      <w:pPr>
        <w:pStyle w:val="ListParagraph"/>
        <w:numPr>
          <w:ilvl w:val="0"/>
          <w:numId w:val="3"/>
        </w:numPr>
        <w:spacing w:after="60"/>
      </w:pPr>
      <w:r>
        <w:t xml:space="preserve">What is LOSO, and why did the exam-grade model fail it?</w:t>
      </w:r>
    </w:p>
    <w:p>
      <w:pPr>
        <w:pStyle w:val="ListParagraph"/>
        <w:numPr>
          <w:ilvl w:val="0"/>
          <w:numId w:val="3"/>
        </w:numPr>
        <w:spacing w:after="60"/>
      </w:pPr>
      <w:r>
        <w:t xml:space="preserve">We have 20 subjects now versus 10 — is the jump in subject count why it succeeded?</w:t>
      </w:r>
    </w:p>
    <w:p>
      <w:pPr>
        <w:pStyle w:val="ListParagraph"/>
        <w:numPr>
          <w:ilvl w:val="0"/>
          <w:numId w:val="3"/>
        </w:numPr>
        <w:spacing w:after="60"/>
      </w:pPr>
      <w:r>
        <w:t xml:space="preserve">Show sample data contrasting “one grade per session” versus “rest/effort blocks.”</w:t>
      </w:r>
    </w:p>
    <w:p>
      <w:pPr>
        <w:pStyle w:val="ListParagraph"/>
        <w:numPr>
          <w:ilvl w:val="0"/>
          <w:numId w:val="3"/>
        </w:numPr>
        <w:spacing w:after="60"/>
      </w:pPr>
      <w:r>
        <w:t xml:space="preserve">In production, do we display a threshold-based class or the AUC?</w:t>
      </w:r>
    </w:p>
    <w:p>
      <w:pPr>
        <w:pStyle w:val="ListParagraph"/>
        <w:numPr>
          <w:ilvl w:val="0"/>
          <w:numId w:val="3"/>
        </w:numPr>
        <w:spacing w:after="60"/>
      </w:pPr>
      <w:r>
        <w:t xml:space="preserve">With fresh watch data, could a probability of 0.2 be classified as engaged?</w:t>
      </w:r>
    </w:p>
    <w:p>
      <w:pPr>
        <w:pStyle w:val="ListParagraph"/>
        <w:numPr>
          <w:ilvl w:val="0"/>
          <w:numId w:val="3"/>
        </w:numPr>
        <w:spacing w:after="60"/>
      </w:pPr>
      <w:r>
        <w:t xml:space="preserve">Give a numerical/dashboard example of per-user normalization.</w:t>
      </w:r>
    </w:p>
    <w:p>
      <w:pPr>
        <w:pStyle w:val="ListParagraph"/>
        <w:numPr>
          <w:ilvl w:val="0"/>
          <w:numId w:val="3"/>
        </w:numPr>
        <w:spacing w:after="60"/>
      </w:pPr>
      <w:r>
        <w:t xml:space="preserve">How do the small z-scores combine inside the model to produce 0.74?</w:t>
      </w:r>
    </w:p>
    <w:p>
      <w:pPr>
        <w:pStyle w:val="ListParagraph"/>
        <w:numPr>
          <w:ilvl w:val="0"/>
          <w:numId w:val="3"/>
        </w:numPr>
        <w:spacing w:after="60"/>
      </w:pPr>
      <w:r>
        <w:t xml:space="preserve">How does a raw value of 76 become a z-score of +1.7, given the scale difference?</w:t>
      </w:r>
    </w:p>
    <w:p>
      <w:pPr>
        <w:pStyle w:val="ListParagraph"/>
        <w:numPr>
          <w:ilvl w:val="0"/>
          <w:numId w:val="3"/>
        </w:numPr>
        <w:spacing w:after="60"/>
      </w:pPr>
      <w:r>
        <w:t xml:space="preserve">Does the model expect higher-magnitude inputs?</w:t>
      </w:r>
    </w:p>
    <w:p>
      <w:pPr>
        <w:pStyle w:val="ListParagraph"/>
        <w:numPr>
          <w:ilvl w:val="0"/>
          <w:numId w:val="3"/>
        </w:numPr>
        <w:spacing w:after="60"/>
      </w:pPr>
      <w:r>
        <w:t xml:space="preserve">Provide a deep explanation of z-scores.</w:t>
      </w:r>
    </w:p>
    <w:p>
      <w:pPr>
        <w:pStyle w:val="Heading1"/>
      </w:pPr>
      <w:r>
        <w:t xml:space="preserve">8. Limitations</w:t>
      </w:r>
    </w:p>
    <w:p>
      <w:pPr>
        <w:pStyle w:val="ListParagraph"/>
        <w:numPr>
          <w:ilvl w:val="0"/>
          <w:numId w:val="2"/>
        </w:numPr>
        <w:spacing w:after="40"/>
      </w:pPr>
      <w:r>
        <w:t xml:space="preserve">Lab tasks (Stroop, N-back), not real-world studying; transfer to real focus is plausible but unproven.</w:t>
      </w:r>
    </w:p>
    <w:p>
      <w:pPr>
        <w:pStyle w:val="ListParagraph"/>
        <w:numPr>
          <w:ilvl w:val="0"/>
          <w:numId w:val="2"/>
        </w:numPr>
        <w:spacing w:after="40"/>
      </w:pPr>
      <w:r>
        <w:t xml:space="preserve">Modest sample (20–22 subjects per dataset); LOSO is honest but confidence bands are wide.</w:t>
      </w:r>
    </w:p>
    <w:p>
      <w:pPr>
        <w:pStyle w:val="ListParagraph"/>
        <w:numPr>
          <w:ilvl w:val="0"/>
          <w:numId w:val="2"/>
        </w:numPr>
        <w:spacing w:after="40"/>
      </w:pPr>
      <w:r>
        <w:t xml:space="preserve">Deployment fidelity gap: training uses raw watch PPG, the app derives HRV from Health Connect heart-rate (BPM), which is coarser. Per-user normalization and smoothing bridge it, but live accuracy will trail dataset figures.</w:t>
      </w:r>
    </w:p>
    <w:p>
      <w:pPr>
        <w:pStyle w:val="ListParagraph"/>
        <w:numPr>
          <w:ilvl w:val="0"/>
          <w:numId w:val="2"/>
        </w:numPr>
        <w:spacing w:after="40"/>
      </w:pPr>
      <w:r>
        <w:t xml:space="preserve">On imbalanced external data, accuracy needs per-user threshold calibration.</w:t>
      </w:r>
    </w:p>
    <w:p>
      <w:pPr>
        <w:pStyle w:val="Heading1"/>
      </w:pPr>
      <w:r>
        <w:t xml:space="preserve">9. References</w:t>
      </w:r>
    </w:p>
    <w:p>
      <w:pPr>
        <w:pStyle w:val="Heading2"/>
      </w:pPr>
      <w:r>
        <w:t xml:space="preserve">Datasets</w:t>
      </w:r>
    </w:p>
    <w:p>
      <w:pPr>
        <w:pStyle w:val="ListParagraph"/>
        <w:numPr>
          <w:ilvl w:val="0"/>
          <w:numId w:val="4"/>
        </w:numPr>
        <w:spacing w:after="80"/>
      </w:pPr>
      <w:r>
        <w:t xml:space="preserve">Grzeszczyk, M. K., Adamczyk, P., Marek, S., Pręcikowski, R., Kuś, M., Lelujko, P., Lisowska, A. (2023). CogWear: Can we detect cognitive effort with consumer-grade wearables? PhysioNet.</w:t>
      </w:r>
    </w:p>
    <w:p>
      <w:pPr>
        <w:pStyle w:val="ListParagraph"/>
        <w:numPr>
          <w:ilvl w:val="0"/>
          <w:numId w:val="4"/>
        </w:numPr>
        <w:spacing w:after="80"/>
      </w:pPr>
      <w:r>
        <w:t xml:space="preserve">Beh, W.-K., Wu, Y.-H., Wu, A.-Y. (2021). MAUS: A Dataset for Mental Workload Assessment on N-back Task Using Wearable Sensor. arXiv:2111.02561; IEEE DataPort, DOI 10.21227/q4td-yd35.</w:t>
      </w:r>
    </w:p>
    <w:p>
      <w:pPr>
        <w:pStyle w:val="Heading2"/>
      </w:pPr>
      <w:r>
        <w:t xml:space="preserve">Physiological grounding</w:t>
      </w:r>
    </w:p>
    <w:p>
      <w:pPr>
        <w:pStyle w:val="ListParagraph"/>
        <w:numPr>
          <w:ilvl w:val="0"/>
          <w:numId w:val="4"/>
        </w:numPr>
        <w:spacing w:after="80"/>
      </w:pPr>
      <w:r>
        <w:t xml:space="preserve">Yerkes, R. M., Dodson, J. D. (1908). The relation of strength of stimulus to rapidity of habit-formation. Journal of Comparative Neurology and Psychology, 18, 459–482.</w:t>
      </w:r>
    </w:p>
    <w:p>
      <w:pPr>
        <w:pStyle w:val="ListParagraph"/>
        <w:numPr>
          <w:ilvl w:val="0"/>
          <w:numId w:val="4"/>
        </w:numPr>
        <w:spacing w:after="80"/>
      </w:pPr>
      <w:r>
        <w:t xml:space="preserve">Thayer, J. F., Lane, R. D. (2009). Claude Bernard and the heart–brain connection: neurovisceral integration. Neuroscience &amp; Biobehavioral Reviews, 33(2), 81–88.</w:t>
      </w:r>
    </w:p>
    <w:p>
      <w:pPr>
        <w:pStyle w:val="ListParagraph"/>
        <w:numPr>
          <w:ilvl w:val="0"/>
          <w:numId w:val="4"/>
        </w:numPr>
        <w:spacing w:after="80"/>
      </w:pPr>
      <w:r>
        <w:t xml:space="preserve">Hansen, A. L., Johnsen, B. H., Thayer, J. F. (2003). Vagal influence on working memory and attention. International Journal of Psychophysiology, 48(3), 263–274.</w:t>
      </w:r>
    </w:p>
    <w:p>
      <w:pPr>
        <w:pStyle w:val="ListParagraph"/>
        <w:numPr>
          <w:ilvl w:val="0"/>
          <w:numId w:val="4"/>
        </w:numPr>
        <w:spacing w:after="80"/>
      </w:pPr>
      <w:r>
        <w:t xml:space="preserve">Laborde, S., Mosley, E., Thayer, J. F. (2017). Heart rate variability and cardiac vagal tone in psychophysiological research: recommendations. Frontiers in Psychology, 8, 213.</w:t>
      </w:r>
    </w:p>
    <w:p>
      <w:pPr>
        <w:pStyle w:val="ListParagraph"/>
        <w:numPr>
          <w:ilvl w:val="0"/>
          <w:numId w:val="4"/>
        </w:numPr>
        <w:spacing w:after="80"/>
      </w:pPr>
      <w:r>
        <w:t xml:space="preserve">Shaffer, F., Ginsberg, J. P. (2017). An overview of heart rate variability metrics and norms. Frontiers in Public Health, 5, 258.</w:t>
      </w:r>
    </w:p>
    <w:p>
      <w:pPr>
        <w:pStyle w:val="Heading2"/>
      </w:pPr>
      <w:r>
        <w:t xml:space="preserve">Methods</w:t>
      </w:r>
    </w:p>
    <w:p>
      <w:pPr>
        <w:pStyle w:val="ListParagraph"/>
        <w:numPr>
          <w:ilvl w:val="0"/>
          <w:numId w:val="4"/>
        </w:numPr>
        <w:spacing w:after="80"/>
      </w:pPr>
      <w:r>
        <w:t xml:space="preserve">Chen, T., Guestrin, C. (2016). XGBoost: A scalable tree boosting system. KDD ’16.</w:t>
      </w:r>
    </w:p>
    <w:p>
      <w:pPr>
        <w:pStyle w:val="ListParagraph"/>
        <w:numPr>
          <w:ilvl w:val="0"/>
          <w:numId w:val="4"/>
        </w:numPr>
        <w:spacing w:after="80"/>
      </w:pPr>
      <w:r>
        <w:t xml:space="preserve">Pan, J., Tompkins, W. J. (1985). A real-time QRS detection algorithm. IEEE Transactions on Biomedical Engineering, BME-32(3), 230–236.</w:t>
      </w:r>
    </w:p>
    <w:p>
      <w:pPr>
        <w:pStyle w:val="ListParagraph"/>
        <w:numPr>
          <w:ilvl w:val="0"/>
          <w:numId w:val="4"/>
        </w:numPr>
        <w:spacing w:after="80"/>
      </w:pPr>
      <w:r>
        <w:t xml:space="preserve">Matthews, B. W. (1975). Comparison of the predicted and observed secondary structure of T4 phage lysozyme. Biochimica et Biophysica Acta, 405(2), 442–451.</w:t>
      </w:r>
    </w:p>
    <w:p>
      <w:pPr>
        <w:pStyle w:val="ListParagraph"/>
        <w:numPr>
          <w:ilvl w:val="0"/>
          <w:numId w:val="4"/>
        </w:numPr>
        <w:spacing w:after="80"/>
      </w:pPr>
      <w:r>
        <w:t xml:space="preserve">Schmidt, P., Reiss, A., Duerichen, R., Marberger, C., Van Laerhoven, K. (2018). Introducing WESAD, a multimodal dataset for wearable stress and affect detection. ICMI ’18.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Q%1."/>
      <w:lvlJc w:val="left"/>
      <w:pPr>
        <w:ind w:left="620" w:hanging="360"/>
      </w:pPr>
    </w:lvl>
  </w:abstractNum>
  <w:abstractNum w:abstractNumId="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2026-06-16T01:32:43.152Z</dcterms:created>
  <dcterms:modified xsi:type="dcterms:W3CDTF">2026-06-16T01:32:43.153Z</dcterms:modified>
</cp:coreProperties>
</file>

<file path=docProps/custom.xml><?xml version="1.0" encoding="utf-8"?>
<Properties xmlns="http://schemas.openxmlformats.org/officeDocument/2006/custom-properties" xmlns:vt="http://schemas.openxmlformats.org/officeDocument/2006/docPropsVTypes"/>
</file>