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半导体采购成本—需求—供应风险分析报告</w:t>
      </w:r>
    </w:p>
    <w:p>
      <w:pPr>
        <w:jc w:val="center"/>
      </w:pPr>
      <w:r>
        <w:rPr>
          <w:color w:val="464646"/>
          <w:sz w:val="26"/>
        </w:rPr>
        <w:t>基于 Python 情景分析、Monte Carlo 压力测试与 Excel 可编辑决策模型</w:t>
      </w:r>
    </w:p>
    <w:p/>
    <w:p>
      <w:pPr>
        <w:jc w:val="center"/>
      </w:pPr>
      <w:r>
        <w:rPr>
          <w:sz w:val="23"/>
        </w:rPr>
        <w:t>采购 / Commodity / 供应链分析通用案例｜含 EDA/IP 授权采购扩展</w:t>
      </w:r>
    </w:p>
    <w:p/>
    <w:p>
      <w:pPr>
        <w:jc w:val="center"/>
      </w:pPr>
      <w:r>
        <w:rPr>
          <w:sz w:val="22"/>
        </w:rPr>
        <w:t>2026年9月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2CC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7F6000"/>
                <w:sz w:val="19"/>
              </w:rPr>
              <w:t>重要边界：本报告中的供应商、报价、产能、交期、质量、采购历史与 EDA/IP 授权费用均为模拟数据，仅用于展示采购分析方法，不代表真实企业采购记录、供应商报价、合同条款或实际节省。</w:t>
            </w:r>
          </w:p>
        </w:tc>
      </w:tr>
    </w:tbl>
    <w:p>
      <w:r>
        <w:br w:type="page"/>
      </w:r>
    </w:p>
    <w:p>
      <w:pPr>
        <w:pStyle w:val="Heading1"/>
      </w:pPr>
      <w:r>
        <w:t>执行摘要</w:t>
      </w:r>
    </w:p>
    <w:p>
      <w:pPr>
        <w:spacing w:after="120" w:line="276" w:lineRule="auto"/>
      </w:pPr>
      <w:r>
        <w:t>本项目构建了一套面向半导体与制造业采购场景的成本—需求—供应风险分析框架。Python 流水线负责数据生成与校验、供应商指标计算、五类确定性情景、600 次 Monte Carlo 压力测试及 EDA/IP 授权扩展；Excel 模型则提供可编辑的需求、价格、产能、交期、汇率与采购策略参数，用于交互式决策演示。</w:t>
      </w:r>
    </w:p>
    <w:p>
      <w:pPr>
        <w:spacing w:after="120" w:line="276" w:lineRule="auto"/>
      </w:pPr>
      <w:r>
        <w:t>在 Python 基准情景中，最低成本策略年度采购成本为 168.6 百万元；均衡策略为 171.5 百万元，较最低成本增加 1.7%，但模型供应风险由 39.1 降至 33.8，平均供应商集中度 HHI 由 0.803 降至 0.620。</w:t>
      </w:r>
    </w:p>
    <w:p>
      <w:pPr>
        <w:spacing w:after="120" w:line="276" w:lineRule="auto"/>
      </w:pPr>
      <w:r>
        <w:t>韧性优先策略的基准年度成本为 175.4 百万元，较最低成本增加 4.0%；对应供应风险进一步降至 30.7，HHI 降至 0.520。因此，在当前模拟假设下，模型呈现清晰的“成本—供应韧性”权衡，而非单一最低价采购逻辑。</w:t>
      </w:r>
    </w:p>
    <w:p>
      <w:pPr>
        <w:spacing w:after="120" w:line="276" w:lineRule="auto"/>
      </w:pPr>
      <w:r>
        <w:t>Monte Carlo 压力测试显示，三种策略“任一物料发生缺口”的概率接近（最低成本 49.2%、均衡 51.8%、韧性优先 50.0%），因此该指标不适合单独用于策略排序；但缺口严重度差异更明显：P90 最大物料缺口率由最低成本的 53.1% 降至均衡的 43.3%，再降至韧性优先的 34.5%。</w:t>
      </w:r>
    </w:p>
    <w:p>
      <w:pPr>
        <w:spacing w:after="120" w:line="276" w:lineRule="auto"/>
      </w:pPr>
      <w:r>
        <w:t>综合成本、集中度和压力测试结果，本报告将“均衡策略”作为一般业务讨论的基准方案，将“韧性优先”视为对供应连续性更敏感时的备选策略；但这只是当前模拟参数下的模型结果，不构成对真实企业采购策略的建议。</w:t>
      </w:r>
    </w:p>
    <w:p>
      <w:pPr>
        <w:pStyle w:val="Heading2"/>
      </w:pPr>
      <w:r>
        <w:t>报告结构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4997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业务问题、分析边界与数据结构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成本、风险与采购策略模型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基准情景结果与采购组合权衡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需求、成本、供应中断与汇率情景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Monte Carlo 稳健性分析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EDA/IP 授权采购扩展</w:t>
            </w:r>
          </w:p>
        </w:tc>
      </w:tr>
      <w:tr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499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Excel 交互模型与 Python 结果一致性</w:t>
            </w:r>
          </w:p>
        </w:tc>
      </w:tr>
      <w:tr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4997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决策建议框架、数据缺口与局限性</w:t>
            </w:r>
          </w:p>
        </w:tc>
      </w:tr>
    </w:tbl>
    <w:p/>
    <w:p>
      <w:r>
        <w:br w:type="page"/>
      </w:r>
    </w:p>
    <w:p>
      <w:pPr>
        <w:pStyle w:val="Heading1"/>
      </w:pPr>
      <w:r>
        <w:t>1 业务问题、分析边界与数据结构</w:t>
      </w:r>
    </w:p>
    <w:p>
      <w:pPr>
        <w:pStyle w:val="Heading2"/>
      </w:pPr>
      <w:r>
        <w:t>1.1 业务问题</w:t>
      </w:r>
    </w:p>
    <w:p>
      <w:pPr>
        <w:spacing w:after="120" w:line="276" w:lineRule="auto"/>
      </w:pPr>
      <w:r>
        <w:t>制造业采购决策通常不能只以单价最低为目标。采购组合需要同时考虑需求变化、供应商产能、交期、质量、地域风险和供应集中度。当需求增长或供应商产能受到扰动时，低价但高度集中的采购结构可能带来更高的缺货严重度；相反，增加双供或多供虽然可能提高年度采购成本，却能够降低供应集中度并改善极端场景下的供给弹性。</w:t>
      </w:r>
    </w:p>
    <w:p>
      <w:pPr>
        <w:spacing w:after="120" w:line="276" w:lineRule="auto"/>
      </w:pPr>
      <w:r>
        <w:t>本项目因此把核心问题定义为：在需求、价格、产能、交期和汇率变化下，如何比较“最低成本、均衡、韧性优先”三类采购策略，并量化成本、供应风险、供应集中度和物料缺口之间的权衡。</w:t>
      </w:r>
    </w:p>
    <w:p>
      <w:pPr>
        <w:pStyle w:val="Heading2"/>
      </w:pPr>
      <w:r>
        <w:t>1.2 数据范围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936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物料</w:t>
            </w:r>
          </w:p>
        </w:tc>
        <w:tc>
          <w:tcPr>
            <w:tcW w:type="dxa" w:w="100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供应商数</w:t>
            </w:r>
          </w:p>
        </w:tc>
        <w:tc>
          <w:tcPr>
            <w:tcW w:type="dxa" w:w="17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年度需求（原单位）</w:t>
            </w:r>
          </w:p>
        </w:tc>
        <w:tc>
          <w:tcPr>
            <w:tcW w:type="dxa" w:w="1440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总产能/需求</w:t>
            </w:r>
          </w:p>
        </w:tc>
        <w:tc>
          <w:tcPr>
            <w:tcW w:type="dxa" w:w="1584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平均供应风险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硅晶圆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43,334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2.43×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37.5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M002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光刻胶</w:t>
            </w:r>
          </w:p>
        </w:tc>
        <w:tc>
          <w:tcPr>
            <w:tcW w:type="dxa" w:w="100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34,547</w:t>
            </w:r>
          </w:p>
        </w:tc>
        <w:tc>
          <w:tcPr>
            <w:tcW w:type="dxa" w:w="1440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2.67×</w:t>
            </w:r>
          </w:p>
        </w:tc>
        <w:tc>
          <w:tcPr>
            <w:tcW w:type="dxa" w:w="15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42.7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工艺气体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9,493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2.59×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43.4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M004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CMP抛光液</w:t>
            </w:r>
          </w:p>
        </w:tc>
        <w:tc>
          <w:tcPr>
            <w:tcW w:type="dxa" w:w="100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74,707</w:t>
            </w:r>
          </w:p>
        </w:tc>
        <w:tc>
          <w:tcPr>
            <w:tcW w:type="dxa" w:w="1440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2.52×</w:t>
            </w:r>
          </w:p>
        </w:tc>
        <w:tc>
          <w:tcPr>
            <w:tcW w:type="dxa" w:w="15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43.0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PVD靶材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1,294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2.22×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45.5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M006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封装基板</w:t>
            </w:r>
          </w:p>
        </w:tc>
        <w:tc>
          <w:tcPr>
            <w:tcW w:type="dxa" w:w="100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2,220,421</w:t>
            </w:r>
          </w:p>
        </w:tc>
        <w:tc>
          <w:tcPr>
            <w:tcW w:type="dxa" w:w="1440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2.65×</w:t>
            </w:r>
          </w:p>
        </w:tc>
        <w:tc>
          <w:tcPr>
            <w:tcW w:type="dxa" w:w="15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37.7</w:t>
            </w:r>
          </w:p>
        </w:tc>
      </w:tr>
      <w:tr>
        <w:tc>
          <w:tcPr>
            <w:tcW w:type="dxa" w:w="9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引线框架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2,521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2.43×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41.6</w:t>
            </w:r>
          </w:p>
        </w:tc>
      </w:tr>
      <w:tr>
        <w:tc>
          <w:tcPr>
            <w:tcW w:type="dxa" w:w="936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M008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特种化学品</w:t>
            </w:r>
          </w:p>
        </w:tc>
        <w:tc>
          <w:tcPr>
            <w:tcW w:type="dxa" w:w="100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  <w:tc>
          <w:tcPr>
            <w:tcW w:type="dxa" w:w="17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64,797</w:t>
            </w:r>
          </w:p>
        </w:tc>
        <w:tc>
          <w:tcPr>
            <w:tcW w:type="dxa" w:w="1440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2.44×</w:t>
            </w:r>
          </w:p>
        </w:tc>
        <w:tc>
          <w:tcPr>
            <w:tcW w:type="dxa" w:w="1584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37.4</w:t>
            </w:r>
          </w:p>
        </w:tc>
      </w:tr>
    </w:tbl>
    <w:p/>
    <w:p>
      <w:pPr>
        <w:spacing w:before="40" w:after="120"/>
      </w:pPr>
      <w:r>
        <w:rPr>
          <w:color w:val="646464"/>
          <w:sz w:val="17"/>
        </w:rPr>
        <w:t>注：不同物料单位不同，不能将晶圆片、升、瓶、件、千件等数量直接加总作为整体需求或缺口率。模型在物料层分别计算覆盖率和缺口，再进行汇总。</w:t>
      </w:r>
    </w:p>
    <w:p>
      <w:pPr>
        <w:pStyle w:val="Heading2"/>
      </w:pPr>
      <w:r>
        <w:t>1.3 数据边界</w:t>
      </w:r>
    </w:p>
    <w:p>
      <w:pPr>
        <w:spacing w:after="120" w:line="276" w:lineRule="auto"/>
      </w:pPr>
      <w:r>
        <w:t>数据集包含供应商主数据、模拟报价、12个月需求预测、模拟采购历史、风险事件、EDA/IP授权资源及团队需求。所有字段均用于方法演示。供应商名称、价格、质量PPM、OTD、产能、MOQ、交期和授权费用均不对应真实厂商。</w:t>
      </w:r>
    </w:p>
    <w:p>
      <w:pPr>
        <w:spacing w:after="120" w:line="276" w:lineRule="auto"/>
      </w:pPr>
      <w:r>
        <w:t>因此，本报告可以支持“建立采购成本与风险分析模型、进行情景压力测试、比较采购组合”的项目表述，但不能支持“完成真实供应商谈判、实现真实采购降本、管理真实合同或供应商绩效”的经验声明。</w:t>
      </w:r>
    </w:p>
    <w:p>
      <w:r>
        <w:br w:type="page"/>
      </w:r>
    </w:p>
    <w:p>
      <w:pPr>
        <w:pStyle w:val="Heading1"/>
      </w:pPr>
      <w:r>
        <w:t>2 成本、风险与采购策略模型</w:t>
      </w:r>
    </w:p>
    <w:p>
      <w:pPr>
        <w:pStyle w:val="Heading2"/>
      </w:pPr>
      <w:r>
        <w:t>2.1 成本模型</w:t>
      </w:r>
    </w:p>
    <w:p>
      <w:pPr>
        <w:spacing w:after="120" w:line="276" w:lineRule="auto"/>
      </w:pPr>
      <w:r>
        <w:t>基础到岸成本由供应商报价、单位运费与币种折算构成；在情景分析中，价格乘数作用于供应商报价，外币汇率冲击仅作用于非人民币供应商。Excel 模型允许直接修改人民币基准汇率及情景乘数。</w:t>
      </w:r>
    </w:p>
    <w:p>
      <w:pPr>
        <w:spacing w:after="120" w:line="276" w:lineRule="auto"/>
      </w:pPr>
      <w:r>
        <w:t>确定性分析的五个预设情景分别为：基准、需求上升（需求+20%）、成本压力（价格+10%）、供应中断（可用产能-30%、交期+25%）和汇率冲击（非CNY到岸成本+8%）。</w:t>
      </w:r>
    </w:p>
    <w:p>
      <w:pPr>
        <w:pStyle w:val="Heading2"/>
      </w:pPr>
      <w:r>
        <w:t>2.2 供应风险指数</w:t>
      </w:r>
    </w:p>
    <w:p>
      <w:pPr>
        <w:spacing w:after="120" w:line="276" w:lineRule="auto"/>
      </w:pPr>
      <w:r>
        <w:t>Python 模型把交期、准时交付、质量PPM、产能覆盖、单一来源风险和地缘风险转换为0–100的分析型供应风险指数。该指数是用于相对比较的模型分数，不是供应中断真实发生概率。</w:t>
      </w:r>
    </w:p>
    <w:p>
      <w:pPr>
        <w:spacing w:after="120" w:line="276" w:lineRule="auto"/>
      </w:pPr>
      <w:r>
        <w:t>Excel 动态模型同样保留0–100风险评分，但为了保证交互透明度，其供应商排序、份额分配与风险聚合通过工作表公式直接计算。两套实现的绝对风险分值不应跨模型直接比较，更应关注策略排序和方向是否一致。</w:t>
      </w:r>
    </w:p>
    <w:p>
      <w:pPr>
        <w:pStyle w:val="Heading2"/>
      </w:pPr>
      <w:r>
        <w:t>2.3 三类采购策略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策略</w:t>
            </w:r>
          </w:p>
        </w:tc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主要逻辑</w:t>
            </w:r>
          </w:p>
        </w:tc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目标份额逻辑</w:t>
            </w:r>
          </w:p>
        </w:tc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适用讨论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最低成本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优先调整后到岸成本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第一名优先，必要时调用剩余产能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成本压力较强、供应稳定假设较强</w:t>
            </w:r>
          </w:p>
        </w:tc>
      </w:tr>
      <w:tr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均衡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55%成本指数 + 45%供应风险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前两名约75% / 25%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兼顾成本与集中度的基准方案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韧性优先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30%成本指数 + 70%供应风险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前三名约60% / 30% / 10%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连续供货和尾部风险更重要的场景</w:t>
            </w:r>
          </w:p>
        </w:tc>
      </w:tr>
    </w:tbl>
    <w:p/>
    <w:p>
      <w:pPr>
        <w:spacing w:before="40" w:after="120"/>
      </w:pPr>
      <w:r>
        <w:rPr>
          <w:color w:val="646464"/>
          <w:sz w:val="17"/>
        </w:rPr>
        <w:t>份额是模型中的目标分配逻辑，不代表真实企业采购政策。若目标供应商产能不足，模型会根据剩余可用产能补充分配。</w:t>
      </w:r>
    </w:p>
    <w:p>
      <w:r>
        <w:br w:type="page"/>
      </w:r>
    </w:p>
    <w:p>
      <w:pPr>
        <w:pStyle w:val="Heading1"/>
      </w:pPr>
      <w:r>
        <w:t>3 基准情景：成本与供应韧性的权衡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49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base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9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1  基准情景下三类采购策略的年度采购成本</w:t>
      </w:r>
    </w:p>
    <w:p>
      <w:pPr>
        <w:spacing w:after="120" w:line="276" w:lineRule="auto"/>
      </w:pPr>
      <w:r>
        <w:t>最低成本策略的模型年度采购成本为 168.6 百万元。均衡策略为 171.5 百万元，仅增加约 1.7%；韧性优先为 175.4 百万元，增加约 4.0%。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43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base_risk_hh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4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2  基准情景下模型供应风险与供应商集中度</w:t>
      </w:r>
    </w:p>
    <w:p>
      <w:pPr>
        <w:spacing w:after="120" w:line="276" w:lineRule="auto"/>
      </w:pPr>
      <w:r>
        <w:t>成本增加对应了风险和集中度下降。最低成本策略的成本加权风险为 39.1、HHI 为 0.803；均衡策略分别降至 33.8 和 0.620；韧性优先进一步降至 30.7 和 0.520。</w:t>
      </w:r>
    </w:p>
    <w:p>
      <w:pPr>
        <w:spacing w:after="120" w:line="276" w:lineRule="auto"/>
      </w:pPr>
      <w:r>
        <w:t>在当前模拟参数下，均衡策略体现出较明显的边际性价比：相较最低成本仅增加约1.7%的成本，同时供应风险和集中度均有下降。因此，它适合作为后续业务讨论的“中性基准”，而不是把最低单价直接等同于最优采购组合。</w:t>
      </w:r>
    </w:p>
    <w:p>
      <w:pPr>
        <w:spacing w:before="40" w:after="120"/>
      </w:pPr>
      <w:r>
        <w:rPr>
          <w:color w:val="646464"/>
          <w:sz w:val="17"/>
        </w:rPr>
        <w:t>这里的“适合”仅指当前模型中的分析位置。实际采购仍需加入真实质量认证、切换成本、合同约束、库存、供应商财务状况、区域政策与业务连续性要求。</w:t>
      </w:r>
    </w:p>
    <w:p>
      <w:r>
        <w:br w:type="page"/>
      </w:r>
    </w:p>
    <w:p>
      <w:pPr>
        <w:pStyle w:val="Heading1"/>
      </w:pPr>
      <w:r>
        <w:t>4 五类情景：成本响应与供应结构变化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2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cenario_co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3  五类情景下三类采购策略的年度成本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最低成本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均衡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韧性优先</w:t>
            </w:r>
          </w:p>
        </w:tc>
        <w:tc>
          <w:tcPr>
            <w:tcW w:type="dxa" w:w="1999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均衡策略风险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基准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168.6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171.5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175.4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33.8</w:t>
            </w:r>
          </w:p>
        </w:tc>
      </w:tr>
      <w:tr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需求上升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203.4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205.4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210.4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34.7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成本压力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185.5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188.7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192.9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33.8</w:t>
            </w:r>
          </w:p>
        </w:tc>
      </w:tr>
      <w:tr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供应中断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170.3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171.1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175.1</w:t>
            </w:r>
          </w:p>
        </w:tc>
        <w:tc>
          <w:tcPr>
            <w:tcW w:type="dxa" w:w="1999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35.6</w:t>
            </w:r>
          </w:p>
        </w:tc>
      </w:tr>
      <w:tr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汇率冲击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177.7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180.1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188.4</w:t>
            </w:r>
          </w:p>
        </w:tc>
        <w:tc>
          <w:tcPr>
            <w:tcW w:type="dxa" w:w="199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35.7</w:t>
            </w:r>
          </w:p>
        </w:tc>
      </w:tr>
    </w:tbl>
    <w:p/>
    <w:p>
      <w:pPr>
        <w:spacing w:before="40" w:after="120"/>
      </w:pPr>
      <w:r>
        <w:rPr>
          <w:color w:val="646464"/>
          <w:sz w:val="17"/>
        </w:rPr>
        <w:t>成本单位：百万元 CNY；供应风险为0–100模型指数。</w:t>
      </w:r>
    </w:p>
    <w:p>
      <w:pPr>
        <w:spacing w:after="120" w:line="276" w:lineRule="auto"/>
      </w:pPr>
      <w:r>
        <w:t>需求上升情景下，三类策略均维持100%的确定性物料覆盖，但成本随需求量同步上升；成本压力情景则表现为价格乘数对年度采购成本的直接传导。当前数据集的供应商总产能缓冲较高，因此即使供应中断情景将可用产能下调30%，确定性模型仍未出现缺货。</w:t>
      </w:r>
    </w:p>
    <w:p>
      <w:pPr>
        <w:spacing w:after="120" w:line="276" w:lineRule="auto"/>
      </w:pPr>
      <w:r>
        <w:t>这并不意味着供应中断“没有影响”。一方面，供应中断会迫使模型调整供应商分配，改变集中度与成本加权风险；另一方面，确定性单点情景无法表达多项扰动同时发生的尾部风险，因此仍需通过 Monte Carlo 检查随机波动和低概率严重产能扰动。</w:t>
      </w:r>
    </w:p>
    <w:p>
      <w:pPr>
        <w:spacing w:after="120" w:line="276" w:lineRule="auto"/>
      </w:pPr>
      <w:r>
        <w:t>汇率冲击对三种策略的影响不完全相同。例如最低成本策略年度成本由 168.6 百万元升至 177.7 百万元，而韧性优先由 175.4 百万元升至 188.4 百万元。这反映了不同策略在供应商地域和币种组合上的差异。</w:t>
      </w:r>
    </w:p>
    <w:p>
      <w:r>
        <w:br w:type="page"/>
      </w:r>
    </w:p>
    <w:p>
      <w:pPr>
        <w:pStyle w:val="Heading1"/>
      </w:pPr>
      <w:r>
        <w:t>5 Monte Carlo 压力测试：关注缺口严重度而非单一概率</w:t>
      </w:r>
    </w:p>
    <w:p>
      <w:pPr>
        <w:spacing w:after="120" w:line="276" w:lineRule="auto"/>
      </w:pPr>
      <w:r>
        <w:t>Python 流水线进行了600次随机模拟，同时扰动需求、价格、外币汇率、供应商产能，并引入低概率较严重的产能中断。该测试用于比较策略的稳健性，不是对未来供应中断概率的预测。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38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c_short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4  Monte Carlo 下的平均缺口率与 P90 最大物料缺口率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36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c_co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5  Monte Carlo 下的平均成本与 P90 成本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策略</w:t>
            </w:r>
          </w:p>
        </w:tc>
        <w:tc>
          <w:tcPr>
            <w:tcW w:type="dxa" w:w="14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平均成本</w:t>
            </w:r>
          </w:p>
        </w:tc>
        <w:tc>
          <w:tcPr>
            <w:tcW w:type="dxa" w:w="14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P90成本</w:t>
            </w:r>
          </w:p>
        </w:tc>
        <w:tc>
          <w:tcPr>
            <w:tcW w:type="dxa" w:w="14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平均物料缺口率</w:t>
            </w:r>
          </w:p>
        </w:tc>
        <w:tc>
          <w:tcPr>
            <w:tcW w:type="dxa" w:w="14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任一物料缺货概率</w:t>
            </w:r>
          </w:p>
        </w:tc>
        <w:tc>
          <w:tcPr>
            <w:tcW w:type="dxa" w:w="14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P90最大物料缺口率</w:t>
            </w:r>
          </w:p>
        </w:tc>
        <w:tc>
          <w:tcPr>
            <w:tcW w:type="dxa" w:w="142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平均风险</w:t>
            </w:r>
          </w:p>
        </w:tc>
      </w:tr>
      <w:tr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最低成本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168.6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192.5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2.5%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49.2%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53.1%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38.5</w:t>
            </w:r>
          </w:p>
        </w:tc>
      </w:tr>
      <w:tr>
        <w:tc>
          <w:tcPr>
            <w:tcW w:type="dxa" w:w="14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均衡</w:t>
            </w:r>
          </w:p>
        </w:tc>
        <w:tc>
          <w:tcPr>
            <w:tcW w:type="dxa" w:w="14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170.5</w:t>
            </w:r>
          </w:p>
        </w:tc>
        <w:tc>
          <w:tcPr>
            <w:tcW w:type="dxa" w:w="14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194.1</w:t>
            </w:r>
          </w:p>
        </w:tc>
        <w:tc>
          <w:tcPr>
            <w:tcW w:type="dxa" w:w="14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2.2%</w:t>
            </w:r>
          </w:p>
        </w:tc>
        <w:tc>
          <w:tcPr>
            <w:tcW w:type="dxa" w:w="14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51.8%</w:t>
            </w:r>
          </w:p>
        </w:tc>
        <w:tc>
          <w:tcPr>
            <w:tcW w:type="dxa" w:w="14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43.3%</w:t>
            </w:r>
          </w:p>
        </w:tc>
        <w:tc>
          <w:tcPr>
            <w:tcW w:type="dxa" w:w="142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35.2</w:t>
            </w:r>
          </w:p>
        </w:tc>
      </w:tr>
      <w:tr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韧性优先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175.4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199.4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2.1%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50.0%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34.5%</w:t>
            </w:r>
          </w:p>
        </w:tc>
        <w:tc>
          <w:tcPr>
            <w:tcW w:type="dxa" w:w="14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30.6</w:t>
            </w:r>
          </w:p>
        </w:tc>
      </w:tr>
    </w:tbl>
    <w:p/>
    <w:p>
      <w:pPr>
        <w:spacing w:before="40" w:after="120"/>
      </w:pPr>
      <w:r>
        <w:rPr>
          <w:color w:val="646464"/>
          <w:sz w:val="17"/>
        </w:rPr>
        <w:t>成本单位：百万元 CNY。“任一物料缺货概率”是至少一种物料出现模型化缺口的模拟比例，不代表工厂停线概率。</w:t>
      </w:r>
    </w:p>
    <w:p>
      <w:pPr>
        <w:spacing w:after="120" w:line="276" w:lineRule="auto"/>
      </w:pPr>
      <w:r>
        <w:t>值得注意的是，“任一物料缺货概率”在三种策略间非常接近，甚至均衡策略略高于最低成本。这说明单看事件是否发生并不能判断策略优劣。真正能区分采购韧性的是缺口的平均严重度和尾部严重度。</w:t>
      </w:r>
    </w:p>
    <w:p>
      <w:pPr>
        <w:spacing w:after="120" w:line="276" w:lineRule="auto"/>
      </w:pPr>
      <w:r>
        <w:t>最低成本策略的 P90 最大物料缺口率为 53.1%；均衡策略降至 43.3%；韧性优先进一步降至 34.5%。与此同时，韧性优先的平均成本较最低成本高约 4.0%。因此，模型呈现的是“用约4%的平均成本溢价降低尾部缺口严重度”的结构，而不是保证完全不发生缺货。</w:t>
      </w:r>
    </w:p>
    <w:p>
      <w:r>
        <w:br w:type="page"/>
      </w:r>
    </w:p>
    <w:p>
      <w:pPr>
        <w:pStyle w:val="Heading1"/>
      </w:pPr>
      <w:r>
        <w:t>6 EDA/IP 授权采购扩展</w:t>
      </w:r>
    </w:p>
    <w:p>
      <w:pPr>
        <w:spacing w:after="120" w:line="276" w:lineRule="auto"/>
      </w:pPr>
      <w:r>
        <w:t>EDA/IP采购与实物物料采购不同：其核心资源不是运输中的物料，而是授权数、并发使用率、项目周期、年度费用和续约条件。本项目因此没有直接复用供应商产能模型，而是把通用框架中的“需求—成本—覆盖”逻辑映射到授权资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840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da_dema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84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6  需求 +20% 时 EDA/IP 授权策略的成本—覆盖权衡</w:t>
      </w:r>
    </w:p>
    <w:p>
      <w:pPr>
        <w:spacing w:after="120" w:line="276" w:lineRule="auto"/>
      </w:pPr>
      <w:r>
        <w:t>在需求+20%的模拟下，精简策略年度授权成本为 19.9 百万元，峰值覆盖率为 92.9%，估计存在 11 个峰值缺口；当前策略成本为 21.9 百万元，覆盖率 99.0%，峰值缺口为 2；缓冲策略以 25.6 百万元实现100%模型峰值覆盖。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81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eda_grow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8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图 7  项目增长情景下 EDA/IP 授权策略的成本—覆盖权衡</w:t>
      </w:r>
    </w:p>
    <w:p>
      <w:pPr>
        <w:spacing w:after="120" w:line="276" w:lineRule="auto"/>
      </w:pPr>
      <w:r>
        <w:t>项目增长情景下，当前策略的峰值覆盖率降至 94.3%，估计峰值缺口为 10；缓冲策略仍保持100%覆盖，但年度授权成本升至 26.8 百万元。</w:t>
      </w:r>
    </w:p>
    <w:p>
      <w:pPr>
        <w:spacing w:after="120" w:line="276" w:lineRule="auto"/>
      </w:pPr>
      <w:r>
        <w:t>因此，EDA/IP采购不宜仅按当前平均使用率配置授权数量。更合理的分析应同时考虑峰值并发、项目增长、授权类型、排队容忍度、关键项目优先级和续约成本。真实业务中还需要加入Vendor折扣、bundle条款、License借用规则、合同期限、IP Royalty和项目里程碑。</w:t>
      </w:r>
    </w:p>
    <w:p>
      <w:r>
        <w:br w:type="page"/>
      </w:r>
    </w:p>
    <w:p>
      <w:pPr>
        <w:pStyle w:val="Heading1"/>
      </w:pPr>
      <w:r>
        <w:t>7 Excel 交互模型与 Python 参考结果</w:t>
      </w:r>
    </w:p>
    <w:p>
      <w:pPr>
        <w:spacing w:after="120" w:line="276" w:lineRule="auto"/>
      </w:pPr>
      <w:r>
        <w:t>Excel模型承担可编辑决策演示：用户可以选择情景和策略，并调整需求、价格、产能、交期、外币汇率与EDA/IP授权策略。Python模型承担独立批量分析与压力测试。两者并非完全相同的数学实现，因此不应要求风险分值绝对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Excel动态模型：基准/均衡</w:t>
            </w:r>
          </w:p>
        </w:tc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Python参考：基准/均衡</w:t>
            </w:r>
          </w:p>
        </w:tc>
        <w:tc>
          <w:tcPr>
            <w:tcW w:type="dxa" w:w="2498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解读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年度采购成本（百万元）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171.472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171.528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差异约0.03%，成本结果高度接近</w:t>
            </w:r>
          </w:p>
        </w:tc>
      </w:tr>
      <w:tr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物料覆盖率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100.0%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100.0%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两者均为100%</w:t>
            </w:r>
          </w:p>
        </w:tc>
      </w:tr>
      <w:tr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供应风险指数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27.7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33.8</w:t>
            </w:r>
          </w:p>
        </w:tc>
        <w:tc>
          <w:tcPr>
            <w:tcW w:type="dxa" w:w="249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实现与聚合口径不同，不跨模型比较绝对值</w:t>
            </w:r>
          </w:p>
        </w:tc>
      </w:tr>
      <w:tr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供应商集中度 HHI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0.613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0.620</w:t>
            </w:r>
          </w:p>
        </w:tc>
        <w:tc>
          <w:tcPr>
            <w:tcW w:type="dxa" w:w="2498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方向和数量级接近</w:t>
            </w:r>
          </w:p>
        </w:tc>
      </w:tr>
    </w:tbl>
    <w:p/>
    <w:p>
      <w:pPr>
        <w:spacing w:after="120" w:line="276" w:lineRule="auto"/>
      </w:pPr>
      <w:r>
        <w:t>两套模型在成本、覆盖率和集中度上的方向一致，说明Excel交互模型能够合理复现Python批量分析的主要采购组合逻辑。风险指数差异较大，是因为Excel使用当前动态分配后的物料级成本加权风险，而Python参考模型的供应商风险和分配逻辑独立计算。报告因此只在各自模型内部比较风险，不把27.7和33.8解释为谁“更准确”。</w:t>
      </w:r>
    </w:p>
    <w:p>
      <w:pPr>
        <w:spacing w:after="120" w:line="276" w:lineRule="auto"/>
      </w:pPr>
      <w:r>
        <w:t>这种双实现方式本身也是项目的一项设计：Excel提高业务可操作性和可解释性，Python负责数据校验、批量情景和随机压力测试。</w:t>
      </w:r>
    </w:p>
    <w:p>
      <w:r>
        <w:br w:type="page"/>
      </w:r>
    </w:p>
    <w:p>
      <w:pPr>
        <w:pStyle w:val="Heading1"/>
      </w:pPr>
      <w:r>
        <w:t>8 决策框架、下一步数据与项目局限</w:t>
      </w:r>
    </w:p>
    <w:p>
      <w:pPr>
        <w:pStyle w:val="Heading2"/>
      </w:pPr>
      <w:r>
        <w:t>8.1 当前模型支持的决策框架</w:t>
      </w:r>
    </w:p>
    <w:p>
      <w:pPr>
        <w:spacing w:after="120" w:line="276" w:lineRule="auto"/>
      </w:pPr>
      <w:r>
        <w:t>在当前模拟条件下，可以把三类策略理解为三个不同的业务偏好，而不是固定的排名。最低成本策略强调采购金额最小化，但供应集中度与尾部缺口严重度更高；均衡策略以较小成本溢价换取更低集中度和风险；韧性优先进一步降低模型风险和尾部缺口严重度，但承担更高采购成本。</w:t>
      </w:r>
    </w:p>
    <w:p>
      <w:pPr>
        <w:spacing w:after="120" w:line="276" w:lineRule="auto"/>
      </w:pPr>
      <w:r>
        <w:t>因此，采购策略选择的关键不是“哪种策略绝对最好”，而是企业愿意为供应连续性支付多少成本，以及关键物料中断的业务损失有多大。对于高停线损失、长认证周期或单一来源特征明显的物料，真实企业可能给供应韧性更高权重；对于标准化程度高、替代供应充分的物料，则可能更重视成本。</w:t>
      </w:r>
    </w:p>
    <w:p>
      <w:pPr>
        <w:pStyle w:val="Heading2"/>
      </w:pPr>
      <w:r>
        <w:t>8.2 升级为企业级模型需要的数据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数据类别</w:t>
            </w:r>
          </w:p>
        </w:tc>
        <w:tc>
          <w:tcPr>
            <w:tcW w:type="dxa" w:w="333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当前项目</w:t>
            </w:r>
          </w:p>
        </w:tc>
        <w:tc>
          <w:tcPr>
            <w:tcW w:type="dxa" w:w="333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企业级升级需要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采购价格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模拟报价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真实报价、阶梯价、返利、税费、付款条款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供应能力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模拟月产能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承诺产能、实际交付、爬坡计划、产能锁定条款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质量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模拟PPM/事件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IQC、退货、SCAR、良率影响、供应商质量审核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需求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模拟12个月预测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S&amp;OP/ERP预测、产品BOM、NPI爬坡、订单变化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业务连续性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分析型风险分数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认证周期、切换成本、安全库存、停线损失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EDA/IP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模拟授权数与费用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真实并发日志、License类型、折扣、Royalty与合同条款</w:t>
            </w:r>
          </w:p>
        </w:tc>
      </w:tr>
    </w:tbl>
    <w:p/>
    <w:p>
      <w:pPr>
        <w:pStyle w:val="Heading2"/>
      </w:pPr>
      <w:r>
        <w:t>8.3 局限性</w:t>
      </w:r>
    </w:p>
    <w:p>
      <w:pPr>
        <w:spacing w:after="120" w:line="276" w:lineRule="auto"/>
      </w:pPr>
      <w:r>
        <w:t>第一，所有业务数据为模拟数据，结果高度依赖参数设置，不能外推为真实市场或企业结论。第二，供应风险分数是人工设定权重的分析指数，不是统计估计的中断概率。第三，确定性情景没有完整表达供应商相关性、运输网络、库存策略和多层级BOM。第四，Monte Carlo中的分布和中断概率也是建模假设，只用于比较策略对随机扰动的敏感性。第五，EDA/IP扩展只覆盖授权需求、年度成本和峰值覆盖，尚未建模真实合同、bundle、Royalty和项目优先级。</w:t>
      </w:r>
    </w:p>
    <w:p>
      <w:pPr>
        <w:pStyle w:val="Heading2"/>
      </w:pPr>
      <w:r>
        <w:t>8.4 项目结论</w:t>
      </w:r>
    </w:p>
    <w:p>
      <w:pPr>
        <w:spacing w:after="120" w:line="276" w:lineRule="auto"/>
      </w:pPr>
      <w:r>
        <w:t>本项目完成了从模拟采购数据、指标计算、成本—风险模型、确定性情景、Monte Carlo压力测试到Excel交互看板的完整分析链，并把同一逻辑扩展到EDA/IP授权采购。项目的主要价值不是给出一个固定采购答案，而是展示如何把供应链问题拆解为可计算、可调整、可追溯的成本—需求—供应风险权衡。</w:t>
      </w:r>
    </w:p>
    <w:p>
      <w:pPr>
        <w:spacing w:after="120" w:line="276" w:lineRule="auto"/>
      </w:pPr>
      <w:r>
        <w:t>从当前模拟结果看，“均衡”可以作为一般采购讨论的基准策略，“韧性优先”在尾部供应缺口严重度方面表现更稳健；EDA/IP场景则显示，当需求或项目数量上升时，单纯压低授权数会更快暴露峰值覆盖缺口。上述结论仅属于当前模拟模型内部，不应表述为真实公司的采购建议或实际成本节省。</w:t>
      </w:r>
    </w:p>
    <w:p>
      <w:r>
        <w:br w:type="page"/>
      </w:r>
    </w:p>
    <w:p>
      <w:pPr>
        <w:pStyle w:val="Heading1"/>
      </w:pPr>
      <w:r>
        <w:t>附录 A｜主要模型参数与结果文件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33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 / 工作表</w:t>
            </w:r>
          </w:p>
        </w:tc>
        <w:tc>
          <w:tcPr>
            <w:tcW w:type="dxa" w:w="3331"/>
            <w:vAlign w:val="center"/>
            <w:shd w:fill="2F5597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Python数据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supplier_master.csv / quotation.csv / demand_forecast.csv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供应商、报价与需求基础数据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Python输出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scenario_strategy_summary.csv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5情景 × 3策略确定性结果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Python输出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monte_carlo_strategy_summary.csv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600次压力测试汇总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Python输出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eda_ip_scenario_summary.csv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EDA/IP授权情景结果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01_Assumptions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情景、策略、汇率和EDA/IP控制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04_Cost_Risk_Model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动态供应商成本、风险与分配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05_Material_Summary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物料层覆盖、成本、风险与HHI</w:t>
            </w:r>
          </w:p>
        </w:tc>
      </w:tr>
      <w:tr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09_Dashboard</w:t>
            </w:r>
          </w:p>
        </w:tc>
        <w:tc>
          <w:tcPr>
            <w:tcW w:type="dxa" w:w="3331"/>
            <w:vAlign w:val="center"/>
            <w:shd w:fill="F4F7FA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采购决策看板</w:t>
            </w:r>
          </w:p>
        </w:tc>
      </w:tr>
    </w:tbl>
    <w:p/>
    <w:p>
      <w:pPr>
        <w:spacing w:before="40" w:after="120"/>
      </w:pPr>
      <w:r>
        <w:rPr>
          <w:color w:val="646464"/>
          <w:sz w:val="17"/>
        </w:rPr>
        <w:t>Python完整包：procurement_cost_risk_python_v1.zip；Excel：半导体采购成本_需求_供应风险决策模型_v1_CN.xlsx。</w:t>
      </w:r>
    </w:p>
    <w:p>
      <w:pPr>
        <w:pStyle w:val="Heading1"/>
      </w:pPr>
      <w:r>
        <w:t>附录 B｜面试与简历使用边界</w:t>
      </w:r>
    </w:p>
    <w:p>
      <w:pPr>
        <w:spacing w:after="120" w:line="276" w:lineRule="auto"/>
      </w:pPr>
      <w:r>
        <w:t>可准确表述为：使用Python和Excel建立模拟采购数据集与成本/供应风险分析模型；比较不同采购策略在需求、价格、产能、汇率扰动下的表现；通过Monte Carlo分析成本分布与物料缺口严重度；扩展EDA/IP License需求与授权成本情景。</w:t>
      </w:r>
    </w:p>
    <w:p>
      <w:pPr>
        <w:spacing w:after="120" w:line="276" w:lineRule="auto"/>
      </w:pPr>
      <w:r>
        <w:t>不应表述为：有真实供应商谈判经验、完成真实采购降本、负责真实采购合同或Vendor管理、掌握真实供应商价格/产能、实际决定企业采购策略。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半导体采购成本—需求—供应风险分析报告</dc:title>
  <dc:subject>采购与供应链分析项目</dc:subject>
  <dc:creator>python-docx</dc:creator>
  <cp:keywords/>
  <dc:description>基于模拟数据的求职项目分析报告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