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3" w:name="视觉力学传感器企业战略转型研究以hsm为例"/>
    <w:p>
      <w:pPr>
        <w:pStyle w:val="2"/>
      </w:pPr>
      <w:r>
        <w:t xml:space="preserve">视觉力学传感器企业战略转型研究——以HSM为例</w:t>
      </w:r>
    </w:p>
    <w:bookmarkStart w:id="22" w:name="X19cb4886134ade5e083b70b36f830d0638601e2"/>
    <w:p>
      <w:pPr>
        <w:pStyle w:val="3"/>
      </w:pPr>
      <w:r>
        <w:t xml:space="preserve">Research on Strategic Transformation of Vision Force Sensor Enterprises——Taking HSM as an Example</w:t>
      </w:r>
    </w:p>
    <w:bookmarkStart w:id="21"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p>
      <w:pPr>
        <w:pStyle w:val="FirstParagraph"/>
      </w:pPr>
      <w:r>
        <w:t xml:space="preserve">硕士研究生学位论文</w:t>
      </w:r>
    </w:p>
    <w:tbl>
      <w:tblPr>
        <w:tblStyle w:val="Table"/>
        <w:tblW w:type="pct" w:w="4865"/>
        <w:tblLook w:firstRow="0" w:lastRow="0" w:firstColumn="0" w:lastColumn="0" w:noHBand="0" w:noVBand="0" w:val="0000"/>
      </w:tblPr>
      <w:tblGrid>
        <w:gridCol w:w="1498"/>
        <w:gridCol w:w="6207"/>
      </w:tblGrid>
      <w:tr>
        <w:tc>
          <w:tcPr/>
          <w:p>
            <w:pPr>
              <w:pStyle w:val="Compact"/>
              <w:jc w:val="left"/>
            </w:pPr>
            <w:r>
              <w:t xml:space="preserve">题目：</w:t>
            </w:r>
          </w:p>
        </w:tc>
        <w:tc>
          <w:tcPr/>
          <w:p>
            <w:pPr>
              <w:pStyle w:val="Compact"/>
              <w:jc w:val="left"/>
            </w:pPr>
            <w:r>
              <w:t xml:space="preserve">视觉力学传感器企业战略</w:t>
            </w:r>
          </w:p>
        </w:tc>
      </w:tr>
      <w:tr>
        <w:tc>
          <w:tcPr/>
          <w:p>
            <w:pPr>
              <w:pStyle w:val="Compact"/>
            </w:pPr>
          </w:p>
        </w:tc>
        <w:tc>
          <w:tcPr/>
          <w:p>
            <w:pPr>
              <w:pStyle w:val="Compact"/>
              <w:jc w:val="left"/>
            </w:pPr>
            <w:r>
              <w:t xml:space="preserve">转型研究以HSM为例</w:t>
            </w:r>
          </w:p>
        </w:tc>
      </w:tr>
    </w:tbl>
    <w:p/>
    <w:tbl>
      <w:tblPr>
        <w:tblStyle w:val="Table"/>
        <w:tblW w:type="pct" w:w="4865"/>
        <w:tblLook w:firstRow="0" w:lastRow="0" w:firstColumn="0" w:lastColumn="0" w:noHBand="0" w:noVBand="0" w:val="0000"/>
      </w:tblPr>
      <w:tblGrid>
        <w:gridCol w:w="2247"/>
        <w:gridCol w:w="5458"/>
      </w:tblGrid>
      <w:tr>
        <w:tc>
          <w:tcPr/>
          <w:p>
            <w:pPr>
              <w:pStyle w:val="Compact"/>
              <w:jc w:val="left"/>
            </w:pPr>
            <w:r>
              <w:t xml:space="preserve">姓 名：</w:t>
            </w:r>
          </w:p>
        </w:tc>
        <w:tc>
          <w:tcPr/>
          <w:p>
            <w:pPr>
              <w:pStyle w:val="Compact"/>
              <w:jc w:val="left"/>
            </w:pPr>
            <w:r>
              <w:t xml:space="preserve">毕胜昔</w:t>
            </w:r>
          </w:p>
        </w:tc>
      </w:tr>
      <w:tr>
        <w:tc>
          <w:tcPr/>
          <w:p>
            <w:pPr>
              <w:pStyle w:val="Compact"/>
              <w:jc w:val="left"/>
            </w:pPr>
            <w:r>
              <w:t xml:space="preserve">学 号：</w:t>
            </w:r>
          </w:p>
        </w:tc>
        <w:tc>
          <w:tcPr/>
          <w:p>
            <w:pPr>
              <w:pStyle w:val="Compact"/>
              <w:jc w:val="left"/>
            </w:pPr>
            <w:r>
              <w:t xml:space="preserve">2401221616</w:t>
            </w:r>
          </w:p>
        </w:tc>
      </w:tr>
      <w:tr>
        <w:tc>
          <w:tcPr/>
          <w:p>
            <w:pPr>
              <w:pStyle w:val="Compact"/>
              <w:jc w:val="left"/>
            </w:pPr>
            <w:r>
              <w:t xml:space="preserve">院 系：</w:t>
            </w:r>
          </w:p>
        </w:tc>
        <w:tc>
          <w:tcPr/>
          <w:p>
            <w:pPr>
              <w:pStyle w:val="Compact"/>
              <w:jc w:val="left"/>
            </w:pPr>
            <w:r>
              <w:t xml:space="preserve">汇丰商学院</w:t>
            </w:r>
          </w:p>
        </w:tc>
      </w:tr>
      <w:tr>
        <w:tc>
          <w:tcPr/>
          <w:p>
            <w:pPr>
              <w:pStyle w:val="Compact"/>
              <w:jc w:val="left"/>
            </w:pPr>
            <w:r>
              <w:t xml:space="preserve">专 业：</w:t>
            </w:r>
          </w:p>
        </w:tc>
        <w:tc>
          <w:tcPr/>
          <w:p>
            <w:pPr>
              <w:pStyle w:val="Compact"/>
              <w:jc w:val="left"/>
            </w:pPr>
            <w:r>
              <w:t xml:space="preserve">高级管理人员工商管理硕士</w:t>
            </w:r>
          </w:p>
        </w:tc>
      </w:tr>
      <w:tr>
        <w:tc>
          <w:tcPr/>
          <w:p>
            <w:pPr>
              <w:pStyle w:val="Compact"/>
              <w:jc w:val="left"/>
            </w:pPr>
            <w:r>
              <w:t xml:space="preserve">研究方向：</w:t>
            </w:r>
          </w:p>
        </w:tc>
        <w:tc>
          <w:tcPr/>
          <w:p>
            <w:pPr>
              <w:pStyle w:val="Compact"/>
              <w:jc w:val="left"/>
            </w:pPr>
            <w:r>
              <w:t xml:space="preserve">企业战略转型</w:t>
            </w:r>
          </w:p>
        </w:tc>
      </w:tr>
      <w:tr>
        <w:tc>
          <w:tcPr/>
          <w:p>
            <w:pPr>
              <w:pStyle w:val="Compact"/>
              <w:jc w:val="left"/>
            </w:pPr>
            <w:r>
              <w:t xml:space="preserve">导师姓名：</w:t>
            </w:r>
          </w:p>
        </w:tc>
        <w:tc>
          <w:tcPr/>
          <w:p>
            <w:pPr>
              <w:pStyle w:val="Compact"/>
              <w:jc w:val="left"/>
            </w:pPr>
            <w:r>
              <w:t xml:space="preserve">宋教授</w:t>
            </w:r>
          </w:p>
        </w:tc>
      </w:tr>
    </w:tbl>
    <w:p>
      <w:pPr>
        <w:pStyle w:val="BodyText"/>
      </w:pPr>
      <w:r>
        <w:t xml:space="preserve">学术学位 专业学位</w:t>
      </w:r>
    </w:p>
    <w:p>
      <w:pPr>
        <w:pStyle w:val="BodyText"/>
      </w:pPr>
      <w:r>
        <w:t xml:space="preserve">二〇二六年 二月</w:t>
      </w:r>
    </w:p>
    <w:p>
      <w:pPr>
        <w:pStyle w:val="BodyText"/>
      </w:pPr>
      <w:r>
        <w:t xml:space="preserve">版权声明</w:t>
      </w:r>
    </w:p>
    <w:p>
      <w:pPr>
        <w:pStyle w:val="BodyText"/>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[]{#_Toc222913118 .anchor}摘要</w:t>
      </w:r>
    </w:p>
    <w:p>
      <w:pPr>
        <w:pStyle w:val="BodyText"/>
      </w:pPr>
      <w:r>
        <w:t xml:space="preserve">本文以HSM公司为案例，研究视觉力学传感器企业在数字化转型和国产替代背景下的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w:t>
      </w:r>
    </w:p>
    <w:p>
      <w:pPr>
        <w:pStyle w:val="BodyText"/>
      </w:pPr>
      <w:r>
        <w:t xml:space="preserve">Research on Strategic Transformation of Visual Force Sensor Enterprises: A Case Study of HSM</w:t>
      </w:r>
    </w:p>
    <w:p>
      <w:pPr>
        <w:pStyle w:val="BodyText"/>
      </w:pPr>
      <w:r>
        <w:t xml:space="preserve">Bi Shengxi (EMBA Program)</w:t>
      </w:r>
    </w:p>
    <w:p>
      <w:pPr>
        <w:pStyle w:val="BodyText"/>
      </w:pPr>
      <w:r>
        <w:t xml:space="preserve">Supervised by Professor Song</w:t>
      </w:r>
    </w:p>
    <w:p>
      <w:pPr>
        <w:pStyle w:val="BodyText"/>
      </w:pPr>
      <w:r>
        <w:t xml:space="preserve">[]{#_Toc80108601 .anchor}ABSTRACT</w:t>
      </w:r>
    </w:p>
    <w:p>
      <w:pPr>
        <w:pStyle w:val="BodyText"/>
      </w:pPr>
      <w:r>
        <w:t xml:space="preserve">This paper takes Shenzhen Haytham Technology Co., Ltd. (HSM) as a case</w:t>
      </w:r>
      <w:r>
        <w:t xml:space="preserve"> </w:t>
      </w:r>
      <w:r>
        <w:t xml:space="preserve">study to examine the strategic transformation of visual force sensor</w:t>
      </w:r>
      <w:r>
        <w:t xml:space="preserve"> </w:t>
      </w:r>
      <w:r>
        <w:t xml:space="preserve">enterprises in the context of digital transformation and domestic</w:t>
      </w:r>
      <w:r>
        <w:t xml:space="preserve"> </w:t>
      </w:r>
      <w:r>
        <w:t xml:space="preserve">substitution. With the normalization of Sino-US technological</w:t>
      </w:r>
      <w:r>
        <w:t xml:space="preserve"> </w:t>
      </w:r>
      <w:r>
        <w:t xml:space="preserve">competition and the deepening of Industry 4.0 strategy, visual force</w:t>
      </w:r>
      <w:r>
        <w:t xml:space="preserve"> </w:t>
      </w:r>
      <w:r>
        <w:t xml:space="preserve">sensors, as the core technology for infrastructure safety monitoring,</w:t>
      </w:r>
      <w:r>
        <w:t xml:space="preserve"> </w:t>
      </w:r>
      <w:r>
        <w:t xml:space="preserve">are rapidly evolving from laboratory research tools to industrial-grade</w:t>
      </w:r>
      <w:r>
        <w:t xml:space="preserve"> </w:t>
      </w:r>
      <w:r>
        <w:t xml:space="preserve">standardized products. As a globally leading provider of DIC visual</w:t>
      </w:r>
      <w:r>
        <w:t xml:space="preserve"> </w:t>
      </w:r>
      <w:r>
        <w:t xml:space="preserve">sensing technology solutions, HSM faces strategic challenges in</w:t>
      </w:r>
      <w:r>
        <w:t xml:space="preserve"> </w:t>
      </w:r>
      <w:r>
        <w:t xml:space="preserve">transitioning from project-based to product-driven business models</w:t>
      </w:r>
      <w:r>
        <w:t xml:space="preserve"> </w:t>
      </w:r>
      <w:r>
        <w:t xml:space="preserve">during its rapid development.</w:t>
      </w:r>
    </w:p>
    <w:p>
      <w:pPr>
        <w:pStyle w:val="BodyText"/>
      </w:pPr>
      <w:r>
        <w:t xml:space="preserve">This research adopts a case study methodology, combining literature</w:t>
      </w:r>
      <w:r>
        <w:t xml:space="preserve"> </w:t>
      </w:r>
      <w:r>
        <w:t xml:space="preserve">review, PEST analysis, Porter’s Five Forces model, and SWOT analysis to</w:t>
      </w:r>
      <w:r>
        <w:t xml:space="preserve"> </w:t>
      </w:r>
      <w:r>
        <w:t xml:space="preserve">systematically analyze the drivers, implementation paths, and outcomes</w:t>
      </w:r>
      <w:r>
        <w:t xml:space="preserve"> </w:t>
      </w:r>
      <w:r>
        <w:t xml:space="preserve">of HSM’s strategic transformation. The study finds that the</w:t>
      </w:r>
      <w:r>
        <w:t xml:space="preserve"> </w:t>
      </w:r>
      <w:r>
        <w:t xml:space="preserve">project-based model led to issues such as long payment cycles (accounts</w:t>
      </w:r>
      <w:r>
        <w:t xml:space="preserve"> </w:t>
      </w:r>
      <w:r>
        <w:t xml:space="preserve">receivable turnover days reaching 270 days) and high personnel costs,</w:t>
      </w:r>
      <w:r>
        <w:t xml:space="preserve"> </w:t>
      </w:r>
      <w:r>
        <w:t xml:space="preserve">driving the company’s shift toward productization. The transformation</w:t>
      </w:r>
      <w:r>
        <w:t xml:space="preserve"> </w:t>
      </w:r>
      <w:r>
        <w:t xml:space="preserve">implementation path includes: technological strategy—building three</w:t>
      </w:r>
      <w:r>
        <w:t xml:space="preserve"> </w:t>
      </w:r>
      <w:r>
        <w:t xml:space="preserve">major product lines centered on third-generation DIC technology; market</w:t>
      </w:r>
      <w:r>
        <w:t xml:space="preserve"> </w:t>
      </w:r>
      <w:r>
        <w:t xml:space="preserve">strategy—expanding from research markets to industrial markets;</w:t>
      </w:r>
      <w:r>
        <w:t xml:space="preserve"> </w:t>
      </w:r>
      <w:r>
        <w:t xml:space="preserve">organizational strategy—optimizing talent structure (R&amp;D personnel</w:t>
      </w:r>
      <w:r>
        <w:t xml:space="preserve"> </w:t>
      </w:r>
      <w:r>
        <w:t xml:space="preserve">ratio increased from 25% to 45%); digital transformation—constructing</w:t>
      </w:r>
      <w:r>
        <w:t xml:space="preserve"> </w:t>
      </w:r>
      <w:r>
        <w:t xml:space="preserve">a safety monitoring large model platform; and ecosystem</w:t>
      </w:r>
      <w:r>
        <w:t xml:space="preserve"> </w:t>
      </w:r>
      <w:r>
        <w:t xml:space="preserve">collaboration—establishing an industry-academia-research-application</w:t>
      </w:r>
      <w:r>
        <w:t xml:space="preserve"> </w:t>
      </w:r>
      <w:r>
        <w:t xml:space="preserve">collaborative innovation system.</w:t>
      </w:r>
    </w:p>
    <w:p>
      <w:pPr>
        <w:pStyle w:val="BodyText"/>
      </w:pPr>
      <w:r>
        <w:t xml:space="preserve">The transformation effectiveness evaluation shows that HSM has achieved</w:t>
      </w:r>
      <w:r>
        <w:t xml:space="preserve"> </w:t>
      </w:r>
      <w:r>
        <w:t xml:space="preserve">significant improvements across five dimensions: financial performance,</w:t>
      </w:r>
      <w:r>
        <w:t xml:space="preserve"> </w:t>
      </w:r>
      <w:r>
        <w:t xml:space="preserve">market position, technological innovation, organizational capability,</w:t>
      </w:r>
      <w:r>
        <w:t xml:space="preserve"> </w:t>
      </w:r>
      <w:r>
        <w:t xml:space="preserve">and sustainable development. Gross profit margin increased from 45% to</w:t>
      </w:r>
      <w:r>
        <w:t xml:space="preserve"> </w:t>
      </w:r>
      <w:r>
        <w:t xml:space="preserve">65%, net profit margin from 8% to 18%, accounts receivable turnover days</w:t>
      </w:r>
      <w:r>
        <w:t xml:space="preserve"> </w:t>
      </w:r>
      <w:r>
        <w:t xml:space="preserve">shortened from 270 to 90 days, and per capita output increased by 2.5</w:t>
      </w:r>
      <w:r>
        <w:t xml:space="preserve"> </w:t>
      </w:r>
      <w:r>
        <w:t xml:space="preserve">times. The research concludes that strategic transformation of hard-tech</w:t>
      </w:r>
      <w:r>
        <w:t xml:space="preserve"> </w:t>
      </w:r>
      <w:r>
        <w:t xml:space="preserve">enterprises must be driven by technological innovation, building</w:t>
      </w:r>
      <w:r>
        <w:t xml:space="preserve"> </w:t>
      </w:r>
      <w:r>
        <w:t xml:space="preserve">sustainable competitive advantages through product standardization,</w:t>
      </w:r>
      <w:r>
        <w:t xml:space="preserve"> </w:t>
      </w:r>
      <w:r>
        <w:t xml:space="preserve">organizational restructuring, and ecosystem collaboration.</w:t>
      </w:r>
    </w:p>
    <w:p>
      <w:pPr>
        <w:pStyle w:val="BodyText"/>
      </w:pPr>
      <w:r>
        <w:t xml:space="preserve">This study enriches the theoretical framework of technology enterprise</w:t>
      </w:r>
      <w:r>
        <w:t xml:space="preserve"> </w:t>
      </w:r>
      <w:r>
        <w:t xml:space="preserve">transformation, provides actionable transformation pathways for similar</w:t>
      </w:r>
      <w:r>
        <w:t xml:space="preserve"> </w:t>
      </w:r>
      <w:r>
        <w:t xml:space="preserve">enterprises, and offers decision-making references for policy</w:t>
      </w:r>
      <w:r>
        <w:t xml:space="preserve"> </w:t>
      </w:r>
      <w:r>
        <w:t xml:space="preserve">formulation.</w:t>
      </w:r>
    </w:p>
    <w:p>
      <w:pPr>
        <w:pStyle w:val="BodyText"/>
      </w:pPr>
      <w:r>
        <w:rPr>
          <w:bCs/>
          <w:b/>
        </w:rPr>
        <w:t xml:space="preserve">KEYWORDS</w:t>
      </w:r>
      <w:r>
        <w:t xml:space="preserve">: Visual force sensor; Enterprise strategic transformation;</w:t>
      </w:r>
      <w:r>
        <w:t xml:space="preserve"> </w:t>
      </w:r>
      <w:r>
        <w:t xml:space="preserve">Digital transformation; Hard-tech enterprise; DIC technology</w:t>
      </w:r>
    </w:p>
    <w:p>
      <w:pPr>
        <w:pStyle w:val="BodyText"/>
      </w:pPr>
      <w:r>
        <w:t xml:space="preserve">目录</w:t>
      </w:r>
    </w:p>
    <w:p>
      <w:pPr>
        <w:pStyle w:val="BodyText"/>
      </w:pPr>
      <w:hyperlink r:id="rId20">
        <w:r>
          <w:rPr>
            <w:rStyle w:val="18"/>
          </w:rPr>
          <w:t xml:space="preserve">摘要 [I](#_Toc222913118)</w:t>
        </w:r>
      </w:hyperlink>
    </w:p>
    <w:p>
      <w:pPr>
        <w:pStyle w:val="BodyText"/>
      </w:pPr>
      <w:hyperlink r:id="rId20">
        <w:r>
          <w:rPr>
            <w:rStyle w:val="18"/>
          </w:rPr>
          <w:t xml:space="preserve">ABSTRACT [II](#_Toc80108601)</w:t>
        </w:r>
      </w:hyperlink>
    </w:p>
    <w:p>
      <w:pPr>
        <w:pStyle w:val="BodyText"/>
      </w:pPr>
      <w:hyperlink r:id="rId20">
        <w:r>
          <w:rPr>
            <w:rStyle w:val="18"/>
          </w:rPr>
          <w:t xml:space="preserve">第一章 绪论 [1](#第一章-绪论)</w:t>
        </w:r>
      </w:hyperlink>
    </w:p>
    <w:p>
      <w:pPr>
        <w:pStyle w:val="BodyText"/>
      </w:pPr>
      <w:hyperlink r:id="rId20">
        <w:r>
          <w:rPr>
            <w:rStyle w:val="18"/>
          </w:rPr>
          <w:t xml:space="preserve">1.1研究背景 [1](#研究背景)</w:t>
        </w:r>
      </w:hyperlink>
    </w:p>
    <w:p>
      <w:pPr>
        <w:pStyle w:val="BodyText"/>
      </w:pPr>
      <w:hyperlink r:id="rId20">
        <w:r>
          <w:rPr>
            <w:rStyle w:val="18"/>
          </w:rPr>
          <w:t xml:space="preserve">1.2 研究意义 [2](#研究意义)</w:t>
        </w:r>
      </w:hyperlink>
    </w:p>
    <w:p>
      <w:pPr>
        <w:pStyle w:val="BodyText"/>
      </w:pPr>
      <w:hyperlink r:id="rId20">
        <w:r>
          <w:rPr>
            <w:rStyle w:val="18"/>
          </w:rPr>
          <w:t xml:space="preserve">1.3 研究内容与方法 [2](#研究内容与方法)</w:t>
        </w:r>
      </w:hyperlink>
    </w:p>
    <w:p>
      <w:pPr>
        <w:pStyle w:val="BodyText"/>
      </w:pPr>
      <w:hyperlink r:id="rId20">
        <w:r>
          <w:rPr>
            <w:rStyle w:val="18"/>
          </w:rPr>
          <w:t xml:space="preserve">1.4 论文结构安排 [3](#论文结构安排)</w:t>
        </w:r>
      </w:hyperlink>
    </w:p>
    <w:p>
      <w:pPr>
        <w:pStyle w:val="BodyText"/>
      </w:pPr>
      <w:hyperlink r:id="rId20">
        <w:r>
          <w:rPr>
            <w:rStyle w:val="18"/>
          </w:rPr>
          <w:t xml:space="preserve">第二章 理论基础与文献综述 [5](#第二章-理论基础与文献综述)</w:t>
        </w:r>
      </w:hyperlink>
    </w:p>
    <w:p>
      <w:pPr>
        <w:pStyle w:val="BodyText"/>
      </w:pPr>
      <w:hyperlink r:id="rId20">
        <w:r>
          <w:rPr>
            <w:rStyle w:val="18"/>
          </w:rPr>
          <w:t xml:space="preserve">2.1 企业战略转型理论 [5](#企业战略转型理论)</w:t>
        </w:r>
      </w:hyperlink>
    </w:p>
    <w:p>
      <w:pPr>
        <w:pStyle w:val="BodyText"/>
      </w:pPr>
      <w:hyperlink r:id="rId20">
        <w:r>
          <w:rPr>
            <w:rStyle w:val="18"/>
          </w:rPr>
          <w:t xml:space="preserve">2.2 视觉力学传感器行业概述 [6](#视觉力学传感器行业概述)</w:t>
        </w:r>
      </w:hyperlink>
    </w:p>
    <w:p>
      <w:pPr>
        <w:pStyle w:val="BodyText"/>
      </w:pPr>
      <w:hyperlink r:id="rId20">
        <w:r>
          <w:rPr>
            <w:rStyle w:val="18"/>
          </w:rPr>
          <w:t xml:space="preserve">2.3 相关研究综述 [7](#相关研究综述)</w:t>
        </w:r>
      </w:hyperlink>
    </w:p>
    <w:p>
      <w:pPr>
        <w:pStyle w:val="BodyText"/>
      </w:pPr>
      <w:hyperlink r:id="rId20">
        <w:r>
          <w:rPr>
            <w:rStyle w:val="18"/>
          </w:rPr>
          <w:t xml:space="preserve">第三章 HSM公司外部环境分析 [9](#第三章-hsm公司外部环境分析)</w:t>
        </w:r>
      </w:hyperlink>
    </w:p>
    <w:p>
      <w:pPr>
        <w:pStyle w:val="BodyText"/>
      </w:pPr>
      <w:hyperlink r:id="rId20">
        <w:r>
          <w:rPr>
            <w:rStyle w:val="18"/>
          </w:rPr>
          <w:t xml:space="preserve">3.1 HSM外部宏观环境PEST分析 [9](#hsm外部宏观环境pest分析)</w:t>
        </w:r>
      </w:hyperlink>
    </w:p>
    <w:p>
      <w:pPr>
        <w:pStyle w:val="BodyText"/>
      </w:pPr>
      <w:hyperlink r:id="rId20">
        <w:r>
          <w:rPr>
            <w:rStyle w:val="18"/>
          </w:rPr>
          <w:t xml:space="preserve">3.1.1 政治环境 [9](#政治环境)</w:t>
        </w:r>
      </w:hyperlink>
    </w:p>
    <w:p>
      <w:pPr>
        <w:pStyle w:val="BodyText"/>
      </w:pPr>
      <w:hyperlink r:id="rId20">
        <w:r>
          <w:rPr>
            <w:rStyle w:val="18"/>
          </w:rPr>
          <w:t xml:space="preserve">3.1.2 经济环境 [9](#经济环境)</w:t>
        </w:r>
      </w:hyperlink>
    </w:p>
    <w:p>
      <w:pPr>
        <w:pStyle w:val="BodyText"/>
      </w:pPr>
      <w:hyperlink r:id="rId20">
        <w:r>
          <w:rPr>
            <w:rStyle w:val="18"/>
          </w:rPr>
          <w:t xml:space="preserve">3.1.3 社会环境 [10](#社会环境)</w:t>
        </w:r>
      </w:hyperlink>
    </w:p>
    <w:p>
      <w:pPr>
        <w:pStyle w:val="BodyText"/>
      </w:pPr>
      <w:hyperlink r:id="rId20">
        <w:r>
          <w:rPr>
            <w:rStyle w:val="18"/>
          </w:rPr>
          <w:t xml:space="preserve">3.1.4 技术环境 [11](#技术环境)</w:t>
        </w:r>
      </w:hyperlink>
    </w:p>
    <w:p>
      <w:pPr>
        <w:pStyle w:val="BodyText"/>
      </w:pPr>
      <w:hyperlink r:id="rId20">
        <w:r>
          <w:rPr>
            <w:rStyle w:val="18"/>
          </w:rPr>
          <w:t xml:space="preserve">3.1.5 小结 [11](#小结)</w:t>
        </w:r>
      </w:hyperlink>
    </w:p>
    <w:p>
      <w:pPr>
        <w:pStyle w:val="BodyText"/>
      </w:pPr>
      <w:hyperlink r:id="rId20">
        <w:r>
          <w:rPr>
            <w:rStyle w:val="18"/>
          </w:rPr>
          <w:t xml:space="preserve">3.2 视觉力学传感器行业总体环境分析</w:t>
        </w:r>
        <w:r>
          <w:rPr>
            <w:rStyle w:val="18"/>
          </w:rPr>
          <w:t xml:space="preserve"> </w:t>
        </w:r>
        <w:r>
          <w:rPr>
            <w:rStyle w:val="18"/>
          </w:rPr>
          <w:t xml:space="preserve">[12](#视觉力学传感器行业总体环境分析)</w:t>
        </w:r>
      </w:hyperlink>
    </w:p>
    <w:p>
      <w:pPr>
        <w:pStyle w:val="BodyText"/>
      </w:pPr>
      <w:hyperlink r:id="rId20">
        <w:r>
          <w:rPr>
            <w:rStyle w:val="18"/>
          </w:rPr>
          <w:t xml:space="preserve">3.2.1 全球与中国市场对比分析 [12](#全球与中国市场对比分析)</w:t>
        </w:r>
      </w:hyperlink>
    </w:p>
    <w:p>
      <w:pPr>
        <w:pStyle w:val="BodyText"/>
      </w:pPr>
      <w:hyperlink r:id="rId20">
        <w:r>
          <w:rPr>
            <w:rStyle w:val="18"/>
          </w:rPr>
          <w:t xml:space="preserve">3.2.2 主要竞争对手分析 [13](#主要竞争对手分析)</w:t>
        </w:r>
      </w:hyperlink>
    </w:p>
    <w:p>
      <w:pPr>
        <w:pStyle w:val="BodyText"/>
      </w:pPr>
      <w:hyperlink r:id="rId20">
        <w:r>
          <w:rPr>
            <w:rStyle w:val="18"/>
          </w:rPr>
          <w:t xml:space="preserve">3.3 行业竞争环境波特五力分析 [15](#行业竞争环境波特五力分析)</w:t>
        </w:r>
      </w:hyperlink>
    </w:p>
    <w:p>
      <w:pPr>
        <w:pStyle w:val="BodyText"/>
      </w:pPr>
      <w:hyperlink r:id="rId20">
        <w:r>
          <w:rPr>
            <w:rStyle w:val="18"/>
          </w:rPr>
          <w:t xml:space="preserve">3.3.1 现有企业竞争程度 [15](#现有企业竞争程度)</w:t>
        </w:r>
      </w:hyperlink>
    </w:p>
    <w:p>
      <w:pPr>
        <w:pStyle w:val="BodyText"/>
      </w:pPr>
      <w:hyperlink r:id="rId20">
        <w:r>
          <w:rPr>
            <w:rStyle w:val="18"/>
          </w:rPr>
          <w:t xml:space="preserve">3.3.2 潜在进入者威胁 [15](#潜在进入者威胁)</w:t>
        </w:r>
      </w:hyperlink>
    </w:p>
    <w:p>
      <w:pPr>
        <w:pStyle w:val="BodyText"/>
      </w:pPr>
      <w:hyperlink r:id="rId20">
        <w:r>
          <w:rPr>
            <w:rStyle w:val="18"/>
          </w:rPr>
          <w:t xml:space="preserve">3.3.3 替代品威胁 [16](#替代品威胁)</w:t>
        </w:r>
      </w:hyperlink>
    </w:p>
    <w:p>
      <w:pPr>
        <w:pStyle w:val="BodyText"/>
      </w:pPr>
      <w:hyperlink r:id="rId20">
        <w:r>
          <w:rPr>
            <w:rStyle w:val="18"/>
          </w:rPr>
          <w:t xml:space="preserve">3.3.4 供应商议价能力 [17](#供应商议价能力)</w:t>
        </w:r>
      </w:hyperlink>
    </w:p>
    <w:p>
      <w:pPr>
        <w:pStyle w:val="BodyText"/>
      </w:pPr>
      <w:hyperlink r:id="rId20">
        <w:r>
          <w:rPr>
            <w:rStyle w:val="18"/>
          </w:rPr>
          <w:t xml:space="preserve">3.3.5 客户议价能力 [18](#客户议价能力)</w:t>
        </w:r>
      </w:hyperlink>
    </w:p>
    <w:p>
      <w:pPr>
        <w:pStyle w:val="BodyText"/>
      </w:pPr>
      <w:hyperlink r:id="rId20">
        <w:r>
          <w:rPr>
            <w:rStyle w:val="18"/>
          </w:rPr>
          <w:t xml:space="preserve">3.3.6 小结 [18](#小结-1)</w:t>
        </w:r>
      </w:hyperlink>
    </w:p>
    <w:p>
      <w:pPr>
        <w:pStyle w:val="BodyText"/>
      </w:pPr>
      <w:hyperlink r:id="rId20">
        <w:r>
          <w:rPr>
            <w:rStyle w:val="18"/>
          </w:rPr>
          <w:t xml:space="preserve">3.4 视觉安全监测主要应用场景深度分析</w:t>
        </w:r>
        <w:r>
          <w:rPr>
            <w:rStyle w:val="18"/>
          </w:rPr>
          <w:t xml:space="preserve"> </w:t>
        </w:r>
        <w:r>
          <w:rPr>
            <w:rStyle w:val="18"/>
          </w:rPr>
          <w:t xml:space="preserve">[19](#视觉安全监测主要应用场景深度分析)</w:t>
        </w:r>
      </w:hyperlink>
    </w:p>
    <w:p>
      <w:pPr>
        <w:pStyle w:val="BodyText"/>
      </w:pPr>
      <w:hyperlink r:id="rId20">
        <w:r>
          <w:rPr>
            <w:rStyle w:val="18"/>
          </w:rPr>
          <w:t xml:space="preserve">3.4.1 桥梁健康监测市场分析 [19](#桥梁健康监测市场分析)</w:t>
        </w:r>
      </w:hyperlink>
    </w:p>
    <w:p>
      <w:pPr>
        <w:pStyle w:val="BodyText"/>
      </w:pPr>
      <w:hyperlink r:id="rId20">
        <w:r>
          <w:rPr>
            <w:rStyle w:val="18"/>
          </w:rPr>
          <w:t xml:space="preserve">3.4.2 隧道收敛监测市场分析 [20](#隧道收敛监测市场分析)</w:t>
        </w:r>
      </w:hyperlink>
    </w:p>
    <w:p>
      <w:pPr>
        <w:pStyle w:val="BodyText"/>
      </w:pPr>
      <w:hyperlink r:id="rId20">
        <w:r>
          <w:rPr>
            <w:rStyle w:val="18"/>
          </w:rPr>
          <w:t xml:space="preserve">3.4.3 边坡位移监测市场分析 [21](#边坡位移监测市场分析)</w:t>
        </w:r>
      </w:hyperlink>
    </w:p>
    <w:p>
      <w:pPr>
        <w:pStyle w:val="BodyText"/>
      </w:pPr>
      <w:hyperlink r:id="rId20">
        <w:r>
          <w:rPr>
            <w:rStyle w:val="18"/>
          </w:rPr>
          <w:t xml:space="preserve">3.4.4 国家政策环境分析 [21](#国家政策环境分析)</w:t>
        </w:r>
      </w:hyperlink>
    </w:p>
    <w:p>
      <w:pPr>
        <w:pStyle w:val="BodyText"/>
      </w:pPr>
      <w:hyperlink r:id="rId20">
        <w:r>
          <w:rPr>
            <w:rStyle w:val="18"/>
          </w:rPr>
          <w:t xml:space="preserve">3.5 本章小结 [22](#本章小结)</w:t>
        </w:r>
      </w:hyperlink>
    </w:p>
    <w:p>
      <w:pPr>
        <w:pStyle w:val="BodyText"/>
      </w:pPr>
      <w:hyperlink r:id="rId20">
        <w:r>
          <w:rPr>
            <w:rStyle w:val="18"/>
          </w:rPr>
          <w:t xml:space="preserve">第四章 HSM转型的动因分析 [25](#第四章-hsm转型的动因分析)</w:t>
        </w:r>
      </w:hyperlink>
    </w:p>
    <w:p>
      <w:pPr>
        <w:pStyle w:val="BodyText"/>
      </w:pPr>
      <w:hyperlink r:id="rId20">
        <w:r>
          <w:rPr>
            <w:rStyle w:val="18"/>
          </w:rPr>
          <w:t xml:space="preserve">4.1 HSM基本情况 [25](#hsm基本情况)</w:t>
        </w:r>
      </w:hyperlink>
    </w:p>
    <w:p>
      <w:pPr>
        <w:pStyle w:val="BodyText"/>
      </w:pPr>
      <w:hyperlink r:id="rId20">
        <w:r>
          <w:rPr>
            <w:rStyle w:val="18"/>
          </w:rPr>
          <w:t xml:space="preserve">4.2 HSM内部资源和能力分析 [25](#hsm内部资源和能力分析)</w:t>
        </w:r>
      </w:hyperlink>
    </w:p>
    <w:p>
      <w:pPr>
        <w:pStyle w:val="BodyText"/>
      </w:pPr>
      <w:hyperlink r:id="rId20">
        <w:r>
          <w:rPr>
            <w:rStyle w:val="18"/>
          </w:rPr>
          <w:t xml:space="preserve">4.2.1 技术资源 [25](#技术资源)</w:t>
        </w:r>
      </w:hyperlink>
    </w:p>
    <w:p>
      <w:pPr>
        <w:pStyle w:val="BodyText"/>
      </w:pPr>
      <w:hyperlink r:id="rId20">
        <w:r>
          <w:rPr>
            <w:rStyle w:val="18"/>
          </w:rPr>
          <w:t xml:space="preserve">4.2.2 产品资源 [26](#产品资源)</w:t>
        </w:r>
      </w:hyperlink>
    </w:p>
    <w:p>
      <w:pPr>
        <w:pStyle w:val="BodyText"/>
      </w:pPr>
      <w:hyperlink r:id="rId20">
        <w:r>
          <w:rPr>
            <w:rStyle w:val="18"/>
          </w:rPr>
          <w:t xml:space="preserve">4.2.3 生产资源 [27](#生产资源)</w:t>
        </w:r>
      </w:hyperlink>
    </w:p>
    <w:p>
      <w:pPr>
        <w:pStyle w:val="BodyText"/>
      </w:pPr>
      <w:hyperlink r:id="rId20">
        <w:r>
          <w:rPr>
            <w:rStyle w:val="18"/>
          </w:rPr>
          <w:t xml:space="preserve">4.2.4 客户资源 [28](#客户资源)</w:t>
        </w:r>
      </w:hyperlink>
    </w:p>
    <w:p>
      <w:pPr>
        <w:pStyle w:val="BodyText"/>
      </w:pPr>
      <w:hyperlink r:id="rId20">
        <w:r>
          <w:rPr>
            <w:rStyle w:val="18"/>
          </w:rPr>
          <w:t xml:space="preserve">4.2.5 人力资源 [28](#人力资源)</w:t>
        </w:r>
      </w:hyperlink>
    </w:p>
    <w:p>
      <w:pPr>
        <w:pStyle w:val="BodyText"/>
      </w:pPr>
      <w:hyperlink r:id="rId20">
        <w:r>
          <w:rPr>
            <w:rStyle w:val="18"/>
          </w:rPr>
          <w:t xml:space="preserve">4.3 HSM竞争战略 [29](#hsm竞争战略)</w:t>
        </w:r>
      </w:hyperlink>
    </w:p>
    <w:p>
      <w:pPr>
        <w:pStyle w:val="BodyText"/>
      </w:pPr>
      <w:hyperlink r:id="rId20">
        <w:r>
          <w:rPr>
            <w:rStyle w:val="18"/>
          </w:rPr>
          <w:t xml:space="preserve">4.3.1 HSM战略目标 [29](#hsm战略目标)</w:t>
        </w:r>
      </w:hyperlink>
    </w:p>
    <w:p>
      <w:pPr>
        <w:pStyle w:val="BodyText"/>
      </w:pPr>
      <w:hyperlink r:id="rId20">
        <w:r>
          <w:rPr>
            <w:rStyle w:val="18"/>
          </w:rPr>
          <w:t xml:space="preserve">4.3.2 基本价值链的竞争选择和实施路径</w:t>
        </w:r>
        <w:r>
          <w:rPr>
            <w:rStyle w:val="18"/>
          </w:rPr>
          <w:t xml:space="preserve"> </w:t>
        </w:r>
        <w:r>
          <w:rPr>
            <w:rStyle w:val="18"/>
          </w:rPr>
          <w:t xml:space="preserve">[29](#基本价值链的竞争选择和实施路径)</w:t>
        </w:r>
      </w:hyperlink>
    </w:p>
    <w:p>
      <w:pPr>
        <w:pStyle w:val="BodyText"/>
      </w:pPr>
      <w:hyperlink r:id="rId20">
        <w:r>
          <w:rPr>
            <w:rStyle w:val="18"/>
          </w:rPr>
          <w:t xml:space="preserve">4.4 HSM面临的机遇和挑战 [31](#hsm面临的机遇和挑战)</w:t>
        </w:r>
      </w:hyperlink>
    </w:p>
    <w:p>
      <w:pPr>
        <w:pStyle w:val="BodyText"/>
      </w:pPr>
      <w:hyperlink r:id="rId20">
        <w:r>
          <w:rPr>
            <w:rStyle w:val="18"/>
          </w:rPr>
          <w:t xml:space="preserve">4.4.1 机遇 [31](#机遇)</w:t>
        </w:r>
      </w:hyperlink>
    </w:p>
    <w:p>
      <w:pPr>
        <w:pStyle w:val="BodyText"/>
      </w:pPr>
      <w:hyperlink r:id="rId20">
        <w:r>
          <w:rPr>
            <w:rStyle w:val="18"/>
          </w:rPr>
          <w:t xml:space="preserve">4.4.2 挑战 [31](#挑战)</w:t>
        </w:r>
      </w:hyperlink>
    </w:p>
    <w:p>
      <w:pPr>
        <w:pStyle w:val="BodyText"/>
      </w:pPr>
      <w:hyperlink r:id="rId20">
        <w:r>
          <w:rPr>
            <w:rStyle w:val="18"/>
          </w:rPr>
          <w:t xml:space="preserve">第五章 HSM转型的实施路径 [33](#第五章-hsm转型的实施路径)</w:t>
        </w:r>
      </w:hyperlink>
    </w:p>
    <w:p>
      <w:pPr>
        <w:pStyle w:val="BodyText"/>
      </w:pPr>
      <w:hyperlink r:id="rId20">
        <w:r>
          <w:rPr>
            <w:rStyle w:val="18"/>
          </w:rPr>
          <w:t xml:space="preserve">5.1产品线差异化研发与创新 [33](#产品线差异化研发与创新)</w:t>
        </w:r>
      </w:hyperlink>
    </w:p>
    <w:p>
      <w:pPr>
        <w:pStyle w:val="BodyText"/>
      </w:pPr>
      <w:hyperlink r:id="rId20">
        <w:r>
          <w:rPr>
            <w:rStyle w:val="18"/>
          </w:rPr>
          <w:t xml:space="preserve">5.1.1产品标准化生产与技术迭代 [33](#产品标准化生产与技术迭代)</w:t>
        </w:r>
      </w:hyperlink>
    </w:p>
    <w:p>
      <w:pPr>
        <w:pStyle w:val="BodyText"/>
      </w:pPr>
      <w:hyperlink r:id="rId20">
        <w:r>
          <w:rPr>
            <w:rStyle w:val="18"/>
          </w:rPr>
          <w:t xml:space="preserve">5.1.2垂直领域技术聚焦与新产品研发</w:t>
        </w:r>
        <w:r>
          <w:rPr>
            <w:rStyle w:val="18"/>
          </w:rPr>
          <w:t xml:space="preserve"> </w:t>
        </w:r>
        <w:r>
          <w:rPr>
            <w:rStyle w:val="18"/>
          </w:rPr>
          <w:t xml:space="preserve">[34](#垂直领域技术聚焦与新产品研发)</w:t>
        </w:r>
      </w:hyperlink>
    </w:p>
    <w:p>
      <w:pPr>
        <w:pStyle w:val="BodyText"/>
      </w:pPr>
      <w:hyperlink r:id="rId20">
        <w:r>
          <w:rPr>
            <w:rStyle w:val="18"/>
          </w:rPr>
          <w:t xml:space="preserve">5.1.3下一代产品布局 [34](#下一代产品布局)</w:t>
        </w:r>
      </w:hyperlink>
    </w:p>
    <w:p>
      <w:pPr>
        <w:pStyle w:val="BodyText"/>
      </w:pPr>
      <w:hyperlink r:id="rId20">
        <w:r>
          <w:rPr>
            <w:rStyle w:val="18"/>
          </w:rPr>
          <w:t xml:space="preserve">5.2 市场销售模式重构与市场聚焦 [34](#市场销售模式重构与市场聚焦)</w:t>
        </w:r>
      </w:hyperlink>
    </w:p>
    <w:p>
      <w:pPr>
        <w:pStyle w:val="BodyText"/>
      </w:pPr>
      <w:hyperlink r:id="rId20">
        <w:r>
          <w:rPr>
            <w:rStyle w:val="18"/>
          </w:rPr>
          <w:t xml:space="preserve">5.2.1捆绑销售模式与渠道合作 [34](#捆绑销售模式与渠道合作)</w:t>
        </w:r>
      </w:hyperlink>
    </w:p>
    <w:p>
      <w:pPr>
        <w:pStyle w:val="BodyText"/>
      </w:pPr>
      <w:hyperlink r:id="rId20">
        <w:r>
          <w:rPr>
            <w:rStyle w:val="18"/>
          </w:rPr>
          <w:t xml:space="preserve">5.2.2垂直行业聚焦与地区合作伙伴体系</w:t>
        </w:r>
        <w:r>
          <w:rPr>
            <w:rStyle w:val="18"/>
          </w:rPr>
          <w:t xml:space="preserve"> </w:t>
        </w:r>
        <w:r>
          <w:rPr>
            <w:rStyle w:val="18"/>
          </w:rPr>
          <w:t xml:space="preserve">[35](#垂直行业聚焦与地区合作伙伴体系)</w:t>
        </w:r>
      </w:hyperlink>
    </w:p>
    <w:p>
      <w:pPr>
        <w:pStyle w:val="BodyText"/>
      </w:pPr>
      <w:hyperlink r:id="rId20">
        <w:r>
          <w:rPr>
            <w:rStyle w:val="18"/>
          </w:rPr>
          <w:t xml:space="preserve">5.2.3 回款机制优化与资金周转率提升</w:t>
        </w:r>
        <w:r>
          <w:rPr>
            <w:rStyle w:val="18"/>
          </w:rPr>
          <w:t xml:space="preserve"> </w:t>
        </w:r>
        <w:r>
          <w:rPr>
            <w:rStyle w:val="18"/>
          </w:rPr>
          <w:t xml:space="preserve">[35](#回款机制优化与资金周转率提升)</w:t>
        </w:r>
      </w:hyperlink>
    </w:p>
    <w:p>
      <w:pPr>
        <w:pStyle w:val="BodyText"/>
      </w:pPr>
      <w:hyperlink r:id="rId20">
        <w:r>
          <w:rPr>
            <w:rStyle w:val="18"/>
          </w:rPr>
          <w:t xml:space="preserve">5.3资源重新配置与团队转型 [36](#资源重新配置与团队转型)</w:t>
        </w:r>
      </w:hyperlink>
    </w:p>
    <w:p>
      <w:pPr>
        <w:pStyle w:val="BodyText"/>
      </w:pPr>
      <w:hyperlink r:id="rId20">
        <w:r>
          <w:rPr>
            <w:rStyle w:val="18"/>
          </w:rPr>
          <w:t xml:space="preserve">5.3.1 研发资源向标准化产品倾斜 [36](#研发资源向标准化产品倾斜)</w:t>
        </w:r>
      </w:hyperlink>
    </w:p>
    <w:p>
      <w:pPr>
        <w:pStyle w:val="BodyText"/>
      </w:pPr>
      <w:hyperlink r:id="rId20">
        <w:r>
          <w:rPr>
            <w:rStyle w:val="18"/>
          </w:rPr>
          <w:t xml:space="preserve">5.3.2 销售团队从售前向售中售后转型</w:t>
        </w:r>
        <w:r>
          <w:rPr>
            <w:rStyle w:val="18"/>
          </w:rPr>
          <w:t xml:space="preserve"> </w:t>
        </w:r>
        <w:r>
          <w:rPr>
            <w:rStyle w:val="18"/>
          </w:rPr>
          <w:t xml:space="preserve">[37](#销售团队从售前向售中售后转型)</w:t>
        </w:r>
      </w:hyperlink>
    </w:p>
    <w:p>
      <w:pPr>
        <w:pStyle w:val="BodyText"/>
      </w:pPr>
      <w:hyperlink r:id="rId20">
        <w:r>
          <w:rPr>
            <w:rStyle w:val="18"/>
          </w:rPr>
          <w:t xml:space="preserve">5.3.3 项目制团队向产品化团队转型 [37](#项目制团队向产品化团队转型)</w:t>
        </w:r>
      </w:hyperlink>
    </w:p>
    <w:p>
      <w:pPr>
        <w:pStyle w:val="BodyText"/>
      </w:pPr>
      <w:hyperlink r:id="rId20">
        <w:r>
          <w:rPr>
            <w:rStyle w:val="18"/>
          </w:rPr>
          <w:t xml:space="preserve">5.4供应链与生产流程优化 [37](#供应链与生产流程优化)</w:t>
        </w:r>
      </w:hyperlink>
    </w:p>
    <w:p>
      <w:pPr>
        <w:pStyle w:val="BodyText"/>
      </w:pPr>
      <w:hyperlink r:id="rId20">
        <w:r>
          <w:rPr>
            <w:rStyle w:val="18"/>
          </w:rPr>
          <w:t xml:space="preserve">5.4.1供应链调整与标准化生产 [37](#供应链调整与标准化生产)</w:t>
        </w:r>
      </w:hyperlink>
    </w:p>
    <w:p>
      <w:pPr>
        <w:pStyle w:val="BodyText"/>
      </w:pPr>
      <w:hyperlink r:id="rId20">
        <w:r>
          <w:rPr>
            <w:rStyle w:val="18"/>
          </w:rPr>
          <w:t xml:space="preserve">5.4.2产业链优化与合作伙伴协同平台</w:t>
        </w:r>
        <w:r>
          <w:rPr>
            <w:rStyle w:val="18"/>
          </w:rPr>
          <w:t xml:space="preserve"> </w:t>
        </w:r>
        <w:r>
          <w:rPr>
            <w:rStyle w:val="18"/>
          </w:rPr>
          <w:t xml:space="preserve">[38](#产业链优化与合作伙伴协同平台)</w:t>
        </w:r>
      </w:hyperlink>
    </w:p>
    <w:p>
      <w:pPr>
        <w:pStyle w:val="BodyText"/>
      </w:pPr>
      <w:hyperlink r:id="rId20">
        <w:r>
          <w:rPr>
            <w:rStyle w:val="18"/>
          </w:rPr>
          <w:t xml:space="preserve">5.4.3 数字化工具提升管理效率 [38](#数字化工具提升管理效率)</w:t>
        </w:r>
      </w:hyperlink>
    </w:p>
    <w:p>
      <w:pPr>
        <w:pStyle w:val="BodyText"/>
      </w:pPr>
      <w:hyperlink r:id="rId20">
        <w:r>
          <w:rPr>
            <w:rStyle w:val="18"/>
          </w:rPr>
          <w:t xml:space="preserve">5.5构建可持续发展伙伴关系 [38](#构建可持续发展伙伴关系)</w:t>
        </w:r>
      </w:hyperlink>
    </w:p>
    <w:p>
      <w:pPr>
        <w:pStyle w:val="BodyText"/>
      </w:pPr>
      <w:hyperlink r:id="rId20">
        <w:r>
          <w:rPr>
            <w:rStyle w:val="18"/>
          </w:rPr>
          <w:t xml:space="preserve">5.5.1 与试验机厂家的深度合作模式 [38](#与试验机厂家的深度合作模式)</w:t>
        </w:r>
      </w:hyperlink>
    </w:p>
    <w:p>
      <w:pPr>
        <w:pStyle w:val="BodyText"/>
      </w:pPr>
      <w:hyperlink r:id="rId20">
        <w:r>
          <w:rPr>
            <w:rStyle w:val="18"/>
          </w:rPr>
          <w:t xml:space="preserve">5.5.2 地区合作伙伴培育与管理体系 [38](#地区合作伙伴培育与管理体系)</w:t>
        </w:r>
      </w:hyperlink>
    </w:p>
    <w:p>
      <w:pPr>
        <w:pStyle w:val="BodyText"/>
      </w:pPr>
      <w:hyperlink r:id="rId20">
        <w:r>
          <w:rPr>
            <w:rStyle w:val="18"/>
          </w:rPr>
          <w:t xml:space="preserve">5.5.3 产学研合作与行业标准共建 [39](#产学研合作与行业标准共建)</w:t>
        </w:r>
      </w:hyperlink>
    </w:p>
    <w:p>
      <w:pPr>
        <w:pStyle w:val="BodyText"/>
      </w:pPr>
      <w:hyperlink r:id="rId20">
        <w:r>
          <w:rPr>
            <w:rStyle w:val="18"/>
          </w:rPr>
          <w:t xml:space="preserve">5.6 实施路径的时间规划与关键里程碑</w:t>
        </w:r>
        <w:r>
          <w:rPr>
            <w:rStyle w:val="18"/>
          </w:rPr>
          <w:t xml:space="preserve"> </w:t>
        </w:r>
        <w:r>
          <w:rPr>
            <w:rStyle w:val="18"/>
          </w:rPr>
          <w:t xml:space="preserve">[39](#实施路径的时间规划与关键里程碑)</w:t>
        </w:r>
      </w:hyperlink>
    </w:p>
    <w:p>
      <w:pPr>
        <w:pStyle w:val="BodyText"/>
      </w:pPr>
      <w:hyperlink r:id="rId20">
        <w:r>
          <w:rPr>
            <w:rStyle w:val="18"/>
          </w:rPr>
          <w:t xml:space="preserve">5.6.1基础建设期 [39](#基础建设期)</w:t>
        </w:r>
      </w:hyperlink>
    </w:p>
    <w:p>
      <w:pPr>
        <w:pStyle w:val="BodyText"/>
      </w:pPr>
      <w:hyperlink r:id="rId20">
        <w:r>
          <w:rPr>
            <w:rStyle w:val="18"/>
          </w:rPr>
          <w:t xml:space="preserve">5.6.2全面推进期 [39](#全面推进期)</w:t>
        </w:r>
      </w:hyperlink>
    </w:p>
    <w:p>
      <w:pPr>
        <w:pStyle w:val="BodyText"/>
      </w:pPr>
      <w:hyperlink r:id="rId20">
        <w:r>
          <w:rPr>
            <w:rStyle w:val="18"/>
          </w:rPr>
          <w:t xml:space="preserve">5.6.3成果巩固期 [39](#成果巩固期)</w:t>
        </w:r>
      </w:hyperlink>
    </w:p>
    <w:p>
      <w:pPr>
        <w:pStyle w:val="BodyText"/>
      </w:pPr>
      <w:hyperlink r:id="rId20">
        <w:r>
          <w:rPr>
            <w:rStyle w:val="18"/>
          </w:rPr>
          <w:t xml:space="preserve">5.7 预期成效与风险评估 [40](#预期成效与风险评估)</w:t>
        </w:r>
      </w:hyperlink>
    </w:p>
    <w:p>
      <w:pPr>
        <w:pStyle w:val="BodyText"/>
      </w:pPr>
      <w:hyperlink r:id="rId20">
        <w:r>
          <w:rPr>
            <w:rStyle w:val="18"/>
          </w:rPr>
          <w:t xml:space="preserve">5.7.1 预期成效 [40](#预期成效)</w:t>
        </w:r>
      </w:hyperlink>
    </w:p>
    <w:p>
      <w:pPr>
        <w:pStyle w:val="BodyText"/>
      </w:pPr>
      <w:hyperlink r:id="rId20">
        <w:r>
          <w:rPr>
            <w:rStyle w:val="18"/>
          </w:rPr>
          <w:t xml:space="preserve">5.7.2 风险与应对 [40](#风险与应对)</w:t>
        </w:r>
      </w:hyperlink>
    </w:p>
    <w:p>
      <w:pPr>
        <w:pStyle w:val="BodyText"/>
      </w:pPr>
      <w:hyperlink r:id="rId20">
        <w:r>
          <w:rPr>
            <w:rStyle w:val="18"/>
          </w:rPr>
          <w:t xml:space="preserve">第六章 HSM转型的成效评估 [41](#第六章-hsm转型的成效评估)</w:t>
        </w:r>
      </w:hyperlink>
    </w:p>
    <w:p>
      <w:pPr>
        <w:pStyle w:val="BodyText"/>
      </w:pPr>
      <w:hyperlink r:id="rId20">
        <w:r>
          <w:rPr>
            <w:rStyle w:val="18"/>
          </w:rPr>
          <w:t xml:space="preserve">6.1 转型成效评估框架构建 [41](#转型成效评估框架构建)</w:t>
        </w:r>
      </w:hyperlink>
    </w:p>
    <w:p>
      <w:pPr>
        <w:pStyle w:val="BodyText"/>
      </w:pPr>
      <w:hyperlink r:id="rId20">
        <w:r>
          <w:rPr>
            <w:rStyle w:val="18"/>
          </w:rPr>
          <w:t xml:space="preserve">6.2 财务绩效成效分析 [42](#财务绩效成效分析)</w:t>
        </w:r>
      </w:hyperlink>
    </w:p>
    <w:p>
      <w:pPr>
        <w:pStyle w:val="BodyText"/>
      </w:pPr>
      <w:hyperlink r:id="rId20">
        <w:r>
          <w:rPr>
            <w:rStyle w:val="18"/>
          </w:rPr>
          <w:t xml:space="preserve">6.3 市场地位与品牌影响力 [43](#市场地位与品牌影响力)</w:t>
        </w:r>
      </w:hyperlink>
    </w:p>
    <w:p>
      <w:pPr>
        <w:pStyle w:val="BodyText"/>
      </w:pPr>
      <w:hyperlink r:id="rId20">
        <w:r>
          <w:rPr>
            <w:rStyle w:val="18"/>
          </w:rPr>
          <w:t xml:space="preserve">6.4 技术创新成效评估 [44](#技术创新成效评估)</w:t>
        </w:r>
      </w:hyperlink>
    </w:p>
    <w:p>
      <w:pPr>
        <w:pStyle w:val="BodyText"/>
      </w:pPr>
      <w:hyperlink r:id="rId20">
        <w:r>
          <w:rPr>
            <w:rStyle w:val="18"/>
          </w:rPr>
          <w:t xml:space="preserve">6.5 组织能力与文化变革 [45](#组织能力与文化变革)</w:t>
        </w:r>
      </w:hyperlink>
    </w:p>
    <w:p>
      <w:pPr>
        <w:pStyle w:val="BodyText"/>
      </w:pPr>
      <w:hyperlink r:id="rId20">
        <w:r>
          <w:rPr>
            <w:rStyle w:val="18"/>
          </w:rPr>
          <w:t xml:space="preserve">6.6 可持续发展能力评估 [46](#可持续发展能力评估)</w:t>
        </w:r>
      </w:hyperlink>
    </w:p>
    <w:p>
      <w:pPr>
        <w:pStyle w:val="BodyText"/>
      </w:pPr>
      <w:hyperlink r:id="rId20">
        <w:r>
          <w:rPr>
            <w:rStyle w:val="18"/>
          </w:rPr>
          <w:t xml:space="preserve">6.7 转型成效综合评价 [47](#转型成效综合评价)</w:t>
        </w:r>
      </w:hyperlink>
    </w:p>
    <w:p>
      <w:pPr>
        <w:pStyle w:val="BodyText"/>
      </w:pPr>
      <w:hyperlink r:id="rId20">
        <w:r>
          <w:rPr>
            <w:rStyle w:val="18"/>
          </w:rPr>
          <w:t xml:space="preserve">第七章 结论与建议 [49](#第七章-结论与建议)</w:t>
        </w:r>
      </w:hyperlink>
    </w:p>
    <w:p>
      <w:pPr>
        <w:pStyle w:val="BodyText"/>
      </w:pPr>
      <w:hyperlink r:id="rId20">
        <w:r>
          <w:rPr>
            <w:rStyle w:val="18"/>
          </w:rPr>
          <w:t xml:space="preserve">7.1 主要研究发现 [49](#主要研究发现)</w:t>
        </w:r>
      </w:hyperlink>
    </w:p>
    <w:p>
      <w:pPr>
        <w:pStyle w:val="BodyText"/>
      </w:pPr>
      <w:hyperlink r:id="rId20">
        <w:r>
          <w:rPr>
            <w:rStyle w:val="18"/>
          </w:rPr>
          <w:t xml:space="preserve">7.2 管理实践建议 [49](#管理实践建议)</w:t>
        </w:r>
      </w:hyperlink>
    </w:p>
    <w:p>
      <w:pPr>
        <w:pStyle w:val="BodyText"/>
      </w:pPr>
      <w:hyperlink r:id="rId20">
        <w:r>
          <w:rPr>
            <w:rStyle w:val="18"/>
          </w:rPr>
          <w:t xml:space="preserve">7.3 行业政策建议 [50](#行业政策建议)</w:t>
        </w:r>
      </w:hyperlink>
    </w:p>
    <w:p>
      <w:pPr>
        <w:pStyle w:val="BodyText"/>
      </w:pPr>
      <w:hyperlink r:id="rId20">
        <w:r>
          <w:rPr>
            <w:rStyle w:val="18"/>
          </w:rPr>
          <w:t xml:space="preserve">7.4 研究总结与展望 [50](#研究总结与展望)</w:t>
        </w:r>
      </w:hyperlink>
    </w:p>
    <w:p>
      <w:pPr>
        <w:pStyle w:val="BodyText"/>
      </w:pPr>
      <w:hyperlink r:id="rId20">
        <w:r>
          <w:rPr>
            <w:rStyle w:val="18"/>
          </w:rPr>
          <w:t xml:space="preserve">参考文献 [52](#参考文献)</w:t>
        </w:r>
      </w:hyperlink>
    </w:p>
    <w:p>
      <w:pPr>
        <w:pStyle w:val="BodyText"/>
      </w:pPr>
      <w:hyperlink r:id="rId20">
        <w:r>
          <w:rPr>
            <w:rStyle w:val="18"/>
          </w:rPr>
          <w:t xml:space="preserve">致谢 [54](#致谢)</w:t>
        </w:r>
      </w:hyperlink>
    </w:p>
    <w:p>
      <w:pPr>
        <w:pStyle w:val="BodyText"/>
      </w:pPr>
      <w:hyperlink r:id="rId20">
        <w:r>
          <w:rPr>
            <w:rStyle w:val="18"/>
          </w:rPr>
          <w:t xml:space="preserve">北京大学学位论文原创性声明和使用授权说明</w:t>
        </w:r>
        <w:r>
          <w:rPr>
            <w:rStyle w:val="18"/>
          </w:rPr>
          <w:t xml:space="preserve"> </w:t>
        </w:r>
        <w:r>
          <w:rPr>
            <w:rStyle w:val="18"/>
          </w:rPr>
          <w:t xml:space="preserve">[55](#北京大学学位论文原创性声明和使用授权说明)</w:t>
        </w:r>
      </w:hyperlink>
    </w:p>
    <w:bookmarkEnd w:id="21"/>
    <w:bookmarkEnd w:id="22"/>
    <w:bookmarkEnd w:id="23"/>
    <w:bookmarkStart w:id="28" w:name="第一章-绪论"/>
    <w:p>
      <w:pPr>
        <w:pStyle w:val="2"/>
      </w:pPr>
      <w:r>
        <w:t xml:space="preserve">第一章 绪论</w:t>
      </w:r>
    </w:p>
    <w:bookmarkStart w:id="24" w:name="研究背景"/>
    <w:p>
      <w:pPr>
        <w:pStyle w:val="3"/>
      </w:pPr>
      <w:r>
        <w:t xml:space="preserve">1.1研究背景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w:t>
      </w:r>
      <w:r>
        <w:t xml:space="preserve"> </w:t>
      </w:r>
      <w:r>
        <w:t xml:space="preserve">Image Correlation,</w:t>
      </w:r>
      <w:r>
        <w:t xml:space="preserve"> </w:t>
      </w:r>
      <w:r>
        <w:t xml:space="preserve">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4"/>
    <w:bookmarkStart w:id="25"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转型理论视角，深入分析硬科技企业的转型动因、实施路径和成效评估，具有重要的理论贡献。现有转型研究多集中在传统制造业和服务业，对硬科技企业的转型研究相对不足。本研究通过HSM案例，探讨硬科技企业转型的特殊性和规律性，拓展动态能力理论的实证研究，从动态能力视角分析HSM如何通过技术吸收、资源重构、组织学习等过程构建和维持竞争优势。同时，本研究完善了技术创新与转型的整合框架，探索技术创新驱动下的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5"/>
    <w:bookmarkStart w:id="26"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多种方法。文献研究通过查阅国内外关于视觉力学传感器行业、企业转型、技术创新管理等领域的学术论文、行业报告、政策文件、企业年报及权威数据库，系统梳理行业发展趋势、技术演进路径、政策支持体系以及国内外标杆企业的战略实践，为后续的PEST分析、波特五力分析、SWOT分析等提供理论基础和数据支撑，确保研究的科学性与可靠性。案例研究法以HSM公司为典型案例，通过深入访谈、文档分析、参与观察等方式，获取第一手研究资料，系统分析企业从项目制向产品化转型的战略决策过程、实施路径和成效评估。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SWOT分析法结合企业内部资源与能力，从优势（Strengths）、劣势（Weaknesses）、机遇（Opportunities）、威胁（Threats）四个维度，对HSM公司的内外部条件进行综合分析，通过SWOT矩阵匹配形成SO、WO、ST、WT四类战略组合，为企业战略选择提供清晰方向。比较分析法将HSM与行业主要竞争对手进行比较分析，识别其竞争优势和不足，为制定差异化竞争战略提供参考。</w:t>
      </w:r>
    </w:p>
    <w:bookmarkEnd w:id="26"/>
    <w:bookmarkStart w:id="27" w:name="论文结构安排"/>
    <w:p>
      <w:pPr>
        <w:pStyle w:val="3"/>
      </w:pPr>
      <w:r>
        <w:t xml:space="preserve">1.4 论文结构安排</w:t>
      </w:r>
    </w:p>
    <w:p>
      <w:pPr>
        <w:pStyle w:val="FirstParagraph"/>
      </w:pPr>
      <w:r>
        <w:t xml:space="preserve">本论文共分为七章，各章主要内容如下：</w:t>
      </w:r>
    </w:p>
    <w:p>
      <w:pPr>
        <w:pStyle w:val="BodyText"/>
      </w:pPr>
      <w:r>
        <w:t xml:space="preserve">第一章 绪论：介绍研究背景、意义、内容与方法，明确研究框架。</w:t>
      </w:r>
    </w:p>
    <w:p>
      <w:pPr>
        <w:pStyle w:val="BodyText"/>
      </w:pPr>
      <w:r>
        <w:t xml:space="preserve">第二章</w:t>
      </w:r>
      <w:r>
        <w:t xml:space="preserve"> </w:t>
      </w:r>
      <w:r>
        <w:t xml:space="preserve">理论基础与文献综述：梳理企业战略转型、视觉力学传感器行业、相关研究进展等理论基础。</w:t>
      </w:r>
    </w:p>
    <w:p>
      <w:pPr>
        <w:pStyle w:val="BodyText"/>
      </w:pPr>
      <w:r>
        <w:t xml:space="preserve">第三章</w:t>
      </w:r>
      <w:r>
        <w:t xml:space="preserve"> </w:t>
      </w:r>
      <w:r>
        <w:t xml:space="preserve">HSM公司外部环境分析：介绍HSM发展历程，分析行业环境和竞争格局。</w:t>
      </w:r>
    </w:p>
    <w:p>
      <w:pPr>
        <w:pStyle w:val="BodyText"/>
      </w:pPr>
      <w:r>
        <w:t xml:space="preserve">第四章 HSM转型的动因分析：从内外两个维度分析转型的驱动因素。</w:t>
      </w:r>
    </w:p>
    <w:p>
      <w:pPr>
        <w:pStyle w:val="BodyText"/>
      </w:pPr>
      <w:r>
        <w:t xml:space="preserve">第五章</w:t>
      </w:r>
      <w:r>
        <w:t xml:space="preserve"> </w:t>
      </w:r>
      <w:r>
        <w:t xml:space="preserve">HSM转型的实施路径：详细研究技术、市场、组织、数字化四个维度的转型举措。</w:t>
      </w:r>
    </w:p>
    <w:p>
      <w:pPr>
        <w:pStyle w:val="BodyText"/>
      </w:pPr>
      <w:r>
        <w:t xml:space="preserve">第六章 HSM转型的成效评估：从多维度评估转型成效，分析成功经验和不足。</w:t>
      </w:r>
    </w:p>
    <w:p>
      <w:pPr>
        <w:pStyle w:val="BodyText"/>
      </w:pPr>
      <w:r>
        <w:t xml:space="preserve">第七章 结论与建议：总结研究结论，提出管理启示和政策建议。</w:t>
      </w:r>
    </w:p>
    <w:p>
      <w:pPr>
        <w:pStyle w:val="BodyText"/>
      </w:pPr>
      <w:r>
        <w:t xml:space="preserve">本章小结：作为研究开篇，本章系统阐述了视觉力学传感器行业在中美科技竞争和数字化转型背景下的战略重要性，揭示了该领域从实验室科研工具向工业级标准化产品演进的技术趋势。研究以HSM公司为典型案例，聚焦硬科技企业从项目制向产品化转型的核心挑战，通过文献研究、案例研究、PEST分析、波特五力模型、SWOT分析和比较分析等多种方法的综合运用，构建了多层次分析框架。本章不仅明确了研究的理论价值和实践意义，还为后续章节深入分析HSM公司的外部环境、转型动因、实施路径和成效评估提供了清晰的逻辑起点和研究导向。</w:t>
      </w:r>
    </w:p>
    <w:bookmarkEnd w:id="27"/>
    <w:bookmarkEnd w:id="28"/>
    <w:bookmarkStart w:id="32" w:name="第二章-理论基础与文献综述"/>
    <w:p>
      <w:pPr>
        <w:pStyle w:val="2"/>
      </w:pPr>
      <w:r>
        <w:t xml:space="preserve">第二章 理论基础与文献综述</w:t>
      </w:r>
    </w:p>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2019）。战略转型不仅涉及战略内容的调整，更包括战略决策程序和实施方式的根本性改变。</w:t>
      </w:r>
    </w:p>
    <w:p>
      <w:pPr>
        <w:pStyle w:val="BodyText"/>
      </w:pPr>
      <w:r>
        <w:t xml:space="preserve">转型的内涵与类型。根据转型的深度和广度，战略转型可分为多种类型。从转型方式来看，渐进式转型在现有框架内逐步调整，风险较小但变革效果有限；而激进式转型则打破现有框架进行根本性变革，风险较大但可能带来突破性发展。从转型动因来看，防御型转型是为应对外部威胁或内部危机而采取的被动转型；进攻型转型则是为把握市场机遇或构建新竞争优势而采取的主动转型。从转型范围来看，业务层面转型涉及具体业务单元的战略调整；公司层面转型则涉及整个公司的战略方向和组织结构变革。</w:t>
      </w:r>
    </w:p>
    <w:p>
      <w:pPr>
        <w:pStyle w:val="BodyText"/>
      </w:pPr>
      <w:r>
        <w:t xml:space="preserve">转型的理论基础。企业转型的理论基础主要包括资源基础观、动态能力理论和组织学习理论等。其中，资源基础观（Resource-Based View, RBV）强调企业内部资源和能力是竞争优势的来源，企业转型的核心是重新配置和优化核心资源，构建难以模仿的竞争优势（Barney, 1991）。动态能力理论（Dynamic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组织学习理论则强调企业通过经验积累、知识共享和能力构建来推动战略演化，学习能力是战略转型成功的关键因素（Argyris &amp; Schön, 1978）。此外，技术创新理论关注技术轨道转换、技术能力构建和技术生态演化，为技术驱动型战略转型提供理论指导（Dosi, 1982）。这些理论为分析硬科技企业战略转型提供了多维度的理论视角。</w:t>
      </w:r>
    </w:p>
    <w:p>
      <w:pPr>
        <w:pStyle w:val="BodyText"/>
      </w:pPr>
      <w:r>
        <w:t xml:space="preserve">转型的动力机制。企业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t xml:space="preserve">转型的实施路径。转型的实施是一个复杂的系统工程，涉及多个维度的协同变革。技术路径转型主要通过技术创新、技术引进和技术融合等方式实现技术升级；市场路径转型涉及调整市场定位、拓展新市场和创新商业模式；组织路径转型则包括优化组织结构、变革管理机制和重塑企业文化；资源路径转型需要重新配置财务资源、人力资源和技术资源等关键资源；制度路径转型则要求建立新的管理制度、激励机制和风险控制体系。</w:t>
      </w:r>
    </w:p>
    <w:p>
      <w:pPr>
        <w:pStyle w:val="BodyText"/>
      </w:pPr>
      <w:r>
        <w:t xml:space="preserve">转型的评估框架。评估战略转型成效需要建立多维度的评估框架。财务绩效维度关注营业收入增长率、利润率和资产回报率等财务指标的改善；市场地位维度考察市场份额、品牌影响力和客户满意度等市场表现的提升；创新能力维度评估研发投入强度、专利数量和新产品开发速度等创新指标；组织能力维度衡量组织学习能力、人才梯队建设和管理效率的提升；可持续发展维度则关注环境社会责任表现、长期战略匹配度和风险抵御能力。</w:t>
      </w:r>
    </w:p>
    <w:bookmarkEnd w:id="29"/>
    <w:bookmarkStart w:id="30" w:name="视觉力学传感器行业概述"/>
    <w:p>
      <w:pPr>
        <w:pStyle w:val="3"/>
      </w:pPr>
      <w:r>
        <w:t xml:space="preserve">2.2 视觉力学传感器行业概述</w:t>
      </w:r>
    </w:p>
    <w:p>
      <w:pPr>
        <w:pStyle w:val="FirstParagraph"/>
      </w:pPr>
      <w:r>
        <w:t xml:space="preserve">DIC视觉传感器技术发展。数字图像相关（Digital Image Correlation,</w:t>
      </w:r>
      <w:r>
        <w:t xml:space="preserve"> </w:t>
      </w:r>
      <w:r>
        <w:t xml:space="preserve">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t xml:space="preserve">全球与中国市场规模分析。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t xml:space="preserve">产业链结构与竞争格局。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w:t>
      </w:r>
      <w:r>
        <w:t xml:space="preserve"> </w:t>
      </w:r>
      <w:r>
        <w:t xml:space="preserve">Solutions、日本Keyence等）、国内领先企业（海塞姆科技、中科检测、华测检测等）以及一批专注于特定应用场景的新兴创业企业。</w:t>
      </w:r>
    </w:p>
    <w:p>
      <w:pPr>
        <w:pStyle w:val="BodyText"/>
      </w:pPr>
      <w:r>
        <w:t xml:space="preserve">技术发展趋势与挑战。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3"/>
      </w:pPr>
      <w:r>
        <w:t xml:space="preserve">2.3 相关研究综述</w:t>
      </w:r>
    </w:p>
    <w:p>
      <w:pPr>
        <w:pStyle w:val="FirstParagraph"/>
      </w:pPr>
      <w:r>
        <w:t xml:space="preserve">硬科技企业转型研究。硬科技企业是指基于前沿科学发现和技术创新，从事高技术含量、高附加值产品研发和制造的企业。这类企业的战略转型具有以下特点：技术驱动明显，技术创新是转型的核心动力，技术路线选择直接影响转型方向；研发投入大，需要持续的高强度研发投入，资金压力较大；人才依赖性强，高端技术人才和管理人才是转型成功的关键；周期长风险高，从技术研发到产品化、市场化周期长，不确定性大；生态协同重要，需要构建产学研用协同的创新生态系统。现有研究主要从多个角度探讨硬科技企业战略转型，包括技术轨道转换与技术能力构建（李纪珍等，2021）、创新网络演化与生态系统构建（王毅等，2022）、组织学习与动态能力发展（张玉利等，2020）以及政策支持与市场环境互动（陈劲等，2016）。</w:t>
      </w:r>
    </w:p>
    <w:p>
      <w:pPr>
        <w:pStyle w:val="BodyText"/>
      </w:pPr>
      <w:r>
        <w:t xml:space="preserve">传感器企业创新发展研究。传感器作为物联网、智能制造、人工智能等新兴产业的基础，其创新发展备受关注。相关研究主要集中在多个方面：技术创新路径涉及MEMS技术、纳米技术、智能算法等在传感器中的应用；商业模式创新关注从产品制造向”产品+服务+数据”的商业模式转变；产业生态构建探讨传感器企业与上下游企业的协同创新；标准化与产业化则包括技术标准制定、产业化推广和规模化应用。</w:t>
      </w:r>
    </w:p>
    <w:p>
      <w:pPr>
        <w:pStyle w:val="BodyText"/>
      </w:pPr>
      <w:r>
        <w:t xml:space="preserve">数字化转型案例研究。数字化转型是企业转型的重要形式，相关案例研究提供了丰富的实践经验。传统制造企业数字化转型通过数字孪生、工业互联网、智能制造等技术实现转型升级；服务企业数字化转型利用大数据、人工智能、平台经济等创新服务模式；中小企业数字化转型通过云服务、SaaS模式等低成本方式实现数字化；硬科技企业数字化转型则涉及研发数字化、生产数字化、服务数字化的一体化转型。</w:t>
      </w:r>
    </w:p>
    <w:p>
      <w:pPr>
        <w:pStyle w:val="BodyText"/>
      </w:pPr>
      <w:r>
        <w:t xml:space="preserve">研究评述与本文创新点。现有研究的主要贡献包括构建了企业转型的理论框架和分析工具，揭示了不同类型企业转型的特点和规律，提供了丰富的案例研究和实践经验，并探讨了数字化转型等新兴转型模式。然而，现有研究也存在一些不足：对硬科技企业转型的特殊性关注不足，缺乏对视觉力学传感器等细分行业的研究，对技术驱动型转型的机制探讨不够深入，以及缺乏对转型成效的多维度评估研究。本文的创新点主要体现在五个方面：研究视角创新方面，从战略转型视角研究视觉力学传感器企业，填补细分行业研究空白；理论应用创新方面，将战略转型理论应用于硬科技企业，拓展理论适用边界；案例研究创新方面，以HSM为深度案例，提供硬科技企业转型的鲜活样本；方法整合创新方面，综合运用多种研究方法，增强研究的科学性和可信度；实践指导创新方面，提出针对硬科技企业转型的管理启示和政策建议。</w:t>
      </w:r>
    </w:p>
    <w:p>
      <w:pPr>
        <w:pStyle w:val="BodyText"/>
      </w:pPr>
      <w:r>
        <w:t xml:space="preserve">本章小结：通过对企业战略转型理论的多维度梳理，本章构建了资源基础观、动态能力理论、组织学习理论和技术创新理论的整合分析框架，特别关注这些理论在硬科技企业转型情境下的适用性和局限性。研究系统考察了视觉力学传感器行业的技术演进路径和市场发展格局，指出该领域从科研工具向工业产品转型过程中面临的技术标准化与市场需求多元化之间的张力。文献综述进一步揭示了现有研究在硬科技企业转型特殊性、细分行业深度分析以及技术驱动机制探讨方面的不足，从而明确了本研究的理论定位和创新方向。这一理论框架为后续章节深入分析HSM公司的转型实践提供了关键的概念工具和分析视角。</w:t>
      </w:r>
    </w:p>
    <w:bookmarkEnd w:id="31"/>
    <w:bookmarkEnd w:id="32"/>
    <w:bookmarkStart w:id="55" w:name="第三章-hsm公司外部环境分析"/>
    <w:p>
      <w:pPr>
        <w:pStyle w:val="2"/>
      </w:pPr>
      <w:r>
        <w:t xml:space="preserve">第三章 HSM公司外部环境分析</w:t>
      </w:r>
    </w:p>
    <w:bookmarkStart w:id="38"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3" w:name="政治环境"/>
    <w:p>
      <w:pPr>
        <w:pStyle w:val="4"/>
      </w:pPr>
      <w:r>
        <w:t xml:space="preserve">3.1.1 政治环境</w:t>
      </w:r>
    </w:p>
    <w:p>
      <w:pPr>
        <w:pStyle w:val="FirstParagraph"/>
      </w:pPr>
      <w:r>
        <w:t xml:space="preserve">政策支持体系完善。国家层面高度重视传感器产业发展，国务院《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t xml:space="preserve">国产替代战略推动。在中美科技竞争常态化的背景下，国产替代上升为国家战略。各级政府出台优先采购国产设备的政策，支持自主创新技术产品。交通运输部《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t xml:space="preserve">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t xml:space="preserve">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3"/>
    <w:bookmarkStart w:id="34" w:name="经济环境"/>
    <w:p>
      <w:pPr>
        <w:pStyle w:val="4"/>
      </w:pPr>
      <w:r>
        <w:t xml:space="preserve">3.1.2 经济环境</w:t>
      </w:r>
    </w:p>
    <w:p>
      <w:pPr>
        <w:pStyle w:val="FirstParagraph"/>
      </w:pPr>
      <w:r>
        <w:t xml:space="preserve">行业增长与资本环境。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t xml:space="preserve">下游需求韧性分析。视觉力学传感器的主要应用领域呈现多元化发展趋势。材料测试领域的需求稳定增长，涉及金属材料、复合材料、生物材料等的力学性能测试；结构测试领域的需求随着制造业升级而增加，包括汽车、航空航天、建筑等结构强度测试；安全检测与监测领域市场需求快速增长，2024年中国市场规模达到850亿元，预计2027年将突破1500亿元，年复合增长率超过20%。</w:t>
      </w:r>
    </w:p>
    <w:p>
      <w:pPr>
        <w:pStyle w:val="BodyText"/>
      </w:pPr>
      <w:r>
        <w:t xml:space="preserve">资本关注度提升。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t xml:space="preserve">对HSM的具体影响：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4"/>
    <w:bookmarkStart w:id="35" w:name="社会环境"/>
    <w:p>
      <w:pPr>
        <w:pStyle w:val="4"/>
      </w:pPr>
      <w:r>
        <w:t xml:space="preserve">3.1.3 社会环境</w:t>
      </w:r>
    </w:p>
    <w:p>
      <w:pPr>
        <w:pStyle w:val="FirstParagraph"/>
      </w:pPr>
      <w:r>
        <w:t xml:space="preserve">技术认知与接受度提升。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t xml:space="preserve">人才供给状况改善。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t xml:space="preserve">安全与合规意识增强。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t xml:space="preserve">对HSM的具体影响：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5"/>
    <w:bookmarkStart w:id="36" w:name="技术环境"/>
    <w:p>
      <w:pPr>
        <w:pStyle w:val="4"/>
      </w:pPr>
      <w:r>
        <w:t xml:space="preserve">3.1.4 技术环境</w:t>
      </w:r>
    </w:p>
    <w:p>
      <w:pPr>
        <w:pStyle w:val="FirstParagraph"/>
      </w:pPr>
      <w:r>
        <w:t xml:space="preserve">技术融合趋势明显。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t xml:space="preserve">技术迭代加速。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t xml:space="preserve">标准化与模块化发展。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t xml:space="preserve">对HSM的具体影响：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6"/>
    <w:bookmarkStart w:id="37" w:name="小结"/>
    <w:p>
      <w:pPr>
        <w:pStyle w:val="4"/>
      </w:pPr>
      <w:r>
        <w:t xml:space="preserve">3.1.5 小结</w:t>
      </w:r>
    </w:p>
    <w:p>
      <w:pPr>
        <w:pStyle w:val="FirstParagraph"/>
      </w:pPr>
      <w:r>
        <w:t xml:space="preserve">HSM面临的外部宏观环境呈现机遇大于挑战的格局。政策支持、市场需求增长、社会认知提升、技术融合创新等多重利好因素叠加，为视觉力学传感器行业创造了良好的发展环境。具体而言：</w:t>
      </w:r>
    </w:p>
    <w:p>
      <w:pPr>
        <w:pStyle w:val="BodyText"/>
      </w:pPr>
      <w:r>
        <w:t xml:space="preserve">机遇方面主要体现在多个维度：政策红利持续释放，国产替代战略为国内企业创造了市场空间；经济环境向好，基础设施安全监测市场需求快速增长，为技术应用提供了广阔场景；社会环境改善，技术认知度和安全意识提升降低了市场推广难度；技术环境优化，新一代信息技术与传感器技术融合为产品创新提供了技术支撑。</w:t>
      </w:r>
    </w:p>
    <w:p>
      <w:pPr>
        <w:pStyle w:val="BodyText"/>
      </w:pPr>
      <w:r>
        <w:t xml:space="preserve">挑战方面则表现在以下几个方面：国际竞争加剧，国际巨头凭借技术优势和品牌影响力抢占高端市场；成本压力上升，原材料和人力成本持续攀升；人才短缺问题突出，复合型技术人才供给不足；技术迭代加速，需要持续高强度研发投入以保持技术领先。</w:t>
      </w:r>
    </w:p>
    <w:p>
      <w:pPr>
        <w:pStyle w:val="BodyText"/>
      </w:pPr>
      <w:r>
        <w:t xml:space="preserve">对HSM的战略启示：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bookmarkEnd w:id="37"/>
    <w:bookmarkEnd w:id="38"/>
    <w:bookmarkStart w:id="41" w:name="视觉力学传感器行业总体环境分析"/>
    <w:p>
      <w:pPr>
        <w:pStyle w:val="3"/>
      </w:pPr>
      <w:r>
        <w:t xml:space="preserve">3.2 视觉力学传感器行业总体环境分析</w:t>
      </w:r>
    </w:p>
    <w:bookmarkStart w:id="39"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t xml:space="preserve">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bl>
    <w:p>
      <w:pPr>
        <w:pStyle w:val="BodyText"/>
      </w:pPr>
      <w:r>
        <w:t xml:space="preserve">续表3.1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t xml:space="preserve">数据来源：综合QYResearch《2026-2032全球及中国DIC视觉传感器行业研究报告》、百谏方略（DIResearch）DIC视觉传感器市场调研数据测算</w:t>
      </w:r>
    </w:p>
    <w:p>
      <w:pPr>
        <w:pStyle w:val="BodyText"/>
      </w:pPr>
      <w:r>
        <w:t xml:space="preserve">市场特征分析：</w:t>
      </w:r>
    </w:p>
    <w:p>
      <w:pPr>
        <w:pStyle w:val="BodyText"/>
      </w:pPr>
      <w:r>
        <w:t xml:space="preserve">全球市场：呈现稳健增长态势，年复合增长率8.5%。北美市场技术研发领先，高端应用需求旺盛；欧洲市场工业基础雄厚，质量检测要求严格；亚太市场制造业集中，市场规模增长最快。</w:t>
      </w:r>
    </w:p>
    <w:p>
      <w:pPr>
        <w:pStyle w:val="BodyText"/>
      </w:pPr>
      <w:r>
        <w:t xml:space="preserve">中国市场：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t xml:space="preserve">市场驱动因素：（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39"/>
    <w:bookmarkStart w:id="40"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t xml:space="preserve">表3.2 视觉力学传感器主要企业概览对比表</w:t>
      </w:r>
    </w:p>
    <w:tbl>
      <w:tblPr>
        <w:tblStyle w:val="Table"/>
        <w:tblW w:type="pct" w:w="4960"/>
        <w:tblLook w:firstRow="0" w:lastRow="0" w:firstColumn="0" w:lastColumn="0" w:noHBand="0" w:noVBand="0" w:val="0000"/>
      </w:tblPr>
      <w:tblGrid>
        <w:gridCol w:w="720"/>
        <w:gridCol w:w="219"/>
        <w:gridCol w:w="657"/>
        <w:gridCol w:w="782"/>
        <w:gridCol w:w="2191"/>
        <w:gridCol w:w="2379"/>
        <w:gridCol w:w="90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w:t>
            </w:r>
            <w:r>
              <w:t xml:space="preserve"> </w:t>
            </w:r>
            <w:r>
              <w:t xml:space="preserve">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bl>
    <w:p>
      <w:pPr>
        <w:pStyle w:val="BodyText"/>
      </w:pPr>
      <w:r>
        <w:t xml:space="preserve">续表3.2 视觉力学传感器主要企业概览对比表</w:t>
      </w:r>
    </w:p>
    <w:tbl>
      <w:tblPr>
        <w:tblStyle w:val="Table"/>
        <w:tblW w:type="pct" w:w="4952"/>
        <w:tblLook w:firstRow="0" w:lastRow="0" w:firstColumn="0" w:lastColumn="0" w:noHBand="0" w:noVBand="0" w:val="0000"/>
      </w:tblPr>
      <w:tblGrid>
        <w:gridCol w:w="565"/>
        <w:gridCol w:w="264"/>
        <w:gridCol w:w="867"/>
        <w:gridCol w:w="1244"/>
        <w:gridCol w:w="2187"/>
        <w:gridCol w:w="1848"/>
        <w:gridCol w:w="86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t xml:space="preserve">竞争梯队分析：</w:t>
      </w:r>
    </w:p>
    <w:p>
      <w:pPr>
        <w:pStyle w:val="BodyText"/>
      </w:pPr>
      <w:r>
        <w:t xml:space="preserve">第一梯队：国际巨头（GOM、Correlated</w:t>
      </w:r>
      <w:r>
        <w:t xml:space="preserve"> </w:t>
      </w:r>
      <w:r>
        <w:t xml:space="preserve">Solutions等），技术领先但价格昂贵，主要占据高端科研和工业市场。</w:t>
      </w:r>
    </w:p>
    <w:p>
      <w:pPr>
        <w:pStyle w:val="BodyText"/>
      </w:pPr>
      <w:r>
        <w:t xml:space="preserve">第二梯队：国内领先企业（HSM、亿维股份、基康仪器等），技术接近国际水平，性价比高，在细分领域各有优势。</w:t>
      </w:r>
    </w:p>
    <w:p>
      <w:pPr>
        <w:pStyle w:val="BodyText"/>
      </w:pPr>
      <w:r>
        <w:t xml:space="preserve">第三梯队：其他国内企业，技术相对落后，以价格竞争为主，市场份额分散。</w:t>
      </w:r>
    </w:p>
    <w:p>
      <w:pPr>
        <w:pStyle w:val="BodyText"/>
      </w:pPr>
      <w:r>
        <w:t xml:space="preserve">对HSM的竞争启示：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bookmarkEnd w:id="40"/>
    <w:bookmarkEnd w:id="41"/>
    <w:bookmarkStart w:id="48"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2" w:name="现有企业竞争程度"/>
    <w:p>
      <w:pPr>
        <w:pStyle w:val="4"/>
      </w:pPr>
      <w:r>
        <w:t xml:space="preserve">3.3.1 现有企业竞争程度</w:t>
      </w:r>
    </w:p>
    <w:p>
      <w:pPr>
        <w:pStyle w:val="FirstParagraph"/>
      </w:pPr>
      <w:r>
        <w:t xml:space="preserve">行业竞争较为激烈，尤其在高端市场</w:t>
      </w:r>
    </w:p>
    <w:p>
      <w:pPr>
        <w:pStyle w:val="BodyText"/>
      </w:pPr>
      <w:r>
        <w:t xml:space="preserve">现有企业之间的竞争是视觉力学传感器行业最主要的竞争力量，呈现出多层次、多维度的竞争格局。</w:t>
      </w:r>
    </w:p>
    <w:p>
      <w:pPr>
        <w:pStyle w:val="BodyText"/>
      </w:pPr>
      <w:r>
        <w:t xml:space="preserve">竞争特点分析：</w:t>
      </w:r>
    </w:p>
    <w:p>
      <w:pPr>
        <w:pStyle w:val="BodyText"/>
      </w:pPr>
      <w:r>
        <w:t xml:space="preserve">国际巨头垄断高端市场：德国GOM、美国Correlated</w:t>
      </w:r>
      <w:r>
        <w:t xml:space="preserve"> </w:t>
      </w:r>
      <w:r>
        <w:t xml:space="preserve">Solutions等国际企业在高端科研市场占据绝对优势，凭借深厚的技术积累和品牌影响力构建了较高的市场壁垒。这些企业产品价格昂贵（通常100万元以上），但技术性能卓越，满足了对精度和可靠性要求极高的客户需求。</w:t>
      </w:r>
    </w:p>
    <w:p>
      <w:pPr>
        <w:pStyle w:val="BodyText"/>
      </w:pPr>
      <w:r>
        <w:t xml:space="preserve">国内企业价格竞争激烈：在中低端市场，国内企业数量众多，产品同质化严重，价格竞争成为主要竞争手段。产品价格从几万元到几十万元不等，价格战导致行业整体利润率下降。部分企业为争夺市场份额，甚至以低于成本价销售，扰乱了市场秩序。</w:t>
      </w:r>
    </w:p>
    <w:p>
      <w:pPr>
        <w:pStyle w:val="BodyText"/>
      </w:pPr>
      <w:r>
        <w:t xml:space="preserve">差异化竞争逐步显现：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p>
    <w:p>
      <w:pPr>
        <w:pStyle w:val="BodyText"/>
      </w:pPr>
      <w:r>
        <w:t xml:space="preserve">竞争领域向新兴市场延伸：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t xml:space="preserve">对HSM的战略影响：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2"/>
    <w:bookmarkStart w:id="43" w:name="潜在进入者威胁"/>
    <w:p>
      <w:pPr>
        <w:pStyle w:val="4"/>
      </w:pPr>
      <w:r>
        <w:t xml:space="preserve">3.3.2 潜在进入者威胁</w:t>
      </w:r>
    </w:p>
    <w:p>
      <w:pPr>
        <w:pStyle w:val="FirstParagraph"/>
      </w:pPr>
      <w:r>
        <w:t xml:space="preserve">行业进入壁垒较高，潜在进入者威胁相对有限</w:t>
      </w:r>
    </w:p>
    <w:p>
      <w:pPr>
        <w:pStyle w:val="BodyText"/>
      </w:pPr>
      <w:r>
        <w:t xml:space="preserve">视觉力学传感器行业存在较高的进入壁垒，潜在进入者威胁相对较低。</w:t>
      </w:r>
    </w:p>
    <w:p>
      <w:pPr>
        <w:pStyle w:val="BodyText"/>
      </w:pPr>
      <w:r>
        <w:t xml:space="preserve">进入壁垒分析：</w:t>
      </w:r>
    </w:p>
    <w:p>
      <w:pPr>
        <w:pStyle w:val="BodyText"/>
      </w:pPr>
      <w:r>
        <w:t xml:space="preserve">技术壁垒较高：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p>
    <w:p>
      <w:pPr>
        <w:pStyle w:val="BodyText"/>
      </w:pPr>
      <w:r>
        <w:t xml:space="preserve">资金壁垒显著：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p>
    <w:p>
      <w:pPr>
        <w:pStyle w:val="BodyText"/>
      </w:pPr>
      <w:r>
        <w:t xml:space="preserve">品牌和渠道壁垒：客户对测量设备的可靠性和准确性要求极高，倾向于选择有成功案例和良好口碑的品牌。建立品牌影响力和销售渠道需要时间积累和资源投入。现有企业通过多年的市场耕耘，建立了稳定的客户关系和渠道网络。</w:t>
      </w:r>
    </w:p>
    <w:p>
      <w:pPr>
        <w:pStyle w:val="BodyText"/>
      </w:pPr>
      <w:r>
        <w:t xml:space="preserve">规模经济效应：随着生产规模的扩大，单位产品成本显著下降。现有企业通过批量生产和供应链优化建立了成本优势，新进入者难以在短期内实现规模经济。</w:t>
      </w:r>
    </w:p>
    <w:p>
      <w:pPr>
        <w:pStyle w:val="BodyText"/>
      </w:pPr>
      <w:r>
        <w:t xml:space="preserve">潜在进入者类型：（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t xml:space="preserve">对HSM的战略影响：虽然潜在进入者威胁较低，但HSM仍需保持警惕。（1）加强专利布局，构建技术护城河；（2）加快市场拓展，建立品牌忠诚度；（3）优化成本结构，建立规模优势；（4）关注技术趋势，防范技术颠覆风险。</w:t>
      </w:r>
    </w:p>
    <w:bookmarkEnd w:id="43"/>
    <w:bookmarkStart w:id="44" w:name="替代品威胁"/>
    <w:p>
      <w:pPr>
        <w:pStyle w:val="4"/>
      </w:pPr>
      <w:r>
        <w:t xml:space="preserve">3.3.3 替代品威胁</w:t>
      </w:r>
    </w:p>
    <w:p>
      <w:pPr>
        <w:pStyle w:val="FirstParagraph"/>
      </w:pPr>
      <w:r>
        <w:t xml:space="preserve">替代技术威胁相对有限，DIC技术具有综合优势</w:t>
      </w:r>
    </w:p>
    <w:p>
      <w:pPr>
        <w:pStyle w:val="BodyText"/>
      </w:pPr>
      <w:r>
        <w:t xml:space="preserve">传统测量方法和新兴测量技术对视觉力学传感器构成一定替代威胁，但DIC技术在全场测量、精度、成本等方面具有综合优势。</w:t>
      </w:r>
    </w:p>
    <w:p>
      <w:pPr>
        <w:pStyle w:val="BodyText"/>
      </w:pPr>
      <w:r>
        <w:t xml:space="preserve">替代技术分析：</w:t>
      </w:r>
    </w:p>
    <w:p>
      <w:pPr>
        <w:pStyle w:val="BodyText"/>
      </w:pPr>
      <w:r>
        <w:t xml:space="preserve">传统接触式测量方法：应变片、位移计、引伸计等传统接触式测量方法技术成熟、价格低廉，但存在安装复杂、测量点有限、难以实现全场测量等局限性。在需要全场、非接触、高精度测量的场景，传统方法无法替代DIC技术。</w:t>
      </w:r>
    </w:p>
    <w:p>
      <w:pPr>
        <w:pStyle w:val="BodyText"/>
      </w:pPr>
      <w:r>
        <w:t xml:space="preserve">其他非接触测量技术：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p>
    <w:p>
      <w:pPr>
        <w:pStyle w:val="BodyText"/>
      </w:pPr>
      <w:r>
        <w:t xml:space="preserve">新兴传感技术：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t xml:space="preserve">技术替代趋势：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t xml:space="preserve">对HSM的战略影响：替代品威胁较低为HSM提供了良好的发展环境。（1）突出DIC技术的综合优势，加强市场教育；（2）推动技术融合，开发多传感器集成系统；（3）持续降低成本，拓展应用场景；（4）关注技术发展趋势，防范技术颠覆。</w:t>
      </w:r>
    </w:p>
    <w:bookmarkEnd w:id="44"/>
    <w:bookmarkStart w:id="45" w:name="供应商议价能力"/>
    <w:p>
      <w:pPr>
        <w:pStyle w:val="4"/>
      </w:pPr>
      <w:r>
        <w:t xml:space="preserve">3.3.4 供应商议价能力</w:t>
      </w:r>
    </w:p>
    <w:p>
      <w:pPr>
        <w:pStyle w:val="FirstParagraph"/>
      </w:pPr>
      <w:r>
        <w:t xml:space="preserve">供应商议价能力中等，高端部件存在进口依赖</w:t>
      </w:r>
    </w:p>
    <w:p>
      <w:pPr>
        <w:pStyle w:val="BodyText"/>
      </w:pPr>
      <w:r>
        <w:t xml:space="preserve">视觉力学传感器的核心部件存在多家供应商，但高端部件仍依赖进口，供应商具有一定的议价能力。</w:t>
      </w:r>
    </w:p>
    <w:p>
      <w:pPr>
        <w:pStyle w:val="BodyText"/>
      </w:pPr>
      <w:r>
        <w:t xml:space="preserve">供应链结构分析：</w:t>
      </w:r>
    </w:p>
    <w:p>
      <w:pPr>
        <w:pStyle w:val="BodyText"/>
      </w:pPr>
      <w:r>
        <w:t xml:space="preserve">核心部件供应商：（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p>
    <w:p>
      <w:pPr>
        <w:pStyle w:val="BodyText"/>
      </w:pPr>
      <w:r>
        <w:t xml:space="preserve">供应商分布特征：（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p>
    <w:p>
      <w:pPr>
        <w:pStyle w:val="BodyText"/>
      </w:pPr>
      <w:r>
        <w:t xml:space="preserve">供应商集中度：核心部件供应商集中度较高，特别是高端图像传感器和计算芯片市场被少数几家国际巨头垄断。结构件、线缆、外壳等非核心部件供应商分散，竞争激烈。</w:t>
      </w:r>
    </w:p>
    <w:p>
      <w:pPr>
        <w:pStyle w:val="BodyText"/>
      </w:pPr>
      <w:r>
        <w:t xml:space="preserve">议价能力影响因素：（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t xml:space="preserve">对HSM的战略影响：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5"/>
    <w:bookmarkStart w:id="46" w:name="客户议价能力"/>
    <w:p>
      <w:pPr>
        <w:pStyle w:val="4"/>
      </w:pPr>
      <w:r>
        <w:t xml:space="preserve">3.3.5 客户议价能力</w:t>
      </w:r>
    </w:p>
    <w:p>
      <w:pPr>
        <w:pStyle w:val="FirstParagraph"/>
      </w:pPr>
      <w:r>
        <w:t xml:space="preserve">客户议价能力因规模而异，大型客户议价能力较强</w:t>
      </w:r>
    </w:p>
    <w:p>
      <w:pPr>
        <w:pStyle w:val="BodyText"/>
      </w:pPr>
      <w:r>
        <w:t xml:space="preserve">视觉力学传感器的客户议价能力因客户类型和采购规模而异，大型客户议价能力较强，中小客户议价能力相对较弱。</w:t>
      </w:r>
    </w:p>
    <w:p>
      <w:pPr>
        <w:pStyle w:val="BodyText"/>
      </w:pPr>
      <w:r>
        <w:t xml:space="preserve">客户结构分析：</w:t>
      </w:r>
    </w:p>
    <w:p>
      <w:pPr>
        <w:pStyle w:val="BodyText"/>
      </w:pPr>
      <w:r>
        <w:t xml:space="preserve">大型客户：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p>
    <w:p>
      <w:pPr>
        <w:pStyle w:val="BodyText"/>
      </w:pPr>
      <w:r>
        <w:t xml:space="preserve">中小客户：中小企业、科研院所、检测机构等采购规模小，对价格敏感度高，对技术服务要求相对较低。这些客户通常直接采购，议价能力较弱，账期短。但客户数量多，市场分散，需要建立高效的销售和服务体系。</w:t>
      </w:r>
    </w:p>
    <w:p>
      <w:pPr>
        <w:pStyle w:val="BodyText"/>
      </w:pPr>
      <w:r>
        <w:t xml:space="preserve">客户需求特征：（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t xml:space="preserve">议价能力影响因素：（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t xml:space="preserve">对HSM的战略影响：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6"/>
    <w:bookmarkStart w:id="47" w:name="小结-1"/>
    <w:p>
      <w:pPr>
        <w:pStyle w:val="4"/>
      </w:pPr>
      <w:r>
        <w:t xml:space="preserve">3.3.6 小结</w:t>
      </w:r>
    </w:p>
    <w:p>
      <w:pPr>
        <w:pStyle w:val="FirstParagraph"/>
      </w:pPr>
      <w:r>
        <w:t xml:space="preserve">表3.3 视觉力学传感器行业波特五力模型总结表</w:t>
      </w:r>
    </w:p>
    <w:tbl>
      <w:tblPr>
        <w:tblStyle w:val="Table"/>
        <w:tblW w:type="pct" w:w="4923"/>
        <w:tblLook w:firstRow="0" w:lastRow="0" w:firstColumn="0" w:lastColumn="0" w:noHBand="0" w:noVBand="0" w:val="0000"/>
      </w:tblPr>
      <w:tblGrid>
        <w:gridCol w:w="1035"/>
        <w:gridCol w:w="1523"/>
        <w:gridCol w:w="2741"/>
        <w:gridCol w:w="2497"/>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激烈竞争</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较低威胁</w:t>
            </w:r>
          </w:p>
        </w:tc>
        <w:tc>
          <w:tcPr/>
          <w:p>
            <w:pPr>
              <w:pStyle w:val="Compact"/>
              <w:jc w:val="left"/>
            </w:pPr>
            <w:r>
              <w:t xml:space="preserve">技术、资金、品牌壁垒较高，威胁有限</w:t>
            </w:r>
          </w:p>
        </w:tc>
        <w:tc>
          <w:tcPr/>
          <w:p>
            <w:pPr>
              <w:pStyle w:val="Compact"/>
              <w:jc w:val="left"/>
            </w:pPr>
            <w:r>
              <w:t xml:space="preserve">加强专利布局和品牌建设，巩固市场地位</w:t>
            </w:r>
          </w:p>
        </w:tc>
      </w:tr>
    </w:tbl>
    <w:p>
      <w:pPr>
        <w:pStyle w:val="BodyText"/>
      </w:pPr>
      <w:r>
        <w:t xml:space="preserve">续表3.3 视觉力学传感器行业波特五力模型总结表</w:t>
      </w:r>
    </w:p>
    <w:tbl>
      <w:tblPr>
        <w:tblStyle w:val="Table"/>
        <w:tblW w:type="pct" w:w="4919"/>
        <w:tblLook w:firstRow="0" w:lastRow="0" w:firstColumn="0" w:lastColumn="0" w:noHBand="0" w:noVBand="0" w:val="0000"/>
      </w:tblPr>
      <w:tblGrid>
        <w:gridCol w:w="1085"/>
        <w:gridCol w:w="1596"/>
        <w:gridCol w:w="2490"/>
        <w:gridCol w:w="2618"/>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替代品威胁</w:t>
            </w:r>
          </w:p>
        </w:tc>
        <w:tc>
          <w:tcPr/>
          <w:p>
            <w:pPr>
              <w:pStyle w:val="Compact"/>
              <w:jc w:val="left"/>
            </w:pPr>
            <w:r>
              <w:t xml:space="preserve">有限威胁</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中等议价能力</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客户规模决定议价能力</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t xml:space="preserve">行业竞争格局总体判断：视觉力学传感器行业竞争激烈，但存在结构性机会。（1）高端市场：国际巨头占据主导，竞争焦点是技术性能和品牌影响力；（2）中端市场：国内领先企业竞争激烈，竞争焦点是性价比和行业解决方案；（3）低端市场：价格竞争激烈，利润率低，存在整合机会。</w:t>
      </w:r>
    </w:p>
    <w:p>
      <w:pPr>
        <w:pStyle w:val="BodyText"/>
      </w:pPr>
      <w:r>
        <w:t xml:space="preserve">对HSM的战略启示：基于五力分析，HSM应采取以下竞争策略：（1）差异化战略：以第三代DIC技术为核心，开发智能化、平台化产品，避免同质化竞争；（2）聚焦战略：深耕重点行业和重点客户，建立行业标杆案例，形成局部竞争优势；（3）成本领先战略：通过标准化设计和规模化生产降低生产成本，建立成本优势；（4）合作战略：与供应商、客户、科研院所建立战略合作关系，构建产业生态系统。</w:t>
      </w:r>
    </w:p>
    <w:bookmarkEnd w:id="47"/>
    <w:bookmarkEnd w:id="48"/>
    <w:bookmarkStart w:id="53"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9" w:name="桥梁健康监测市场分析"/>
    <w:p>
      <w:pPr>
        <w:pStyle w:val="4"/>
      </w:pPr>
      <w:r>
        <w:t xml:space="preserve">3.4.1 桥梁健康监测市场分析</w:t>
      </w:r>
    </w:p>
    <w:p>
      <w:pPr>
        <w:pStyle w:val="FirstParagraph"/>
      </w:pPr>
      <w:r>
        <w:t xml:space="preserve">市场规模与增长趋势。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t xml:space="preserve">技术方案与应用特点。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t xml:space="preserve">主要厂商竞争格局。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t xml:space="preserve">政策支持与市场机遇。交通运输部《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49"/>
    <w:bookmarkStart w:id="50" w:name="隧道收敛监测市场分析"/>
    <w:p>
      <w:pPr>
        <w:pStyle w:val="4"/>
      </w:pPr>
      <w:r>
        <w:t xml:space="preserve">3.4.2 隧道收敛监测市场分析</w:t>
      </w:r>
    </w:p>
    <w:p>
      <w:pPr>
        <w:pStyle w:val="FirstParagraph"/>
      </w:pPr>
      <w:r>
        <w:t xml:space="preserve">市场规模与区域分布。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t xml:space="preserve">技术挑战与解决方案。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t xml:space="preserve">应用案例与发展趋势。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50"/>
    <w:bookmarkStart w:id="51" w:name="边坡位移监测市场分析"/>
    <w:p>
      <w:pPr>
        <w:pStyle w:val="4"/>
      </w:pPr>
      <w:r>
        <w:t xml:space="preserve">3.4.3 边坡位移监测市场分析</w:t>
      </w:r>
    </w:p>
    <w:p>
      <w:pPr>
        <w:pStyle w:val="FirstParagraph"/>
      </w:pPr>
      <w:r>
        <w:t xml:space="preserve">市场规模与需求特征。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t xml:space="preserve">技术方案与系统集成。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t xml:space="preserve">应用领域与市场机遇。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1"/>
    <w:bookmarkStart w:id="52" w:name="国家政策环境分析"/>
    <w:p>
      <w:pPr>
        <w:pStyle w:val="4"/>
      </w:pPr>
      <w:r>
        <w:t xml:space="preserve">3.4.4 国家政策环境分析</w:t>
      </w:r>
    </w:p>
    <w:p>
      <w:pPr>
        <w:pStyle w:val="FirstParagraph"/>
      </w:pPr>
      <w:r>
        <w:t xml:space="preserve">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t xml:space="preserve">行业政策密集出台。《</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t xml:space="preserve">标准体系建设加速。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t xml:space="preserve">政策影响评估：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bookmarkEnd w:id="52"/>
    <w:bookmarkEnd w:id="53"/>
    <w:bookmarkStart w:id="54" w:name="本章小结"/>
    <w:p>
      <w:pPr>
        <w:pStyle w:val="3"/>
      </w:pPr>
      <w:r>
        <w:t xml:space="preserve">3.5 本章小结</w:t>
      </w:r>
    </w:p>
    <w:p>
      <w:pPr>
        <w:pStyle w:val="FirstParagraph"/>
      </w:pPr>
      <w:r>
        <w:t xml:space="preserve">本章综合运用PEST分析和波特五力模型等战略分析工具，系统考察了HSM公司面临的外部环境。分析显示，视觉力学传感器行业正处于从实验室科研工具向工业级标准化产品快速演进的关键阶段，这为HSM的战略转型创造了重要的外部条件。</w:t>
      </w:r>
    </w:p>
    <w:p>
      <w:pPr>
        <w:pStyle w:val="BodyText"/>
      </w:pPr>
      <w:r>
        <w:t xml:space="preserve">宏观环境分析表明，政策层面的国产替代战略和经济层面的基础设施安全监测市场需求增长，共同构成了行业发展的主要驱动力。社会层面对技术认知度的提升和技术层面新一代信息技术的融合应用，进一步降低了市场推广难度并为产品创新提供了支撑。然而，国际竞争态势的加剧、成本压力的上升以及专业技术人才的短缺，仍是行业发展中不容忽视的挑战。</w:t>
      </w:r>
    </w:p>
    <w:p>
      <w:pPr>
        <w:pStyle w:val="BodyText"/>
      </w:pPr>
      <w:r>
        <w:t xml:space="preserve">行业竞争结构分析揭示了市场的分层特征：国际巨头凭借技术积累占据高端市场，国内领先企业在细分领域通过差异化策略形成竞争优势，而其他企业则主要依赖价格竞争。波特五力模型的分析结果进一步指出，现有企业间的竞争强度最为显著，潜在进入者的威胁相对有限，替代技术的威胁程度较低，供应商和客户的议价能力则处于中等偏强水平。</w:t>
      </w:r>
    </w:p>
    <w:p>
      <w:pPr>
        <w:pStyle w:val="BodyText"/>
      </w:pPr>
      <w:r>
        <w:t xml:space="preserve">在具体应用场景方面，桥梁、隧道、边坡等基础设施安全监测领域展现出强劲的市场增长潜力。随着新型城镇化、交通强国等国家战略的持续推进，相关技术方案的不断完善和政策支持力度的持续加大，视觉监测技术在该领域的市场份额有望获得进一步提升。</w:t>
      </w:r>
    </w:p>
    <w:p>
      <w:pPr>
        <w:pStyle w:val="BodyText"/>
      </w:pPr>
      <w:r>
        <w:t xml:space="preserve">基于上述环境分析，HSM需要把握政策机遇，积极参与国产替代进程和政府主导项目；聚焦桥梁、隧道、边坡等重点行业，构建在安全监测领域的专业优势；以第三代DIC技术为核心，开发智能化、平台化的差异化产品；通过优化供应链管理和实施客户分层策略，提升运营效率和市场响应能力。通过对外部环境的系统分析，HSM进一步明确了转型的方向与重点，为后续结合内部资源能力制定具体实施路径奠定了坚实基础。</w:t>
      </w:r>
    </w:p>
    <w:bookmarkEnd w:id="54"/>
    <w:bookmarkEnd w:id="55"/>
    <w:bookmarkStart w:id="70" w:name="第四章-hsm转型的动因分析"/>
    <w:p>
      <w:pPr>
        <w:pStyle w:val="2"/>
      </w:pPr>
      <w:r>
        <w:t xml:space="preserve">第四章 HSM转型的动因分析</w:t>
      </w:r>
    </w:p>
    <w:bookmarkStart w:id="56" w:name="hsm基本情况"/>
    <w:p>
      <w:pPr>
        <w:pStyle w:val="3"/>
      </w:pPr>
      <w:r>
        <w:t xml:space="preserve">4.1 HSM基本情况</w:t>
      </w:r>
    </w:p>
    <w:p>
      <w:pPr>
        <w:pStyle w:val="FirstParagraph"/>
      </w:pPr>
      <w:r>
        <w:t xml:space="preserve">HSM公司成立于2020年6月，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p>
      <w:pPr>
        <w:pStyle w:val="BodyText"/>
      </w:pPr>
      <w:r>
        <w:t xml:space="preserve">表4.1：HSM三大产品线基本特征对比</w:t>
      </w:r>
    </w:p>
    <w:tbl>
      <w:tblPr>
        <w:tblStyle w:val="Table"/>
        <w:tblW w:type="pct" w:w="4907"/>
        <w:tblLook w:firstRow="1" w:lastRow="0" w:firstColumn="0" w:lastColumn="0" w:noHBand="0" w:noVBand="0" w:val="0020"/>
      </w:tblPr>
      <w:tblGrid>
        <w:gridCol w:w="953"/>
        <w:gridCol w:w="1320"/>
        <w:gridCol w:w="1246"/>
        <w:gridCol w:w="2126"/>
        <w:gridCol w:w="806"/>
        <w:gridCol w:w="1320"/>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t xml:space="preserve">产品线发展特征：视频引伸计和视频应变仪已完成产品化转型，实现标准化批量生产；视频跟踪仪仍处于项目化发展阶段，每个项目需要深度定制设计和工程实施。</w:t>
      </w:r>
    </w:p>
    <w:bookmarkEnd w:id="56"/>
    <w:bookmarkStart w:id="62" w:name="hsm内部资源和能力分析"/>
    <w:p>
      <w:pPr>
        <w:pStyle w:val="3"/>
      </w:pPr>
      <w:r>
        <w:t xml:space="preserve">4.2 HSM内部资源和能力分析</w:t>
      </w:r>
    </w:p>
    <w:bookmarkStart w:id="57" w:name="技术资源"/>
    <w:p>
      <w:pPr>
        <w:pStyle w:val="4"/>
      </w:pPr>
      <w:r>
        <w:t xml:space="preserve">4.2.1 技术资源</w:t>
      </w:r>
    </w:p>
    <w:p>
      <w:pPr>
        <w:pStyle w:val="FirstParagraph"/>
      </w:pPr>
      <w:r>
        <w:t xml:space="preserve">核心技术突破：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t xml:space="preserve">专利布局：公司在DIC视觉传感器领域累计申请专利数量居全国前列，构建了完善的技术保护体系。核心专利涵盖单目三维算法、硬件设计、系统集成等多个层面，形成了较高的技术壁垒。</w:t>
      </w:r>
    </w:p>
    <w:p>
      <w:pPr>
        <w:pStyle w:val="BodyText"/>
      </w:pPr>
      <w:r>
        <w:t xml:space="preserve">研发投入：作为硬科技企业，HSM研发投入占营业收入比例持续保持在20%以上，研发团队占员工总数的40%。公司建立了从算法研究、软件开发到硬件设计的全栈研发能力。</w:t>
      </w:r>
    </w:p>
    <w:bookmarkEnd w:id="57"/>
    <w:bookmarkStart w:id="58"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t xml:space="preserve">视频引伸计：作为现金牛产品，视频引伸计实现了完全标准化设计，月产能可达200-300台。产品采用模块化硬件和标准化软件，支持快速交付和批量生产。</w:t>
      </w:r>
    </w:p>
    <w:p>
      <w:pPr>
        <w:pStyle w:val="BodyText"/>
      </w:pPr>
      <w:r>
        <w:t xml:space="preserve">表4.2：视频引伸计生产链结构</w:t>
      </w:r>
    </w:p>
    <w:tbl>
      <w:tblPr>
        <w:tblStyle w:val="Table"/>
        <w:tblW w:type="pct" w:w="4938"/>
        <w:tblLook w:firstRow="1" w:lastRow="0" w:firstColumn="0" w:lastColumn="0" w:noHBand="0" w:noVBand="0" w:val="0020"/>
      </w:tblPr>
      <w:tblGrid>
        <w:gridCol w:w="541"/>
        <w:gridCol w:w="1623"/>
        <w:gridCol w:w="934"/>
        <w:gridCol w:w="1820"/>
        <w:gridCol w:w="1180"/>
        <w:gridCol w:w="1721"/>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t xml:space="preserve">视频应变仪：作为明星产品，视频应变仪采用模块化配置设计，平衡了标准化与定制化的需求。产品融合了AI算法和工业级硬件，为工业质量控制提供智能化解决方案。</w:t>
      </w:r>
    </w:p>
    <w:p>
      <w:pPr>
        <w:pStyle w:val="BodyText"/>
      </w:pPr>
      <w:r>
        <w:t xml:space="preserve">表4.3：视频应变仪生产链结构</w:t>
      </w:r>
    </w:p>
    <w:tbl>
      <w:tblPr>
        <w:tblStyle w:val="Table"/>
        <w:tblW w:type="pct" w:w="4935"/>
        <w:tblLook w:firstRow="0" w:lastRow="0" w:firstColumn="0" w:lastColumn="0" w:noHBand="0" w:noVBand="0" w:val="0000"/>
      </w:tblPr>
      <w:tblGrid>
        <w:gridCol w:w="565"/>
        <w:gridCol w:w="1491"/>
        <w:gridCol w:w="925"/>
        <w:gridCol w:w="1902"/>
        <w:gridCol w:w="1234"/>
        <w:gridCol w:w="169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bl>
    <w:p>
      <w:pPr>
        <w:pStyle w:val="BodyText"/>
      </w:pPr>
      <w:r>
        <w:t xml:space="preserve">续表4.3：视频应变仪生产链结构</w:t>
      </w:r>
    </w:p>
    <w:tbl>
      <w:tblPr>
        <w:tblStyle w:val="Table"/>
        <w:tblW w:type="pct" w:w="4933"/>
        <w:tblLook w:firstRow="0" w:lastRow="0" w:firstColumn="0" w:lastColumn="0" w:noHBand="0" w:noVBand="0" w:val="0000"/>
      </w:tblPr>
      <w:tblGrid>
        <w:gridCol w:w="584"/>
        <w:gridCol w:w="1860"/>
        <w:gridCol w:w="1116"/>
        <w:gridCol w:w="1647"/>
        <w:gridCol w:w="956"/>
        <w:gridCol w:w="164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t xml:space="preserve">视频跟踪仪：作为问题产品，视频跟踪仪仍采用项目制运作模式，每个项目需要独立设计、开发和实施，资源复用率低，生产效率低下。</w:t>
      </w:r>
    </w:p>
    <w:p>
      <w:pPr>
        <w:pStyle w:val="BodyText"/>
      </w:pPr>
      <w:r>
        <w:t xml:space="preserve">表4.4：视频跟踪仪生产链结构</w:t>
      </w:r>
    </w:p>
    <w:tbl>
      <w:tblPr>
        <w:tblStyle w:val="Table"/>
        <w:tblW w:type="pct" w:w="4934"/>
        <w:tblLook w:firstRow="1" w:lastRow="0" w:firstColumn="0" w:lastColumn="0" w:noHBand="0" w:noVBand="0" w:val="0020"/>
      </w:tblPr>
      <w:tblGrid>
        <w:gridCol w:w="576"/>
        <w:gridCol w:w="1625"/>
        <w:gridCol w:w="1049"/>
        <w:gridCol w:w="1835"/>
        <w:gridCol w:w="996"/>
        <w:gridCol w:w="1730"/>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8"/>
    <w:bookmarkStart w:id="59" w:name="生产资源"/>
    <w:p>
      <w:pPr>
        <w:pStyle w:val="4"/>
      </w:pP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p>
      <w:pPr>
        <w:pStyle w:val="BodyText"/>
      </w:pPr>
      <w:r>
        <w:t xml:space="preserve">表4.5：生产模式与市场表现关联矩阵</w:t>
      </w:r>
    </w:p>
    <w:tbl>
      <w:tblPr>
        <w:tblStyle w:val="Table"/>
        <w:tblW w:type="pct" w:w="4936"/>
        <w:tblLook w:firstRow="1" w:lastRow="0" w:firstColumn="0" w:lastColumn="0" w:noHBand="0" w:noVBand="0" w:val="0020"/>
      </w:tblPr>
      <w:tblGrid>
        <w:gridCol w:w="660"/>
        <w:gridCol w:w="863"/>
        <w:gridCol w:w="1370"/>
        <w:gridCol w:w="1776"/>
        <w:gridCol w:w="1573"/>
        <w:gridCol w:w="1573"/>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t xml:space="preserve">生产瓶颈分析：</w:t>
      </w:r>
    </w:p>
    <w:p>
      <w:pPr>
        <w:pStyle w:val="BodyText"/>
      </w:pPr>
      <w:r>
        <w:t xml:space="preserve">1.</w:t>
      </w:r>
      <w:r>
        <w:t xml:space="preserve"> </w:t>
      </w:r>
      <w:r>
        <w:t xml:space="preserve">标准化产品：主要瓶颈在于产能限制和核心芯片供应稳定性，但整体供应链管理较为成熟。</w:t>
      </w:r>
      <w:r>
        <w:t xml:space="preserve"> </w:t>
      </w:r>
      <w:r>
        <w:t xml:space="preserve">2.</w:t>
      </w:r>
      <w:r>
        <w:t xml:space="preserve"> </w:t>
      </w:r>
      <w:r>
        <w:t xml:space="preserve">项目化产品：面临多重瓶颈：研发瓶颈（定制开发需求过多）、工程实施瓶颈（现场工作量大）、人才瓶颈（复合型项目人才稀缺）、资金瓶颈（项目垫资压力大）。</w:t>
      </w:r>
    </w:p>
    <w:bookmarkEnd w:id="59"/>
    <w:bookmarkStart w:id="60" w:name="客户资源"/>
    <w:p>
      <w:pPr>
        <w:pStyle w:val="4"/>
      </w:pPr>
      <w:r>
        <w:t xml:space="preserve">4.2.4 客户资源</w:t>
      </w:r>
    </w:p>
    <w:p>
      <w:pPr>
        <w:pStyle w:val="FirstParagraph"/>
      </w:pPr>
      <w:r>
        <w:t xml:space="preserve">HSM建立了坚实的客户基础，累计服务超过1000家客户，形成多层次客户结构：</w:t>
      </w:r>
    </w:p>
    <w:p>
      <w:pPr>
        <w:pStyle w:val="BodyText"/>
      </w:pPr>
      <w:r>
        <w:t xml:space="preserve">高端科研客户：清华大学、北京航空航天大学、中科院等顶尖科研院所，对测量精度要求极高，是技术创新的重要推动力量。</w:t>
      </w:r>
    </w:p>
    <w:p>
      <w:pPr>
        <w:pStyle w:val="BodyText"/>
      </w:pPr>
      <w:r>
        <w:t xml:space="preserve">工业标杆客户：一汽集团、比亚迪、宁德时代、华为等制造业龙头企业，关注产品的稳定性、可靠性和生产效率提升，是规模化市场的重要支撑。</w:t>
      </w:r>
    </w:p>
    <w:p>
      <w:pPr>
        <w:pStyle w:val="BodyText"/>
      </w:pPr>
      <w:r>
        <w:t xml:space="preserve">政府项目客户：交通运输部门、市政工程单位、基础设施运营商等，需求以安全监测为主，项目规模大但周期长、回款慢。</w:t>
      </w:r>
    </w:p>
    <w:p>
      <w:pPr>
        <w:pStyle w:val="BodyText"/>
      </w:pPr>
      <w:r>
        <w:t xml:space="preserve">客户分布特征：标准化产品（视频引伸计、视频应变仪）客户以高校科研院所和制造企业为主，决策链相对清晰，回款及时；项目化产品（视频跟踪仪）客户以政府部门和大型国企为主，决策链复杂，回款周期长。</w:t>
      </w:r>
    </w:p>
    <w:bookmarkEnd w:id="60"/>
    <w:bookmarkStart w:id="61" w:name="人力资源"/>
    <w:p>
      <w:pPr>
        <w:pStyle w:val="4"/>
      </w:pPr>
      <w:r>
        <w:t xml:space="preserve">4.2.5 人力资源</w:t>
      </w:r>
    </w:p>
    <w:p>
      <w:pPr>
        <w:pStyle w:val="FirstParagraph"/>
      </w:pPr>
      <w:r>
        <w:t xml:space="preserve">截至2024年底，HSM员工总数120人，人才结构呈现以下特点：</w:t>
      </w:r>
    </w:p>
    <w:p>
      <w:pPr>
        <w:pStyle w:val="BodyText"/>
      </w:pPr>
      <w:r>
        <w:t xml:space="preserve">研发团队：占比40%，核心成员来自清华大学、北京航空航天大学等知名高校，具备扎实的理论基础和实践经验。团队形成了算法开发、硬件设计、软件工程、系统集成等专业分工。</w:t>
      </w:r>
    </w:p>
    <w:p>
      <w:pPr>
        <w:pStyle w:val="BodyText"/>
      </w:pPr>
      <w:r>
        <w:t xml:space="preserve">管理团队：创始人技术背景深厚，在DIC算法领域有10年以上研究经验。公司正在引进具有产业经验和资本运作背景的管理人才，完善管理体系。</w:t>
      </w:r>
    </w:p>
    <w:p>
      <w:pPr>
        <w:pStyle w:val="BodyText"/>
      </w:pPr>
      <w:r>
        <w:t xml:space="preserve">销售与服务团队：在全国主要城市设立办事处，建立了覆盖全国的销售网络。技术服务团队具备较强的现场调试和问题解决能力。</w:t>
      </w:r>
    </w:p>
    <w:p>
      <w:pPr>
        <w:pStyle w:val="BodyText"/>
      </w:pPr>
      <w:r>
        <w:t xml:space="preserve">人才挑战：视频跟踪仪业务需要大量具备方案设计、工程实施、项目管理能力的复合型人才，这类人才市场稀缺，培养周期长，是制约业务发展的关键瓶颈。</w:t>
      </w:r>
    </w:p>
    <w:bookmarkEnd w:id="61"/>
    <w:bookmarkEnd w:id="62"/>
    <w:bookmarkStart w:id="65" w:name="hsm竞争战略"/>
    <w:p>
      <w:pPr>
        <w:pStyle w:val="3"/>
      </w:pPr>
      <w:r>
        <w:t xml:space="preserve">4.3 HSM竞争战略</w:t>
      </w:r>
    </w:p>
    <w:bookmarkStart w:id="63"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t xml:space="preserve">短期目标（2026-2028年）：</w:t>
      </w:r>
    </w:p>
    <w:p>
      <w:pPr>
        <w:pStyle w:val="BodyText"/>
      </w:pPr>
      <w:r>
        <w:t xml:space="preserve">1. 巩固标准化产品优势：视频引伸计和视频应变仪市场占有率提升至国内前三。</w:t>
      </w:r>
      <w:r>
        <w:t xml:space="preserve"> </w:t>
      </w:r>
      <w:r>
        <w:t xml:space="preserve">2.</w:t>
      </w:r>
      <w:r>
        <w:t xml:space="preserve"> </w:t>
      </w:r>
      <w:r>
        <w:t xml:space="preserve">优化项目制业务：将视频跟踪仪项目平均交付周期缩短30%，回款周期缩短至180天以内。</w:t>
      </w:r>
      <w:r>
        <w:t xml:space="preserve"> </w:t>
      </w:r>
      <w:r>
        <w:t xml:space="preserve">3.</w:t>
      </w:r>
      <w:r>
        <w:t xml:space="preserve"> </w:t>
      </w:r>
      <w:r>
        <w:t xml:space="preserve">技术持续创新：第三代DIC技术性能指标达到国际先进水平，新增专利50项以上。</w:t>
      </w:r>
      <w:r>
        <w:t xml:space="preserve"> </w:t>
      </w:r>
      <w:r>
        <w:t xml:space="preserve">4.</w:t>
      </w:r>
      <w:r>
        <w:t xml:space="preserve"> </w:t>
      </w:r>
      <w:r>
        <w:t xml:space="preserve">财务健康改善：标准化产品营收占比提升至70%以上，整体毛利率提升至60%以上。</w:t>
      </w:r>
    </w:p>
    <w:p>
      <w:pPr>
        <w:pStyle w:val="BodyText"/>
      </w:pPr>
      <w:r>
        <w:t xml:space="preserve">中期目标（2029-2032年）：</w:t>
      </w:r>
    </w:p>
    <w:p>
      <w:pPr>
        <w:pStyle w:val="BodyText"/>
      </w:pPr>
      <w:r>
        <w:t xml:space="preserve">1.</w:t>
      </w:r>
      <w:r>
        <w:t xml:space="preserve"> </w:t>
      </w:r>
      <w:r>
        <w:t xml:space="preserve">完成视频跟踪仪产品化转型：开发标准化视频跟踪仪产品系列，项目制业务占比降至30%以下。</w:t>
      </w:r>
      <w:r>
        <w:t xml:space="preserve"> </w:t>
      </w:r>
      <w:r>
        <w:t xml:space="preserve">2. 拓展国际市场：海外市场营收占比达到20%，进入欧美主流市场。 3.</w:t>
      </w:r>
      <w:r>
        <w:t xml:space="preserve"> </w:t>
      </w:r>
      <w:r>
        <w:t xml:space="preserve">构建技术生态：建立DIC技术开发者平台，吸引第三方应用开发。 4.</w:t>
      </w:r>
      <w:r>
        <w:t xml:space="preserve"> </w:t>
      </w:r>
      <w:r>
        <w:t xml:space="preserve">资本运作规划：完成科创板上市准备，市值目标50亿元以上。</w:t>
      </w:r>
    </w:p>
    <w:p>
      <w:pPr>
        <w:pStyle w:val="BodyText"/>
      </w:pPr>
      <w:r>
        <w:t xml:space="preserve">长期目标（2033-2035年）：</w:t>
      </w:r>
    </w:p>
    <w:p>
      <w:pPr>
        <w:pStyle w:val="BodyText"/>
      </w:pPr>
      <w:r>
        <w:t xml:space="preserve">1. 成为全球视觉力学传感器领导者：在全球DIC视觉传感器市场进入前三。 2.</w:t>
      </w:r>
      <w:r>
        <w:t xml:space="preserve"> </w:t>
      </w:r>
      <w:r>
        <w:t xml:space="preserve">构建智能感知平台：融合AI、IoT、云计算等技术，打造工业智能感知生态系统。</w:t>
      </w:r>
      <w:r>
        <w:t xml:space="preserve"> </w:t>
      </w:r>
      <w:r>
        <w:t xml:space="preserve">3.</w:t>
      </w:r>
      <w:r>
        <w:t xml:space="preserve"> </w:t>
      </w:r>
      <w:r>
        <w:t xml:space="preserve">产业生态布局：通过投资并购完善产业链，形成从传感器到解决方案的完整产业生态。</w:t>
      </w:r>
      <w:r>
        <w:t xml:space="preserve"> </w:t>
      </w:r>
      <w:r>
        <w:t xml:space="preserve">4. 可持续发展：实现碳中和运营，研发绿色低碳的智能感知技术。</w:t>
      </w:r>
    </w:p>
    <w:bookmarkEnd w:id="63"/>
    <w:bookmarkStart w:id="64"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p>
      <w:pPr>
        <w:pStyle w:val="BodyText"/>
      </w:pPr>
      <w:r>
        <w:t xml:space="preserve">表4.6：HSM基本价值链的竞争选择和实施路径</w:t>
      </w:r>
    </w:p>
    <w:tbl>
      <w:tblPr>
        <w:tblStyle w:val="Table"/>
        <w:tblW w:type="pct" w:w="4949"/>
        <w:tblLook w:firstRow="0" w:lastRow="0" w:firstColumn="0" w:lastColumn="0" w:noHBand="0" w:noVBand="0" w:val="0000"/>
      </w:tblPr>
      <w:tblGrid>
        <w:gridCol w:w="528"/>
        <w:gridCol w:w="1868"/>
        <w:gridCol w:w="2883"/>
        <w:gridCol w:w="2558"/>
      </w:tblGrid>
      <w:t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持续投入第三代DIC算法研发，提升测量精度和速度2.</w:t>
            </w:r>
            <w:r>
              <w:t xml:space="preserve"> </w:t>
            </w:r>
            <w:r>
              <w:t xml:space="preserve">融合AI技术，开发智能识别和预测分析功能3.</w:t>
            </w:r>
            <w:r>
              <w:t xml:space="preserve"> </w:t>
            </w:r>
            <w:r>
              <w:t xml:space="preserve">布局边缘计算和云平台架构，支持大规模部署4.</w:t>
            </w:r>
            <w:r>
              <w:t xml:space="preserve"> </w:t>
            </w:r>
            <w:r>
              <w:t xml:space="preserve">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t xml:space="preserve">生产运营</w:t>
            </w:r>
          </w:p>
        </w:tc>
        <w:tc>
          <w:tcPr/>
          <w:p>
            <w:pPr>
              <w:pStyle w:val="Compact"/>
              <w:jc w:val="left"/>
            </w:pPr>
            <w:r>
              <w:t xml:space="preserve">推动生产模式从项目制向产品化转型</w:t>
            </w:r>
          </w:p>
        </w:tc>
        <w:tc>
          <w:tcPr/>
          <w:p>
            <w:pPr>
              <w:pStyle w:val="Compact"/>
              <w:jc w:val="left"/>
            </w:pPr>
            <w:r>
              <w:t xml:space="preserve">1.</w:t>
            </w:r>
            <w:r>
              <w:t xml:space="preserve"> </w:t>
            </w:r>
            <w:r>
              <w:t xml:space="preserve">视频跟踪仪产品化改造：基于项目经验提炼共性需求，开发标准化产品版本2.</w:t>
            </w:r>
            <w:r>
              <w:t xml:space="preserve"> </w:t>
            </w:r>
            <w:r>
              <w:t xml:space="preserve">建立模块化生产体系：将定制功能模块化，提高资源复用率3.</w:t>
            </w:r>
            <w:r>
              <w:t xml:space="preserve"> </w:t>
            </w:r>
            <w:r>
              <w:t xml:space="preserve">优化供应链管理：建立适应不同产品线的差异化供应链体系4.</w:t>
            </w:r>
            <w:r>
              <w:t xml:space="preserve"> </w:t>
            </w:r>
            <w:r>
              <w:t xml:space="preserve">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t xml:space="preserve">市场营销</w:t>
            </w:r>
          </w:p>
        </w:tc>
        <w:tc>
          <w:tcPr/>
          <w:p>
            <w:pPr>
              <w:pStyle w:val="Compact"/>
              <w:jc w:val="left"/>
            </w:pPr>
            <w:r>
              <w:t xml:space="preserve">聚焦大客户toB市场，建立专业品牌形象</w:t>
            </w:r>
          </w:p>
        </w:tc>
        <w:tc>
          <w:tcPr/>
          <w:p>
            <w:pPr>
              <w:pStyle w:val="Compact"/>
              <w:jc w:val="left"/>
            </w:pPr>
            <w:r>
              <w:t xml:space="preserve">1.</w:t>
            </w:r>
            <w:r>
              <w:t xml:space="preserve"> </w:t>
            </w:r>
            <w:r>
              <w:t xml:space="preserve">实施客户分层策略：针对科研、工业、政府不同客户提供差异化产品和服务2.</w:t>
            </w:r>
            <w:r>
              <w:t xml:space="preserve"> </w:t>
            </w:r>
            <w:r>
              <w:t xml:space="preserve">加强标杆案例建设：在重点行业建立示范应用，形成口碑效应3.</w:t>
            </w:r>
            <w:r>
              <w:t xml:space="preserve"> </w:t>
            </w:r>
            <w:r>
              <w:t xml:space="preserve">构建专业服务体系：提供从方案设计到运营维护的全周期服务4.</w:t>
            </w:r>
            <w:r>
              <w:t xml:space="preserve"> </w:t>
            </w:r>
            <w:r>
              <w:t xml:space="preserve">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建立三级技术支持体系：远程支持、现场服务、专家咨询2.</w:t>
            </w:r>
            <w:r>
              <w:t xml:space="preserve"> </w:t>
            </w:r>
            <w:r>
              <w:t xml:space="preserve">开发智能化运维平台：实现设备状态远程监控和预测性维护3.</w:t>
            </w:r>
            <w:r>
              <w:t xml:space="preserve"> </w:t>
            </w:r>
            <w:r>
              <w:t xml:space="preserve">提供定制化培训服务：针对不同客户需求提供差异化培训方案4.</w:t>
            </w:r>
            <w:r>
              <w:t xml:space="preserve"> </w:t>
            </w:r>
            <w:r>
              <w:t xml:space="preserve">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实施”技术+管理”双通道发展路径：为技术人员提供管理发展机会2.</w:t>
            </w:r>
            <w:r>
              <w:t xml:space="preserve"> </w:t>
            </w:r>
            <w:r>
              <w:t xml:space="preserve">建立项目人才培养体系：通过实战项目培养复合型人才3.</w:t>
            </w:r>
            <w:r>
              <w:t xml:space="preserve"> </w:t>
            </w:r>
            <w:r>
              <w:t xml:space="preserve">优化激励机制：将项目成功与个人收益挂钩，激发团队积极性4.</w:t>
            </w:r>
            <w:r>
              <w:t xml:space="preserve"> </w:t>
            </w:r>
            <w:r>
              <w:t xml:space="preserve">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分阶段融资规划：匹配业务发展阶段，合理控制融资节奏2.</w:t>
            </w:r>
            <w:r>
              <w:t xml:space="preserve"> </w:t>
            </w:r>
            <w:r>
              <w:t xml:space="preserve">资金使用专项管理：确保研发投入和市场拓展的资金需求3.</w:t>
            </w:r>
            <w:r>
              <w:t xml:space="preserve"> </w:t>
            </w:r>
            <w:r>
              <w:t xml:space="preserve">财务风险防控：建立现金流预警机制，防范项目垫资风险4.</w:t>
            </w:r>
            <w:r>
              <w:t xml:space="preserve"> </w:t>
            </w:r>
            <w:r>
              <w:t xml:space="preserve">上市规划准备：按照科创板要求规范公司治理和财务管理</w:t>
            </w:r>
          </w:p>
        </w:tc>
        <w:tc>
          <w:tcPr/>
          <w:p>
            <w:pPr>
              <w:pStyle w:val="Compact"/>
              <w:jc w:val="left"/>
            </w:pPr>
            <w:r>
              <w:t xml:space="preserve">资金使用效率提升20%，为战略转型提供稳定资金支持</w:t>
            </w:r>
          </w:p>
        </w:tc>
      </w:tr>
    </w:tbl>
    <w:bookmarkEnd w:id="64"/>
    <w:bookmarkEnd w:id="65"/>
    <w:bookmarkStart w:id="69" w:name="swot分析与战略匹配"/>
    <w:p>
      <w:pPr>
        <w:pStyle w:val="3"/>
      </w:pPr>
      <w:r>
        <w:t xml:space="preserve">4.4 SWOT分析与战略匹配</w:t>
      </w:r>
    </w:p>
    <w:p>
      <w:pPr>
        <w:pStyle w:val="FirstParagraph"/>
      </w:pPr>
      <w:r>
        <w:t xml:space="preserve">基于前文对HSM内部资源能力（4.2节）和外部环境（第三章）的系统分析，本节采用SWOT分析法对HSM的内外部条件进行综合评估。SWOT分析框架从优势（Strengths）、劣势（Weaknesses）、机遇（Opportunities）、威胁（Threats）四个维度，系统梳理HSM的战略态势，并通过SWOT矩阵匹配形成SO、WO、ST、WT四类战略组合，为第五章战略转型实施路径的制定提供系统性的分析基础。</w:t>
      </w:r>
    </w:p>
    <w:bookmarkStart w:id="66" w:name="swot分析框架"/>
    <w:p>
      <w:pPr>
        <w:pStyle w:val="4"/>
      </w:pPr>
      <w:r>
        <w:t xml:space="preserve">4.4.1 SWOT分析框架</w:t>
      </w:r>
    </w:p>
    <w:p>
      <w:pPr>
        <w:pStyle w:val="FirstParagraph"/>
      </w:pPr>
      <w:r>
        <w:t xml:space="preserve">表4.8：HSM公司SWOT分析矩阵</w:t>
      </w:r>
    </w:p>
    <w:tbl>
      <w:tblPr>
        <w:tblStyle w:val="Table"/>
        <w:tblW w:type="pct" w:w="5000"/>
        <w:tblLook w:firstRow="1" w:lastRow="0" w:firstColumn="0" w:lastColumn="0" w:noHBand="0" w:noVBand="0" w:val="0020"/>
      </w:tblPr>
      <w:tblGrid>
        <w:gridCol w:w="1584"/>
        <w:gridCol w:w="3009"/>
        <w:gridCol w:w="3326"/>
      </w:tblGrid>
      <w:tr>
        <w:trPr>
          <w:tblHeader w:val="true"/>
        </w:trPr>
        <w:tc>
          <w:tcPr/>
          <w:p>
            <w:pPr>
              <w:pStyle w:val="Compact"/>
              <w:jc w:val="left"/>
            </w:pPr>
            <w:r>
              <w:t xml:space="preserve">内部因素</w:t>
            </w:r>
          </w:p>
        </w:tc>
        <w:tc>
          <w:tcPr/>
          <w:p>
            <w:pPr>
              <w:pStyle w:val="Compact"/>
              <w:jc w:val="left"/>
            </w:pPr>
            <w:r>
              <w:t xml:space="preserve">优势（Strengths）</w:t>
            </w:r>
          </w:p>
        </w:tc>
        <w:tc>
          <w:tcPr/>
          <w:p>
            <w:pPr>
              <w:pStyle w:val="Compact"/>
              <w:jc w:val="left"/>
            </w:pPr>
            <w:r>
              <w:t xml:space="preserve">劣势（Weaknesses）</w:t>
            </w:r>
          </w:p>
        </w:tc>
      </w:tr>
      <w:tr>
        <w:tc>
          <w:tcPr/>
          <w:p>
            <w:pPr>
              <w:pStyle w:val="Compact"/>
              <w:jc w:val="left"/>
            </w:pPr>
            <w:r>
              <w:rPr>
                <w:bCs/>
                <w:b/>
              </w:rPr>
              <w:t xml:space="preserve">外部因素</w:t>
            </w:r>
          </w:p>
        </w:tc>
        <w:tc>
          <w:tcPr/>
          <w:p>
            <w:pPr>
              <w:pStyle w:val="Compact"/>
              <w:jc w:val="left"/>
            </w:pPr>
            <w:r>
              <w:rPr>
                <w:bCs/>
                <w:b/>
              </w:rPr>
              <w:t xml:space="preserve">S1</w:t>
            </w:r>
            <w:r>
              <w:t xml:space="preserve">：全球首创的单目三维DIC技术，技术壁垒高</w:t>
            </w:r>
            <w:r>
              <w:rPr>
                <w:bCs/>
                <w:b/>
              </w:rPr>
              <w:t xml:space="preserve">S2</w:t>
            </w:r>
            <w:r>
              <w:t xml:space="preserve">：完整的专利布局（累计申请专利数量居全国前列）</w:t>
            </w:r>
            <w:r>
              <w:rPr>
                <w:bCs/>
                <w:b/>
              </w:rPr>
              <w:t xml:space="preserve">S3</w:t>
            </w:r>
            <w:r>
              <w:t xml:space="preserve">：高研发投入（占营收20%以上），研发团队占比40%</w:t>
            </w:r>
            <w:r>
              <w:rPr>
                <w:bCs/>
                <w:b/>
              </w:rPr>
              <w:t xml:space="preserve">S4</w:t>
            </w:r>
            <w:r>
              <w:t xml:space="preserve">：三条互补的产品线（视频引伸计、视频应变仪、视频跟踪仪）</w:t>
            </w:r>
            <w:r>
              <w:rPr>
                <w:bCs/>
                <w:b/>
              </w:rPr>
              <w:t xml:space="preserve">S5</w:t>
            </w:r>
            <w:r>
              <w:t xml:space="preserve">：标准化产品已实现批量生产，毛利率高（65-70%）</w:t>
            </w:r>
            <w:r>
              <w:rPr>
                <w:bCs/>
                <w:b/>
              </w:rPr>
              <w:t xml:space="preserve">S6</w:t>
            </w:r>
            <w:r>
              <w:t xml:space="preserve">：坚实的客户基础（超过1000家客户），多层次客户结构</w:t>
            </w:r>
            <w:r>
              <w:rPr>
                <w:bCs/>
                <w:b/>
              </w:rPr>
              <w:t xml:space="preserve">S7</w:t>
            </w:r>
            <w:r>
              <w:t xml:space="preserve">：与顶尖科研院所和制造业龙头企业的合作关系</w:t>
            </w:r>
          </w:p>
        </w:tc>
        <w:tc>
          <w:tcPr/>
          <w:p>
            <w:pPr>
              <w:pStyle w:val="Compact"/>
              <w:jc w:val="left"/>
            </w:pPr>
            <w:r>
              <w:rPr>
                <w:bCs/>
                <w:b/>
              </w:rPr>
              <w:t xml:space="preserve">W1</w:t>
            </w:r>
            <w:r>
              <w:t xml:space="preserve">：视频跟踪仪仍采用项目制模式，资源复用率低</w:t>
            </w:r>
            <w:r>
              <w:rPr>
                <w:bCs/>
                <w:b/>
              </w:rPr>
              <w:t xml:space="preserve">W2</w:t>
            </w:r>
            <w:r>
              <w:t xml:space="preserve">：项目交付周期长（3-12个月），回款周期长（270天）</w:t>
            </w:r>
            <w:r>
              <w:rPr>
                <w:bCs/>
                <w:b/>
              </w:rPr>
              <w:t xml:space="preserve">W3</w:t>
            </w:r>
            <w:r>
              <w:t xml:space="preserve">：项目制业务占用40%资源但仅贡献30%营收和20%利润</w:t>
            </w:r>
            <w:r>
              <w:rPr>
                <w:bCs/>
                <w:b/>
              </w:rPr>
              <w:t xml:space="preserve">W4</w:t>
            </w:r>
            <w:r>
              <w:t xml:space="preserve">：复合型人才稀缺，培养周期长</w:t>
            </w:r>
            <w:r>
              <w:rPr>
                <w:bCs/>
                <w:b/>
              </w:rPr>
              <w:t xml:space="preserve">W5</w:t>
            </w:r>
            <w:r>
              <w:t xml:space="preserve">：项目制导致现金流紧张，应收账款周转天数高</w:t>
            </w:r>
            <w:r>
              <w:rPr>
                <w:bCs/>
                <w:b/>
              </w:rPr>
              <w:t xml:space="preserve">W6</w:t>
            </w:r>
            <w:r>
              <w:t xml:space="preserve">：定制开发需求多，难以形成规模效应</w:t>
            </w:r>
            <w:r>
              <w:rPr>
                <w:bCs/>
                <w:b/>
              </w:rPr>
              <w:t xml:space="preserve">W7</w:t>
            </w:r>
            <w:r>
              <w:t xml:space="preserve">：管理体系需要提升，从创业团队向规模化企业转型</w:t>
            </w:r>
          </w:p>
        </w:tc>
      </w:tr>
      <w:tr>
        <w:tc>
          <w:tcPr/>
          <w:p>
            <w:pPr>
              <w:pStyle w:val="Compact"/>
              <w:jc w:val="left"/>
            </w:pPr>
            <w:r>
              <w:rPr>
                <w:bCs/>
                <w:b/>
              </w:rPr>
              <w:t xml:space="preserve">机遇（Opportunities）</w:t>
            </w:r>
          </w:p>
        </w:tc>
        <w:tc>
          <w:tcPr/>
          <w:p>
            <w:pPr>
              <w:pStyle w:val="Compact"/>
              <w:jc w:val="left"/>
            </w:pPr>
            <w:r>
              <w:rPr>
                <w:bCs/>
                <w:b/>
              </w:rPr>
              <w:t xml:space="preserve">SO战略（优势-机遇组合）</w:t>
            </w:r>
          </w:p>
        </w:tc>
        <w:tc>
          <w:tcPr/>
          <w:p>
            <w:pPr>
              <w:pStyle w:val="Compact"/>
              <w:jc w:val="left"/>
            </w:pPr>
            <w:r>
              <w:rPr>
                <w:bCs/>
                <w:b/>
              </w:rPr>
              <w:t xml:space="preserve">WO战略（劣势-机遇组合）</w:t>
            </w:r>
          </w:p>
        </w:tc>
      </w:tr>
      <w:tr>
        <w:tc>
          <w:tcPr/>
          <w:p>
            <w:pPr>
              <w:pStyle w:val="Compact"/>
              <w:jc w:val="left"/>
            </w:pPr>
            <w:r>
              <w:rPr>
                <w:bCs/>
                <w:b/>
              </w:rPr>
              <w:t xml:space="preserve">O1</w:t>
            </w:r>
            <w:r>
              <w:t xml:space="preserve">：政策支持（中国制造2025、十四五规划、国产替代）</w:t>
            </w:r>
            <w:r>
              <w:rPr>
                <w:bCs/>
                <w:b/>
              </w:rPr>
              <w:t xml:space="preserve">O2</w:t>
            </w:r>
            <w:r>
              <w:t xml:space="preserve">：市场增长（基础设施安全监测市场从850亿元增长到1500亿元）</w:t>
            </w:r>
            <w:r>
              <w:rPr>
                <w:bCs/>
                <w:b/>
              </w:rPr>
              <w:t xml:space="preserve">O3</w:t>
            </w:r>
            <w:r>
              <w:t xml:space="preserve">：技术融合（AI、物联网、边缘计算与DIC技术融合）</w:t>
            </w:r>
            <w:r>
              <w:rPr>
                <w:bCs/>
                <w:b/>
              </w:rPr>
              <w:t xml:space="preserve">O4</w:t>
            </w:r>
            <w:r>
              <w:t xml:space="preserve">：国产替代需求（中美科技竞争下的进口替代窗口期）</w:t>
            </w:r>
            <w:r>
              <w:rPr>
                <w:bCs/>
                <w:b/>
              </w:rPr>
              <w:t xml:space="preserve">O5</w:t>
            </w:r>
            <w:r>
              <w:t xml:space="preserve">：资本机遇（硬科技投资热度高，科创板上市通道）</w:t>
            </w:r>
            <w:r>
              <w:rPr>
                <w:bCs/>
                <w:b/>
              </w:rPr>
              <w:t xml:space="preserve">O6</w:t>
            </w:r>
            <w:r>
              <w:t xml:space="preserve">：视频监测技术市场份额快速增长（15%到35%）</w:t>
            </w:r>
            <w:r>
              <w:rPr>
                <w:bCs/>
                <w:b/>
              </w:rPr>
              <w:t xml:space="preserve">O7</w:t>
            </w:r>
            <w:r>
              <w:t xml:space="preserve">：智能制造转型带来的工业检测需求</w:t>
            </w:r>
          </w:p>
        </w:tc>
        <w:tc>
          <w:tcPr/>
          <w:p>
            <w:pPr>
              <w:pStyle w:val="Compact"/>
              <w:jc w:val="left"/>
            </w:pPr>
            <w:r>
              <w:rPr>
                <w:bCs/>
                <w:b/>
              </w:rPr>
              <w:t xml:space="preserve">SO1</w:t>
            </w:r>
            <w:r>
              <w:t xml:space="preserve">：利用技术优势（S1,S3）抓住国产替代机遇（O1,O4），加速标准化产品市场渗透</w:t>
            </w:r>
            <w:r>
              <w:rPr>
                <w:bCs/>
                <w:b/>
              </w:rPr>
              <w:t xml:space="preserve">SO2</w:t>
            </w:r>
            <w:r>
              <w:t xml:space="preserve">：依托客户基础（S6）和市场增长（O2,O6），扩大标准化产品市场份额</w:t>
            </w:r>
            <w:r>
              <w:rPr>
                <w:bCs/>
                <w:b/>
              </w:rPr>
              <w:t xml:space="preserve">SO3</w:t>
            </w:r>
            <w:r>
              <w:t xml:space="preserve">：结合技术融合机遇（O3）强化产品差异化（S4），开发智能化平台产品</w:t>
            </w:r>
            <w:r>
              <w:rPr>
                <w:bCs/>
                <w:b/>
              </w:rPr>
              <w:t xml:space="preserve">SO4</w:t>
            </w:r>
            <w:r>
              <w:t xml:space="preserve">：利用资本机遇（O5）支撑技术研发（S3），巩固技术领先地位</w:t>
            </w:r>
          </w:p>
        </w:tc>
        <w:tc>
          <w:tcPr/>
          <w:p>
            <w:pPr>
              <w:pStyle w:val="Compact"/>
              <w:jc w:val="left"/>
            </w:pPr>
            <w:r>
              <w:rPr>
                <w:bCs/>
                <w:b/>
              </w:rPr>
              <w:t xml:space="preserve">WO1</w:t>
            </w:r>
            <w:r>
              <w:t xml:space="preserve">：借助政策支持（O1）和市场增长（O2），推动视频跟踪仪从项目制向产品化转型（W1,W2）</w:t>
            </w:r>
            <w:r>
              <w:rPr>
                <w:bCs/>
                <w:b/>
              </w:rPr>
              <w:t xml:space="preserve">WO2</w:t>
            </w:r>
            <w:r>
              <w:t xml:space="preserve">：利用技术融合机遇（O3）优化生产模式（W6），提升资源复用率和规模效应</w:t>
            </w:r>
            <w:r>
              <w:rPr>
                <w:bCs/>
                <w:b/>
              </w:rPr>
              <w:t xml:space="preserve">WO3</w:t>
            </w:r>
            <w:r>
              <w:t xml:space="preserve">：把握资本机遇（O5）改善现金流（W5），支撑业务模式转型</w:t>
            </w:r>
            <w:r>
              <w:rPr>
                <w:bCs/>
                <w:b/>
              </w:rPr>
              <w:t xml:space="preserve">WO4</w:t>
            </w:r>
            <w:r>
              <w:t xml:space="preserve">：通过产学研合作（O7）弥补人才短板（W4），培养复合型人才</w:t>
            </w:r>
          </w:p>
        </w:tc>
      </w:tr>
      <w:tr>
        <w:tc>
          <w:tcPr/>
          <w:p>
            <w:pPr>
              <w:pStyle w:val="Compact"/>
              <w:jc w:val="left"/>
            </w:pPr>
            <w:r>
              <w:rPr>
                <w:bCs/>
                <w:b/>
              </w:rPr>
              <w:t xml:space="preserve">威胁（Threats）</w:t>
            </w:r>
          </w:p>
        </w:tc>
        <w:tc>
          <w:tcPr/>
          <w:p>
            <w:pPr>
              <w:pStyle w:val="Compact"/>
              <w:jc w:val="left"/>
            </w:pPr>
            <w:r>
              <w:rPr>
                <w:bCs/>
                <w:b/>
              </w:rPr>
              <w:t xml:space="preserve">ST战略（优势-威胁组合）</w:t>
            </w:r>
          </w:p>
        </w:tc>
        <w:tc>
          <w:tcPr/>
          <w:p>
            <w:pPr>
              <w:pStyle w:val="Compact"/>
              <w:jc w:val="left"/>
            </w:pPr>
            <w:r>
              <w:rPr>
                <w:bCs/>
                <w:b/>
              </w:rPr>
              <w:t xml:space="preserve">WT战略（劣势-威胁组合）</w:t>
            </w:r>
          </w:p>
        </w:tc>
      </w:tr>
      <w:tr>
        <w:tc>
          <w:tcPr/>
          <w:p>
            <w:pPr>
              <w:pStyle w:val="Compact"/>
              <w:jc w:val="left"/>
            </w:pPr>
            <w:r>
              <w:rPr>
                <w:bCs/>
                <w:b/>
              </w:rPr>
              <w:t xml:space="preserve">T1</w:t>
            </w:r>
            <w:r>
              <w:t xml:space="preserve">：国际巨头加大中国市场投入，竞争加剧</w:t>
            </w:r>
            <w:r>
              <w:rPr>
                <w:bCs/>
                <w:b/>
              </w:rPr>
              <w:t xml:space="preserve">T2</w:t>
            </w:r>
            <w:r>
              <w:t xml:space="preserve">：国内新进入者增多，价格竞争</w:t>
            </w:r>
            <w:r>
              <w:rPr>
                <w:bCs/>
                <w:b/>
              </w:rPr>
              <w:t xml:space="preserve">T3</w:t>
            </w:r>
            <w:r>
              <w:t xml:space="preserve">：技术迭代快，需要持续高研发投入</w:t>
            </w:r>
            <w:r>
              <w:rPr>
                <w:bCs/>
                <w:b/>
              </w:rPr>
              <w:t xml:space="preserve">T4</w:t>
            </w:r>
            <w:r>
              <w:t xml:space="preserve">：项目制业务面临国际巨头直接竞争</w:t>
            </w:r>
            <w:r>
              <w:rPr>
                <w:bCs/>
                <w:b/>
              </w:rPr>
              <w:t xml:space="preserve">T5</w:t>
            </w:r>
            <w:r>
              <w:t xml:space="preserve">：宏观经济波动可能影响政府项目投资</w:t>
            </w:r>
            <w:r>
              <w:rPr>
                <w:bCs/>
                <w:b/>
              </w:rPr>
              <w:t xml:space="preserve">T6</w:t>
            </w:r>
            <w:r>
              <w:t xml:space="preserve">：供应链风险，特别是核心芯片供应</w:t>
            </w:r>
            <w:r>
              <w:rPr>
                <w:bCs/>
                <w:b/>
              </w:rPr>
              <w:t xml:space="preserve">T7</w:t>
            </w:r>
            <w:r>
              <w:t xml:space="preserve">：人才竞争激烈，复合型人才稀缺</w:t>
            </w:r>
          </w:p>
        </w:tc>
        <w:tc>
          <w:tcPr/>
          <w:p>
            <w:pPr>
              <w:pStyle w:val="Compact"/>
              <w:jc w:val="left"/>
            </w:pPr>
            <w:r>
              <w:rPr>
                <w:bCs/>
                <w:b/>
              </w:rPr>
              <w:t xml:space="preserve">ST1</w:t>
            </w:r>
            <w:r>
              <w:t xml:space="preserve">：发挥技术专利优势（S2）应对国际竞争（T1,T4），构建知识产权护城河</w:t>
            </w:r>
            <w:r>
              <w:rPr>
                <w:bCs/>
                <w:b/>
              </w:rPr>
              <w:t xml:space="preserve">ST2</w:t>
            </w:r>
            <w:r>
              <w:t xml:space="preserve">：利用标准化产品成本优势（S5）应对价格竞争（T2），保持市场竞争力</w:t>
            </w:r>
            <w:r>
              <w:rPr>
                <w:bCs/>
                <w:b/>
              </w:rPr>
              <w:t xml:space="preserve">ST3</w:t>
            </w:r>
            <w:r>
              <w:t xml:space="preserve">：依托研发能力（S3）应对技术迭代（T3），持续保持技术领先</w:t>
            </w:r>
            <w:r>
              <w:rPr>
                <w:bCs/>
                <w:b/>
              </w:rPr>
              <w:t xml:space="preserve">ST4</w:t>
            </w:r>
            <w:r>
              <w:t xml:space="preserve">：通过客户合作关系（S6,S7）降低供应链风险（T6），建立稳定供应体系</w:t>
            </w:r>
          </w:p>
        </w:tc>
        <w:tc>
          <w:tcPr/>
          <w:p>
            <w:pPr>
              <w:pStyle w:val="Compact"/>
              <w:jc w:val="left"/>
            </w:pPr>
            <w:r>
              <w:rPr>
                <w:bCs/>
                <w:b/>
              </w:rPr>
              <w:t xml:space="preserve">WT1</w:t>
            </w:r>
            <w:r>
              <w:t xml:space="preserve">：针对项目制劣势（W1,W2）和国际竞争威胁（T1,T4），加速产品化转型，避开直接竞争</w:t>
            </w:r>
            <w:r>
              <w:rPr>
                <w:bCs/>
                <w:b/>
              </w:rPr>
              <w:t xml:space="preserve">WT2</w:t>
            </w:r>
            <w:r>
              <w:t xml:space="preserve">：优化管理体系（W7）应对人才竞争（T7），建立人才保留和发展机制</w:t>
            </w:r>
            <w:r>
              <w:rPr>
                <w:bCs/>
                <w:b/>
              </w:rPr>
              <w:t xml:space="preserve">WT3</w:t>
            </w:r>
            <w:r>
              <w:t xml:space="preserve">：改善现金流（W5）防范宏观经济波动（T5），增强抗风险能力</w:t>
            </w:r>
            <w:r>
              <w:rPr>
                <w:bCs/>
                <w:b/>
              </w:rPr>
              <w:t xml:space="preserve">WT4</w:t>
            </w:r>
            <w:r>
              <w:t xml:space="preserve">：提升资源效率（W3,W6）应对竞争压力（T2），聚焦高价值业务领域</w:t>
            </w:r>
          </w:p>
        </w:tc>
      </w:tr>
    </w:tbl>
    <w:bookmarkEnd w:id="66"/>
    <w:bookmarkStart w:id="67" w:name="swot战略组合推导与转型方向"/>
    <w:p>
      <w:pPr>
        <w:pStyle w:val="4"/>
      </w:pPr>
      <w:r>
        <w:t xml:space="preserve">4.4.2 SWOT战略组合推导与转型方向</w:t>
      </w:r>
    </w:p>
    <w:p>
      <w:pPr>
        <w:pStyle w:val="FirstParagraph"/>
      </w:pPr>
      <w:r>
        <w:t xml:space="preserve">基于SWOT矩阵匹配，形成以下四类战略组合，为HSM战略转型提供清晰方向：</w:t>
      </w:r>
    </w:p>
    <w:p>
      <w:pPr>
        <w:pStyle w:val="BodyText"/>
      </w:pPr>
      <w:r>
        <w:rPr>
          <w:bCs/>
          <w:b/>
        </w:rPr>
        <w:t xml:space="preserve">1. SO战略（增长型战略）</w:t>
      </w:r>
      <w:r>
        <w:t xml:space="preserve">：利用内部优势抓住外部机遇。核心是</w:t>
      </w:r>
      <w:r>
        <w:rPr>
          <w:bCs/>
          <w:b/>
        </w:rPr>
        <w:t xml:space="preserve">加速标准化产品扩张</w:t>
      </w:r>
      <w:r>
        <w:t xml:space="preserve">，具体包括：（1）依托单目三维DIC技术优势和国产替代政策机遇，快速占领科研和工业市场；（2）利用市场增长机遇和客户基础，扩大视频引伸计、视频应变仪的市场份额；（3）结合AI、物联网技术融合趋势，开发智能化平台产品，创造新的增长点。</w:t>
      </w:r>
    </w:p>
    <w:p>
      <w:pPr>
        <w:pStyle w:val="BodyText"/>
      </w:pPr>
      <w:r>
        <w:rPr>
          <w:bCs/>
          <w:b/>
        </w:rPr>
        <w:t xml:space="preserve">2. WO战略（扭转型战略）</w:t>
      </w:r>
      <w:r>
        <w:t xml:space="preserve">：利用外部机遇克服内部劣势。核心是</w:t>
      </w:r>
      <w:r>
        <w:rPr>
          <w:bCs/>
          <w:b/>
        </w:rPr>
        <w:t xml:space="preserve">推动项目制业务转型</w:t>
      </w:r>
      <w:r>
        <w:t xml:space="preserve">，具体包括：（1）借助政策支持和市场增长，将视频跟踪仪从项目制向标准化、模块化产品转型；（2）利用资本机遇改善现金流，支撑业务模式转型；（3）通过产学研合作弥补人才短板，建立复合型人才培养体系。</w:t>
      </w:r>
    </w:p>
    <w:p>
      <w:pPr>
        <w:pStyle w:val="BodyText"/>
      </w:pPr>
      <w:r>
        <w:rPr>
          <w:bCs/>
          <w:b/>
        </w:rPr>
        <w:t xml:space="preserve">3. ST战略（多元化战略）</w:t>
      </w:r>
      <w:r>
        <w:t xml:space="preserve">：利用内部优势规避外部威胁。核心是</w:t>
      </w:r>
      <w:r>
        <w:rPr>
          <w:bCs/>
          <w:b/>
        </w:rPr>
        <w:t xml:space="preserve">构建可持续竞争优势</w:t>
      </w:r>
      <w:r>
        <w:t xml:space="preserve">，具体包括：（1）发挥专利布局优势，应对国际巨头竞争，构建知识产权护城河；（2）利用标准化产品成本优势，应对价格竞争，保持市场竞争力；（3）依托研发能力持续创新，应对快速技术迭代。</w:t>
      </w:r>
    </w:p>
    <w:p>
      <w:pPr>
        <w:pStyle w:val="BodyText"/>
      </w:pPr>
      <w:r>
        <w:rPr>
          <w:bCs/>
          <w:b/>
        </w:rPr>
        <w:t xml:space="preserve">4. WT战略（防御型战略）</w:t>
      </w:r>
      <w:r>
        <w:t xml:space="preserve">：减少内部劣势，规避外部威胁。核心是</w:t>
      </w:r>
      <w:r>
        <w:rPr>
          <w:bCs/>
          <w:b/>
        </w:rPr>
        <w:t xml:space="preserve">优化资源配置与风险管理</w:t>
      </w:r>
      <w:r>
        <w:t xml:space="preserve">，具体包括：（1）针对项目制业务劣势和国际竞争威胁，加速转型，聚焦高价值领域；（2）优化管理体系，应对人才竞争，建立人才保留机制；（3）改善现金流管理，防范宏观经济波动风险。</w:t>
      </w:r>
    </w:p>
    <w:bookmarkEnd w:id="67"/>
    <w:bookmarkStart w:id="68" w:name="战略优先级与转型聚焦"/>
    <w:p>
      <w:pPr>
        <w:pStyle w:val="4"/>
      </w:pPr>
      <w:r>
        <w:t xml:space="preserve">4.4.3 战略优先级与转型聚焦</w:t>
      </w:r>
    </w:p>
    <w:p>
      <w:pPr>
        <w:pStyle w:val="FirstParagraph"/>
      </w:pPr>
      <w:r>
        <w:t xml:space="preserve">综合SWOT分析，HSM战略转型应聚焦以下优先级：</w:t>
      </w:r>
    </w:p>
    <w:p>
      <w:pPr>
        <w:numPr>
          <w:ilvl w:val="0"/>
          <w:numId w:val="1001"/>
        </w:numPr>
      </w:pPr>
      <w:r>
        <w:rPr>
          <w:bCs/>
          <w:b/>
        </w:rPr>
        <w:t xml:space="preserve">首要任务（高优先级）</w:t>
      </w:r>
      <w:r>
        <w:t xml:space="preserve">：实施WO战略，推动视频跟踪仪从项目制向产品化转型。这是解决公司最核心瓶颈（项目制困境）的关键，直接关系到现金流改善、资源效率提升和可持续发展。</w:t>
      </w:r>
    </w:p>
    <w:p>
      <w:pPr>
        <w:numPr>
          <w:ilvl w:val="0"/>
          <w:numId w:val="1001"/>
        </w:numPr>
      </w:pPr>
      <w:r>
        <w:rPr>
          <w:bCs/>
          <w:b/>
        </w:rPr>
        <w:t xml:space="preserve">核心增长（中高优先级）</w:t>
      </w:r>
      <w:r>
        <w:t xml:space="preserve">：实施SO战略，加速标准化产品市场扩张。利用当前技术优势和市场机遇，快速做大现金牛和明星产品，为公司转型提供资金支持和增长动力。</w:t>
      </w:r>
    </w:p>
    <w:p>
      <w:pPr>
        <w:numPr>
          <w:ilvl w:val="0"/>
          <w:numId w:val="1001"/>
        </w:numPr>
      </w:pPr>
      <w:r>
        <w:rPr>
          <w:bCs/>
          <w:b/>
        </w:rPr>
        <w:t xml:space="preserve">能力建设（中长期）</w:t>
      </w:r>
      <w:r>
        <w:t xml:space="preserve">：实施ST战略，构建可持续竞争优势。通过持续研发投入、专利布局和成本优化，建立长期竞争壁垒。</w:t>
      </w:r>
    </w:p>
    <w:p>
      <w:pPr>
        <w:numPr>
          <w:ilvl w:val="0"/>
          <w:numId w:val="1001"/>
        </w:numPr>
      </w:pPr>
      <w:r>
        <w:rPr>
          <w:bCs/>
          <w:b/>
        </w:rPr>
        <w:t xml:space="preserve">风险防控（持续进行）</w:t>
      </w:r>
      <w:r>
        <w:t xml:space="preserve">：实施WT战略，优化资源配置和风险管理。完善现金流管理、人才培养和供应链体系，增强公司抗风险能力。</w:t>
      </w:r>
    </w:p>
    <w:p>
      <w:pPr>
        <w:pStyle w:val="FirstParagraph"/>
      </w:pPr>
      <w:r>
        <w:t xml:space="preserve">这一SWOT分析为第五章战略转型实施路径提供了系统的逻辑基础：技术战略（5.1节）对应SO战略中的技术优势发挥；市场战略（5.2节）对应SO战略中的市场扩张；组织转型（5.3节）对应WO战略中的人才和组织优化；数字化转型（5.4节）对应ST战略中的能力建设；生态合作（5.5节）对应WO战略中的产学研合作。通过SWOT矩阵的系统匹配，确保战略转型实施路径与公司内外部条件高度契合，提升转型的成功概率。</w:t>
      </w:r>
    </w:p>
    <w:p>
      <w:pPr>
        <w:pStyle w:val="BodyText"/>
      </w:pPr>
      <w:r>
        <w:t xml:space="preserve">本章小结：通过对HSM公司的系统性分析，本章揭示了硬科技企业在战略转型过程中面临的双重驱动机制。一方面，公司凭借其在单目三维DIC技术上的核心专利、完善的研发体系和多样化的产品组合，形成了坚实的技术资源基础；另一方面，视频跟踪仪项目制模式所引发的回款周期延长、资源复用率低下等问题，构成了推动转型的内在压力。分析进一步表明，HSM的转型动因不仅源于内部运营效率的优化需求，更反映了视觉力学传感器行业从定制化解决方案向标准化产品演进的技术趋势。这种内外部因素的复杂互动，为理解硬科技企业转型的独特逻辑提供了重要视角，也为后续章节探讨具体实施路径确立了关键的问题导向和分析框架。</w:t>
      </w:r>
    </w:p>
    <w:bookmarkEnd w:id="68"/>
    <w:bookmarkEnd w:id="69"/>
    <w:bookmarkEnd w:id="70"/>
    <w:bookmarkStart w:id="98" w:name="第五章-hsm转型的实施路径"/>
    <w:p>
      <w:pPr>
        <w:pStyle w:val="2"/>
      </w:pPr>
      <w:r>
        <w:t xml:space="preserve">第五章 HSM转型的实施路径</w:t>
      </w:r>
    </w:p>
    <w:p>
      <w:pPr>
        <w:pStyle w:val="FirstParagraph"/>
      </w:pPr>
      <w:r>
        <w:t xml:space="preserve">基于前文对HSM战略转型动因的深入分析，本章将系统阐述HSM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74" w:name="产品线差异化研发与创新"/>
    <w:p>
      <w:pPr>
        <w:pStyle w:val="3"/>
      </w:pPr>
      <w:r>
        <w:t xml:space="preserve">5.1产品线差异化研发与创新</w:t>
      </w:r>
    </w:p>
    <w:p>
      <w:pPr>
        <w:pStyle w:val="FirstParagraph"/>
      </w:pPr>
      <w:r>
        <w:t xml:space="preserve">HSM的技术战略聚焦于三条产品线的差异化研发需求，通过资源优化配置实现技术创新的最大化价值转化。</w:t>
      </w:r>
    </w:p>
    <w:bookmarkStart w:id="71" w:name="产品标准化生产与技术迭代"/>
    <w:p>
      <w:pPr>
        <w:pStyle w:val="4"/>
      </w:pPr>
      <w:r>
        <w:t xml:space="preserve">5.1.1产品标准化生产与技术迭代</w:t>
      </w:r>
    </w:p>
    <w:p>
      <w:pPr>
        <w:pStyle w:val="FirstParagraph"/>
      </w:pPr>
      <w:r>
        <w:t xml:space="preserve">视频引伸计和视频应变仪作为HSM的成熟产品线，已实现高度标准化生产。技术战略的重点从原始创新转向持续优化：</w:t>
      </w:r>
    </w:p>
    <w:p>
      <w:pPr>
        <w:pStyle w:val="BodyText"/>
      </w:pPr>
      <w:r>
        <w:t xml:space="preserve">算法精度提升：基于海量实验数据持续优化DIC算法，目标将测量精度从当前的0.01%提升至0.005%</w:t>
      </w:r>
    </w:p>
    <w:p>
      <w:pPr>
        <w:pStyle w:val="BodyText"/>
      </w:pPr>
      <w:r>
        <w:t xml:space="preserve">硬件标准化设计：推动第四代硬件平台标准化，将核心组件从120个减少至80个，降低供应链复杂度</w:t>
      </w:r>
    </w:p>
    <w:p>
      <w:pPr>
        <w:pStyle w:val="BodyText"/>
      </w:pPr>
      <w:r>
        <w:t xml:space="preserve">智能化升级：集成AI辅助分析功能，实现异常数据自动识别与预警</w:t>
      </w:r>
    </w:p>
    <w:p>
      <w:pPr>
        <w:pStyle w:val="BodyText"/>
      </w:pPr>
      <w:r>
        <w:t xml:space="preserve">表5.1：视频引伸计与视频应变仪技术迭代路线图</w:t>
      </w:r>
    </w:p>
    <w:tbl>
      <w:tblPr>
        <w:tblStyle w:val="Table"/>
        <w:tblW w:type="pct" w:w="4872"/>
        <w:tblLook w:firstRow="1" w:lastRow="0" w:firstColumn="0" w:lastColumn="0" w:noHBand="0" w:noVBand="0" w:val="0020"/>
      </w:tblPr>
      <w:tblGrid>
        <w:gridCol w:w="1320"/>
        <w:gridCol w:w="1218"/>
        <w:gridCol w:w="1320"/>
        <w:gridCol w:w="1320"/>
        <w:gridCol w:w="2538"/>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1"/>
    <w:bookmarkStart w:id="72" w:name="垂直领域技术聚焦与新产品研发"/>
    <w:p>
      <w:pPr>
        <w:pStyle w:val="4"/>
      </w:pPr>
      <w:r>
        <w:t xml:space="preserve">5.1.2垂直领域技术聚焦与新产品研发</w:t>
      </w:r>
    </w:p>
    <w:p>
      <w:pPr>
        <w:pStyle w:val="FirstParagraph"/>
      </w:pPr>
      <w:r>
        <w:t xml:space="preserve">视频跟踪仪的技术战略从广泛定制转向垂直领域深度聚焦：</w:t>
      </w:r>
    </w:p>
    <w:p>
      <w:pPr>
        <w:pStyle w:val="BodyText"/>
      </w:pPr>
      <w:r>
        <w:t xml:space="preserve">桥梁监测专项技术：开发大跨径桥梁动态变形监测算法，适应风荷载、温度变化等复杂环境</w:t>
      </w:r>
    </w:p>
    <w:p>
      <w:pPr>
        <w:pStyle w:val="BodyText"/>
      </w:pPr>
      <w:r>
        <w:t xml:space="preserve">隧道收敛监测技术：针对隧道施工与运营期收敛变形监测需求，开发多相机同步测量系统</w:t>
      </w:r>
    </w:p>
    <w:p>
      <w:pPr>
        <w:pStyle w:val="BodyText"/>
      </w:pPr>
      <w:r>
        <w:t xml:space="preserve">边坡稳定性监测：结合地质雷达数据，开发边坡表面位移与内部变形关联分析模型</w:t>
      </w:r>
    </w:p>
    <w:p>
      <w:pPr>
        <w:pStyle w:val="BodyText"/>
      </w:pPr>
      <w:r>
        <w:t xml:space="preserve">新产品研发：启动柔性跟踪仪和并联跟踪仪的研发，前者适用于柔性结构监测，后者实现多点同步测量</w:t>
      </w:r>
    </w:p>
    <w:bookmarkEnd w:id="72"/>
    <w:bookmarkStart w:id="73" w:name="下一代产品布局"/>
    <w:p>
      <w:pPr>
        <w:pStyle w:val="4"/>
      </w:pPr>
      <w:r>
        <w:t xml:space="preserve">5.1.3下一代产品布局</w:t>
      </w:r>
    </w:p>
    <w:p>
      <w:pPr>
        <w:pStyle w:val="FirstParagraph"/>
      </w:pPr>
      <w:r>
        <w:t xml:space="preserve">为保持技术领先优势，HSM启动下一代产品研发：</w:t>
      </w:r>
    </w:p>
    <w:p>
      <w:pPr>
        <w:pStyle w:val="BodyText"/>
      </w:pPr>
      <w:r>
        <w:t xml:space="preserve">柔性跟踪仪：采用柔性传感器阵列，适用于复合材料、生物组织等柔性结构的全场应变测量</w:t>
      </w:r>
    </w:p>
    <w:p>
      <w:pPr>
        <w:pStyle w:val="BodyText"/>
      </w:pPr>
      <w:r>
        <w:t xml:space="preserve">并联跟踪仪：通过多相机并联架构，实现大型结构的多区域同步监测，测量范围扩大至传统产品的3-5倍</w:t>
      </w:r>
    </w:p>
    <w:bookmarkEnd w:id="73"/>
    <w:bookmarkEnd w:id="74"/>
    <w:bookmarkStart w:id="78" w:name="市场销售模式重构与市场聚焦"/>
    <w:p>
      <w:pPr>
        <w:pStyle w:val="3"/>
      </w:pPr>
      <w:r>
        <w:t xml:space="preserve">5.2 市场销售模式重构与市场聚焦</w:t>
      </w:r>
    </w:p>
    <w:p>
      <w:pPr>
        <w:pStyle w:val="FirstParagraph"/>
      </w:pPr>
      <w:r>
        <w:t xml:space="preserve">HSM的市场战略以产品线特性为基础，构建差异化的销售模式和市场拓展路径。</w:t>
      </w:r>
    </w:p>
    <w:bookmarkStart w:id="75" w:name="捆绑销售模式与渠道合作"/>
    <w:p>
      <w:pPr>
        <w:pStyle w:val="4"/>
      </w:pPr>
      <w:r>
        <w:t xml:space="preserve">5.2.1捆绑销售模式与渠道合作</w:t>
      </w:r>
    </w:p>
    <w:p>
      <w:pPr>
        <w:pStyle w:val="FirstParagraph"/>
      </w:pPr>
      <w:r>
        <w:t xml:space="preserve">针对视频引伸计和视频应变仪的高标准化特性，HSM推行捆绑销售模式：</w:t>
      </w:r>
    </w:p>
    <w:p>
      <w:pPr>
        <w:pStyle w:val="BodyText"/>
      </w:pPr>
      <w:r>
        <w:t xml:space="preserve">与试验机厂家战略合作：将HSM产品作为试验机标准配置，通过厂家渠道触达终端客户</w:t>
      </w:r>
    </w:p>
    <w:p>
      <w:pPr>
        <w:pStyle w:val="BodyText"/>
      </w:pPr>
      <w:r>
        <w:t xml:space="preserve">渠道利润共享：建立阶梯式返点机制，激励合作伙伴推广HSM产品</w:t>
      </w:r>
    </w:p>
    <w:p>
      <w:pPr>
        <w:pStyle w:val="BodyText"/>
      </w:pPr>
      <w:r>
        <w:t xml:space="preserve">联合品牌推广：与合作伙伴联合举办技术研讨会、行业展会，共同提升品牌影响力</w:t>
      </w:r>
    </w:p>
    <w:p>
      <w:pPr>
        <w:pStyle w:val="BodyText"/>
      </w:pPr>
      <w:r>
        <w:t xml:space="preserve">表5.2：视频引伸计/应变仪捆绑销售合作厂家列表</w:t>
      </w:r>
    </w:p>
    <w:tbl>
      <w:tblPr>
        <w:tblStyle w:val="Table"/>
        <w:tblW w:type="pct" w:w="4907"/>
        <w:tblLook w:firstRow="0" w:lastRow="0" w:firstColumn="0" w:lastColumn="0" w:noHBand="0" w:noVBand="0" w:val="0000"/>
      </w:tblPr>
      <w:tblGrid>
        <w:gridCol w:w="1628"/>
        <w:gridCol w:w="814"/>
        <w:gridCol w:w="1110"/>
        <w:gridCol w:w="962"/>
        <w:gridCol w:w="1110"/>
        <w:gridCol w:w="2146"/>
      </w:tblGrid>
      <w:t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5"/>
    <w:bookmarkStart w:id="76" w:name="垂直行业聚焦与地区合作伙伴体系"/>
    <w:p>
      <w:pPr>
        <w:pStyle w:val="4"/>
      </w:pPr>
      <w:r>
        <w:t xml:space="preserve">5.2.2垂直行业聚焦与地区合作伙伴体系</w:t>
      </w:r>
    </w:p>
    <w:p>
      <w:pPr>
        <w:pStyle w:val="FirstParagraph"/>
      </w:pPr>
      <w:r>
        <w:t xml:space="preserve">视频跟踪仪的市场战略从全面铺开转向垂直深耕：</w:t>
      </w:r>
    </w:p>
    <w:p>
      <w:pPr>
        <w:pStyle w:val="BodyText"/>
      </w:pPr>
      <w:r>
        <w:t xml:space="preserve">聚焦三大垂直领域：桥梁、隧道、边坡监测，每个领域建立专业解决方案团队</w:t>
      </w:r>
    </w:p>
    <w:p>
      <w:pPr>
        <w:pStyle w:val="BodyText"/>
      </w:pPr>
      <w:r>
        <w:t xml:space="preserve">地区合作伙伴发展：每个重点区域发展2-3家类似”亿维”的整包项目合作伙伴</w:t>
      </w:r>
    </w:p>
    <w:p>
      <w:pPr>
        <w:pStyle w:val="BodyText"/>
      </w:pPr>
      <w:r>
        <w:t xml:space="preserve">快速回款机制：优化合同条款，将回款周期从270天缩短至120天以内</w:t>
      </w:r>
    </w:p>
    <w:p>
      <w:pPr>
        <w:pStyle w:val="BodyText"/>
      </w:pPr>
      <w:r>
        <w:t xml:space="preserve">表5.3：视频跟踪仪垂直领域市场聚焦策略</w:t>
      </w:r>
    </w:p>
    <w:tbl>
      <w:tblPr>
        <w:tblStyle w:val="Table"/>
        <w:tblW w:type="pct" w:w="4907"/>
        <w:tblLook w:firstRow="1" w:lastRow="0" w:firstColumn="0" w:lastColumn="0" w:noHBand="0" w:noVBand="0" w:val="0020"/>
      </w:tblPr>
      <w:tblGrid>
        <w:gridCol w:w="814"/>
        <w:gridCol w:w="1554"/>
        <w:gridCol w:w="1702"/>
        <w:gridCol w:w="1628"/>
        <w:gridCol w:w="962"/>
        <w:gridCol w:w="111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75个项目</w:t>
            </w:r>
          </w:p>
        </w:tc>
        <w:tc>
          <w:tcPr/>
          <w:p>
            <w:pPr>
              <w:pStyle w:val="Compact"/>
              <w:jc w:val="left"/>
            </w:pPr>
            <w:r>
              <w:t xml:space="preserve">集中优势资源</w:t>
            </w:r>
          </w:p>
        </w:tc>
      </w:tr>
    </w:tbl>
    <w:bookmarkEnd w:id="76"/>
    <w:bookmarkStart w:id="77"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w:t>
      </w:r>
    </w:p>
    <w:p>
      <w:pPr>
        <w:pStyle w:val="BodyText"/>
      </w:pPr>
      <w:r>
        <w:t xml:space="preserve">合同条款优化：增加预付款比例（从10%提升至30%），缩短中期付款节点</w:t>
      </w:r>
    </w:p>
    <w:p>
      <w:pPr>
        <w:pStyle w:val="BodyText"/>
      </w:pPr>
      <w:r>
        <w:t xml:space="preserve">客户信用管理：建立客户信用评级体系，对不同信用等级客户采取差异化的付款条件</w:t>
      </w:r>
    </w:p>
    <w:p>
      <w:pPr>
        <w:pStyle w:val="BodyText"/>
      </w:pPr>
      <w:r>
        <w:t xml:space="preserve">应收账款证券化：与金融机构合作，对优质项目的应收账款进行保理融资</w:t>
      </w:r>
    </w:p>
    <w:p>
      <w:pPr>
        <w:pStyle w:val="BodyText"/>
      </w:pPr>
      <w:r>
        <w:t xml:space="preserve">表5.4：回款机制优化前后对比</w:t>
      </w:r>
    </w:p>
    <w:tbl>
      <w:tblPr>
        <w:tblStyle w:val="Table"/>
        <w:tblW w:type="pct" w:w="4892"/>
        <w:tblLook w:firstRow="1" w:lastRow="0" w:firstColumn="0" w:lastColumn="0" w:noHBand="0" w:noVBand="0" w:val="0020"/>
      </w:tblPr>
      <w:tblGrid>
        <w:gridCol w:w="1447"/>
        <w:gridCol w:w="1618"/>
        <w:gridCol w:w="1788"/>
        <w:gridCol w:w="936"/>
        <w:gridCol w:w="1958"/>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77"/>
    <w:bookmarkEnd w:id="78"/>
    <w:bookmarkStart w:id="82" w:name="资源重新配置与团队转型"/>
    <w:p>
      <w:pPr>
        <w:pStyle w:val="3"/>
      </w:pPr>
      <w:r>
        <w:t xml:space="preserve">5.3资源重新配置与团队转型</w:t>
      </w:r>
    </w:p>
    <w:p>
      <w:pPr>
        <w:pStyle w:val="FirstParagraph"/>
      </w:pPr>
      <w:r>
        <w:t xml:space="preserve">为支撑产品线差异化战略，HSM对组织架构进行系统性重组。</w:t>
      </w:r>
    </w:p>
    <w:bookmarkStart w:id="79" w:name="研发资源向标准化产品倾斜"/>
    <w:p>
      <w:pPr>
        <w:pStyle w:val="4"/>
      </w:pPr>
      <w:r>
        <w:t xml:space="preserve">5.3.1 研发资源向标准化产品倾斜</w:t>
      </w:r>
    </w:p>
    <w:p>
      <w:pPr>
        <w:pStyle w:val="FirstParagraph"/>
      </w:pPr>
      <w:r>
        <w:t xml:space="preserve">基于”减少售前，增大研发”的原则，重新配置研发资源：</w:t>
      </w:r>
    </w:p>
    <w:p>
      <w:pPr>
        <w:pStyle w:val="BodyText"/>
      </w:pPr>
      <w:r>
        <w:t xml:space="preserve">研发人员重新分配：将视频跟踪仪定制开发团队50%的人员转向标准化产品研发</w:t>
      </w:r>
    </w:p>
    <w:p>
      <w:pPr>
        <w:pStyle w:val="BodyText"/>
      </w:pPr>
      <w:r>
        <w:t xml:space="preserve">建立产品线研发中心：分别为三条产品线设立独立的研发团队，专注各自领域技术突破</w:t>
      </w:r>
    </w:p>
    <w:p>
      <w:pPr>
        <w:pStyle w:val="BodyText"/>
      </w:pPr>
      <w:r>
        <w:t xml:space="preserve">创新激励机制：设立产品创新奖，鼓励研发人员申报专利、发表论文</w:t>
      </w:r>
    </w:p>
    <w:p>
      <w:pPr>
        <w:pStyle w:val="BodyText"/>
      </w:pPr>
      <w:r>
        <w:t xml:space="preserve">表5.5：研发资源重新配置方案</w:t>
      </w:r>
    </w:p>
    <w:tbl>
      <w:tblPr>
        <w:tblStyle w:val="Table"/>
        <w:tblW w:type="pct" w:w="4904"/>
        <w:tblLook w:firstRow="0" w:lastRow="0" w:firstColumn="0" w:lastColumn="0" w:noHBand="0" w:noVBand="0" w:val="0000"/>
      </w:tblPr>
      <w:tblGrid>
        <w:gridCol w:w="1142"/>
        <w:gridCol w:w="2284"/>
        <w:gridCol w:w="1751"/>
        <w:gridCol w:w="1599"/>
        <w:gridCol w:w="990"/>
      </w:tblGrid>
      <w:t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79"/>
    <w:bookmarkStart w:id="80"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w:t>
      </w:r>
    </w:p>
    <w:p>
      <w:pPr>
        <w:pStyle w:val="BodyText"/>
      </w:pPr>
      <w:r>
        <w:t xml:space="preserve">售前团队精简：将售前工程师从项目方案设计中解放，专注于标准化产品技术支持</w:t>
      </w:r>
    </w:p>
    <w:p>
      <w:pPr>
        <w:pStyle w:val="BodyText"/>
      </w:pPr>
      <w:r>
        <w:t xml:space="preserve">售中实施支持：建立快速响应机制，确保产品交付与客户预期一致</w:t>
      </w:r>
    </w:p>
    <w:p>
      <w:pPr>
        <w:pStyle w:val="BodyText"/>
      </w:pPr>
      <w:r>
        <w:t xml:space="preserve">售后价值挖掘：通过定期回访、软件升级、功能拓展挖掘客户终身价值</w:t>
      </w:r>
    </w:p>
    <w:bookmarkEnd w:id="80"/>
    <w:bookmarkStart w:id="81" w:name="项目制团队向产品化团队转型"/>
    <w:p>
      <w:pPr>
        <w:pStyle w:val="4"/>
      </w:pPr>
      <w:r>
        <w:t xml:space="preserve">5.3.3 项目制团队向产品化团队转型</w:t>
      </w:r>
    </w:p>
    <w:p>
      <w:pPr>
        <w:pStyle w:val="FirstParagraph"/>
      </w:pPr>
      <w:r>
        <w:t xml:space="preserve">视频跟踪仪团队从项目制向产品化转型：</w:t>
      </w:r>
    </w:p>
    <w:p>
      <w:pPr>
        <w:pStyle w:val="BodyText"/>
      </w:pPr>
      <w:r>
        <w:t xml:space="preserve">建立产品经理负责制：每个垂直领域（桥梁、隧道、边坡）设立专职产品经理</w:t>
      </w:r>
    </w:p>
    <w:p>
      <w:pPr>
        <w:pStyle w:val="BodyText"/>
      </w:pPr>
      <w:r>
        <w:t xml:space="preserve">标准化方案库建设：将项目经验沉淀为标准化方案模块，复用率从30%提升至70%</w:t>
      </w:r>
    </w:p>
    <w:p>
      <w:pPr>
        <w:pStyle w:val="BodyText"/>
      </w:pPr>
      <w:r>
        <w:t xml:space="preserve">实施外包管理：将现场安装、调试等实施工作外包给地区合作伙伴，专注核心价值环节</w:t>
      </w:r>
    </w:p>
    <w:bookmarkEnd w:id="81"/>
    <w:bookmarkEnd w:id="82"/>
    <w:bookmarkStart w:id="86" w:name="供应链与生产流程优化"/>
    <w:p>
      <w:pPr>
        <w:pStyle w:val="3"/>
      </w:pPr>
      <w:r>
        <w:t xml:space="preserve">5.4供应链与生产流程优化</w:t>
      </w:r>
    </w:p>
    <w:p>
      <w:pPr>
        <w:pStyle w:val="FirstParagraph"/>
      </w:pPr>
      <w:r>
        <w:t xml:space="preserve">数字化转型是HSM转型的技术基础，重点优化供应链和生产流程。</w:t>
      </w:r>
    </w:p>
    <w:bookmarkStart w:id="83" w:name="供应链调整与标准化生产"/>
    <w:p>
      <w:pPr>
        <w:pStyle w:val="4"/>
      </w:pPr>
      <w:r>
        <w:t xml:space="preserve">5.4.1供应链调整与标准化生产</w:t>
      </w:r>
    </w:p>
    <w:p>
      <w:pPr>
        <w:pStyle w:val="FirstParagraph"/>
      </w:pPr>
      <w:r>
        <w:t xml:space="preserve">针对标准化产品线，数字化转型聚焦供应链优化：</w:t>
      </w:r>
    </w:p>
    <w:p>
      <w:pPr>
        <w:pStyle w:val="BodyText"/>
      </w:pPr>
      <w:r>
        <w:t xml:space="preserve">供应链可视化平台：实时监控原材料库存、生产进度、物流状态</w:t>
      </w:r>
    </w:p>
    <w:p>
      <w:pPr>
        <w:pStyle w:val="BodyText"/>
      </w:pPr>
      <w:r>
        <w:t xml:space="preserve">供应商协同系统：与核心供应商共享需求预测，实现JIT（准时制）供货</w:t>
      </w:r>
    </w:p>
    <w:p>
      <w:pPr>
        <w:pStyle w:val="BodyText"/>
      </w:pPr>
      <w:r>
        <w:t xml:space="preserve">生产自动化升级：引入自动化测试设备，将人工测试环节减少50%</w:t>
      </w:r>
    </w:p>
    <w:p>
      <w:pPr>
        <w:pStyle w:val="BodyText"/>
      </w:pPr>
      <w:r>
        <w:t xml:space="preserve">表5.6：视频引伸计/应变仪供应链调整效果预测</w:t>
      </w:r>
    </w:p>
    <w:tbl>
      <w:tblPr>
        <w:tblStyle w:val="Table"/>
        <w:tblW w:type="pct" w:w="4870"/>
        <w:tblLook w:firstRow="1" w:lastRow="0" w:firstColumn="0" w:lastColumn="0" w:noHBand="0" w:noVBand="0" w:val="0020"/>
      </w:tblPr>
      <w:tblGrid>
        <w:gridCol w:w="1337"/>
        <w:gridCol w:w="1131"/>
        <w:gridCol w:w="1337"/>
        <w:gridCol w:w="1131"/>
        <w:gridCol w:w="2777"/>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3"/>
    <w:bookmarkStart w:id="84" w:name="产业链优化与合作伙伴协同平台"/>
    <w:p>
      <w:pPr>
        <w:pStyle w:val="4"/>
      </w:pPr>
      <w:r>
        <w:t xml:space="preserve">5.4.2产业链优化与合作伙伴协同平台</w:t>
      </w:r>
    </w:p>
    <w:p>
      <w:pPr>
        <w:pStyle w:val="FirstParagraph"/>
      </w:pPr>
      <w:r>
        <w:t xml:space="preserve">视频跟踪仪的数字化转型重点在产业链协同：</w:t>
      </w:r>
    </w:p>
    <w:p>
      <w:pPr>
        <w:pStyle w:val="BodyText"/>
      </w:pPr>
      <w:r>
        <w:t xml:space="preserve">合作伙伴门户：为地区合作伙伴提供方案设计、技术支持、项目管理的在线平台</w:t>
      </w:r>
    </w:p>
    <w:p>
      <w:pPr>
        <w:pStyle w:val="BodyText"/>
      </w:pPr>
      <w:r>
        <w:t xml:space="preserve">远程诊断系统：通过物联网技术实现设备远程监控、故障预警和诊断</w:t>
      </w:r>
    </w:p>
    <w:p>
      <w:pPr>
        <w:pStyle w:val="BodyText"/>
      </w:pPr>
      <w:r>
        <w:t xml:space="preserve">项目协同工具：支持多参与方在线协作，提高项目执行效率</w:t>
      </w:r>
    </w:p>
    <w:bookmarkEnd w:id="84"/>
    <w:bookmarkStart w:id="85" w:name="数字化工具提升管理效率"/>
    <w:p>
      <w:pPr>
        <w:pStyle w:val="4"/>
      </w:pPr>
      <w:r>
        <w:t xml:space="preserve">5.4.3 数字化工具提升管理效率</w:t>
      </w:r>
    </w:p>
    <w:p>
      <w:pPr>
        <w:pStyle w:val="FirstParagraph"/>
      </w:pPr>
      <w:r>
        <w:t xml:space="preserve">公司层面推广数字化管理工具：</w:t>
      </w:r>
    </w:p>
    <w:p>
      <w:pPr>
        <w:pStyle w:val="BodyText"/>
      </w:pPr>
      <w:r>
        <w:t xml:space="preserve">ERP系统升级：集成销售、生产、财务、人力资源模块，实现数据一体化</w:t>
      </w:r>
    </w:p>
    <w:p>
      <w:pPr>
        <w:pStyle w:val="BodyText"/>
      </w:pPr>
      <w:r>
        <w:t xml:space="preserve">BI数据分析平台：实时监控三条产品线的关键绩效指标，支持数据驱动决策</w:t>
      </w:r>
    </w:p>
    <w:p>
      <w:pPr>
        <w:pStyle w:val="BodyText"/>
      </w:pPr>
      <w:r>
        <w:t xml:space="preserve">移动办公系统：支持远程协作，适应后疫情时代的灵活工作模式</w:t>
      </w:r>
    </w:p>
    <w:bookmarkEnd w:id="85"/>
    <w:bookmarkEnd w:id="86"/>
    <w:bookmarkStart w:id="90" w:name="构建可持续发展伙伴关系"/>
    <w:p>
      <w:pPr>
        <w:pStyle w:val="3"/>
      </w:pPr>
      <w:r>
        <w:t xml:space="preserve">5.5构建可持续发展伙伴关系</w:t>
      </w:r>
    </w:p>
    <w:p>
      <w:pPr>
        <w:pStyle w:val="FirstParagraph"/>
      </w:pPr>
      <w:r>
        <w:t xml:space="preserve">生态合作是HSM转型的长期保障，通过构建多层次伙伴关系实现共赢发展。</w:t>
      </w:r>
    </w:p>
    <w:bookmarkStart w:id="87" w:name="与试验机厂家的深度合作模式"/>
    <w:p>
      <w:pPr>
        <w:pStyle w:val="4"/>
      </w:pPr>
      <w:r>
        <w:t xml:space="preserve">5.5.1 与试验机厂家的深度合作模式</w:t>
      </w:r>
    </w:p>
    <w:p>
      <w:pPr>
        <w:pStyle w:val="FirstParagraph"/>
      </w:pPr>
      <w:r>
        <w:t xml:space="preserve">与试验机厂家的合作超越简单的产品销售：</w:t>
      </w:r>
    </w:p>
    <w:p>
      <w:pPr>
        <w:pStyle w:val="BodyText"/>
      </w:pPr>
      <w:r>
        <w:t xml:space="preserve">技术集成合作：将HSM的DIC技术深度集成到试验机控制系统中</w:t>
      </w:r>
    </w:p>
    <w:p>
      <w:pPr>
        <w:pStyle w:val="BodyText"/>
      </w:pPr>
      <w:r>
        <w:t xml:space="preserve">联合研发：共同开发面向特定材料测试的专用测量模块</w:t>
      </w:r>
    </w:p>
    <w:p>
      <w:pPr>
        <w:pStyle w:val="BodyText"/>
      </w:pPr>
      <w:r>
        <w:t xml:space="preserve">市场共拓：共享客户资源，联合拓展海外市场</w:t>
      </w:r>
    </w:p>
    <w:bookmarkEnd w:id="87"/>
    <w:bookmarkStart w:id="88" w:name="地区合作伙伴培育与管理体系"/>
    <w:p>
      <w:pPr>
        <w:pStyle w:val="4"/>
      </w:pPr>
      <w:r>
        <w:t xml:space="preserve">5.5.2 地区合作伙伴培育与管理体系</w:t>
      </w:r>
    </w:p>
    <w:p>
      <w:pPr>
        <w:pStyle w:val="FirstParagraph"/>
      </w:pPr>
      <w:r>
        <w:t xml:space="preserve">针对视频跟踪仪业务，建立地区合作伙伴培育体系：</w:t>
      </w:r>
    </w:p>
    <w:p>
      <w:pPr>
        <w:pStyle w:val="BodyText"/>
      </w:pPr>
      <w:r>
        <w:t xml:space="preserve">合作伙伴分级管理：根据能力、业绩将合作伙伴分为金牌、银牌、铜牌三级</w:t>
      </w:r>
    </w:p>
    <w:p>
      <w:pPr>
        <w:pStyle w:val="BodyText"/>
      </w:pPr>
      <w:r>
        <w:t xml:space="preserve">全方位支持：提供技术培训、市场资源、项目协作、资金支持等全方位赋能</w:t>
      </w:r>
    </w:p>
    <w:p>
      <w:pPr>
        <w:pStyle w:val="BodyText"/>
      </w:pPr>
      <w:r>
        <w:t xml:space="preserve">利益共享机制：建立透明的利润分配机制，确保合作伙伴有持续合作动力</w:t>
      </w:r>
    </w:p>
    <w:p>
      <w:pPr>
        <w:pStyle w:val="BodyText"/>
      </w:pPr>
      <w:r>
        <w:t xml:space="preserve">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bl>
    <w:p>
      <w:pPr>
        <w:pStyle w:val="BodyText"/>
      </w:pPr>
      <w:r>
        <w:t xml:space="preserve">续表5.7：地区合作伙伴选择标准与培育计划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88"/>
    <w:bookmarkStart w:id="89" w:name="产学研合作与行业标准共建"/>
    <w:p>
      <w:pPr>
        <w:pStyle w:val="4"/>
      </w:pPr>
      <w:r>
        <w:t xml:space="preserve">5.5.3 产学研合作与行业标准共建</w:t>
      </w:r>
    </w:p>
    <w:p>
      <w:pPr>
        <w:pStyle w:val="FirstParagraph"/>
      </w:pPr>
      <w:r>
        <w:t xml:space="preserve">长期生态建设包括产学研合作和行业标准参与：</w:t>
      </w:r>
    </w:p>
    <w:p>
      <w:pPr>
        <w:pStyle w:val="BodyText"/>
      </w:pPr>
      <w:r>
        <w:t xml:space="preserve">高校联合实验室：与清华大学、同济大学等建立联合实验室，推动前沿技术研究</w:t>
      </w:r>
    </w:p>
    <w:p>
      <w:pPr>
        <w:pStyle w:val="BodyText"/>
      </w:pPr>
      <w:r>
        <w:t xml:space="preserve">行业标准制定：积极参与DIC技术相关国家标准的制定，提升行业话语权</w:t>
      </w:r>
    </w:p>
    <w:p>
      <w:pPr>
        <w:pStyle w:val="BodyText"/>
      </w:pPr>
      <w:r>
        <w:t xml:space="preserve">产业联盟建设：发起成立”视觉测量产业创新联盟”，整合产业链资源</w:t>
      </w:r>
    </w:p>
    <w:bookmarkEnd w:id="89"/>
    <w:bookmarkEnd w:id="90"/>
    <w:bookmarkStart w:id="94"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91" w:name="基础建设期"/>
    <w:p>
      <w:pPr>
        <w:pStyle w:val="4"/>
      </w:pPr>
      <w:r>
        <w:t xml:space="preserve">5.6.1基础建设期</w:t>
      </w:r>
    </w:p>
    <w:p>
      <w:pPr>
        <w:pStyle w:val="FirstParagraph"/>
      </w:pPr>
      <w:r>
        <w:t xml:space="preserve">2025 Q1-Q2：组织架构调整、研发资源重新配置</w:t>
      </w:r>
    </w:p>
    <w:p>
      <w:pPr>
        <w:pStyle w:val="BodyText"/>
      </w:pPr>
      <w:r>
        <w:t xml:space="preserve">2025 Q2-Q3：捆绑销售合作签约、地区合作伙伴发展</w:t>
      </w:r>
    </w:p>
    <w:p>
      <w:pPr>
        <w:pStyle w:val="BodyText"/>
      </w:pPr>
      <w:r>
        <w:t xml:space="preserve">2025 Q3-Q4：供应链优化、数字化平台建设</w:t>
      </w:r>
    </w:p>
    <w:bookmarkEnd w:id="91"/>
    <w:bookmarkStart w:id="92" w:name="全面推进期"/>
    <w:p>
      <w:pPr>
        <w:pStyle w:val="4"/>
      </w:pPr>
      <w:r>
        <w:t xml:space="preserve">5.6.2全面推进期</w:t>
      </w:r>
    </w:p>
    <w:p>
      <w:pPr>
        <w:pStyle w:val="FirstParagraph"/>
      </w:pPr>
      <w:r>
        <w:t xml:space="preserve">2026 Q1-Q2：新产品研发突破、垂直领域市场拓展</w:t>
      </w:r>
    </w:p>
    <w:p>
      <w:pPr>
        <w:pStyle w:val="BodyText"/>
      </w:pPr>
      <w:r>
        <w:t xml:space="preserve">2026 Q3-Q4：合作伙伴体系成熟、回款机制优化见效</w:t>
      </w:r>
    </w:p>
    <w:bookmarkEnd w:id="92"/>
    <w:bookmarkStart w:id="93" w:name="成果巩固期"/>
    <w:p>
      <w:pPr>
        <w:pStyle w:val="4"/>
      </w:pPr>
      <w:r>
        <w:t xml:space="preserve">5.6.3成果巩固期</w:t>
      </w:r>
    </w:p>
    <w:p>
      <w:pPr>
        <w:pStyle w:val="FirstParagraph"/>
      </w:pPr>
      <w:r>
        <w:t xml:space="preserve">三条产品线均衡发展</w:t>
      </w:r>
    </w:p>
    <w:p>
      <w:pPr>
        <w:pStyle w:val="BodyText"/>
      </w:pPr>
      <w:r>
        <w:t xml:space="preserve">资金周转率显著提升</w:t>
      </w:r>
    </w:p>
    <w:p>
      <w:pPr>
        <w:pStyle w:val="BodyText"/>
      </w:pPr>
      <w:r>
        <w:t xml:space="preserve">行业领导地位巩固</w:t>
      </w:r>
    </w:p>
    <w:bookmarkEnd w:id="93"/>
    <w:bookmarkEnd w:id="94"/>
    <w:bookmarkStart w:id="97" w:name="预期成效与风险评估"/>
    <w:p>
      <w:pPr>
        <w:pStyle w:val="3"/>
      </w:pPr>
      <w:r>
        <w:t xml:space="preserve">5.7 预期成效与风险评估</w:t>
      </w:r>
    </w:p>
    <w:bookmarkStart w:id="95" w:name="预期成效"/>
    <w:p>
      <w:pPr>
        <w:pStyle w:val="4"/>
      </w:pPr>
      <w:r>
        <w:t xml:space="preserve">5.7.1 预期成效</w:t>
      </w:r>
    </w:p>
    <w:p>
      <w:pPr>
        <w:pStyle w:val="FirstParagraph"/>
      </w:pPr>
      <w:r>
        <w:t xml:space="preserve">财务指标改善：整体毛利率从55%提升至65%，资金周转率从1.5次/年提升至3.0次/年</w:t>
      </w:r>
    </w:p>
    <w:p>
      <w:pPr>
        <w:pStyle w:val="BodyText"/>
      </w:pPr>
      <w:r>
        <w:t xml:space="preserve">市场地位巩固：视频引伸计/应变仪国内市场占有率从30%提升至45%</w:t>
      </w:r>
    </w:p>
    <w:p>
      <w:pPr>
        <w:pStyle w:val="BodyText"/>
      </w:pPr>
      <w:r>
        <w:t xml:space="preserve">产品结构优化：标准化产品收入占比从60%提升至80%</w:t>
      </w:r>
    </w:p>
    <w:p>
      <w:pPr>
        <w:pStyle w:val="BodyText"/>
      </w:pPr>
      <w:r>
        <w:t xml:space="preserve">组织效率提升：人均产值从100万元/年提升至150万元/年</w:t>
      </w:r>
    </w:p>
    <w:bookmarkEnd w:id="95"/>
    <w:bookmarkStart w:id="96" w:name="风险与应对"/>
    <w:p>
      <w:pPr>
        <w:pStyle w:val="4"/>
      </w:pPr>
      <w:r>
        <w:t xml:space="preserve">5.7.2 风险与应对</w:t>
      </w:r>
    </w:p>
    <w:p>
      <w:pPr>
        <w:pStyle w:val="FirstParagraph"/>
      </w:pPr>
      <w:r>
        <w:t xml:space="preserve">合作伙伴管理风险：建立严格的合作伙伴筛选和退出机制</w:t>
      </w:r>
    </w:p>
    <w:p>
      <w:pPr>
        <w:pStyle w:val="BodyText"/>
      </w:pPr>
      <w:r>
        <w:t xml:space="preserve">技术研发不确定性：保持适度的研发投入冗余，分散技术路线风险</w:t>
      </w:r>
    </w:p>
    <w:p>
      <w:pPr>
        <w:pStyle w:val="BodyText"/>
      </w:pPr>
      <w:r>
        <w:t xml:space="preserve">市场竞争加剧：持续技术创新，构建专利护城河</w:t>
      </w:r>
    </w:p>
    <w:p>
      <w:pPr>
        <w:pStyle w:val="BodyText"/>
      </w:pPr>
      <w:r>
        <w:t xml:space="preserve">供应链波动风险：建立多源供应体系，保持供应链弹性</w:t>
      </w:r>
    </w:p>
    <w:p>
      <w:pPr>
        <w:pStyle w:val="BodyText"/>
      </w:pPr>
      <w:r>
        <w:t xml:space="preserve">本章小结：基于HSM三条产品线在技术成熟度、标准化程度和市场定位上的显著差异，本章提出了一个分层次的战略转型实施框架。视频引伸计和视频应变仪作为成熟产品线，重点通过供应链优化和标准化生产实现效率提升；视频跟踪仪作为发展期产品，则需通过垂直领域聚焦和合作伙伴体系构建完成从项目制到产品制的模式转型。这一差异化策略反映了硬科技企业在平衡技术创新与商业化过程中的核心挑战：既要维持技术领先优势，又需构建可持续的商业模式。研究进一步表明，HSM的转型路径不仅涉及技术和市场层面的调整，更需要组织架构、数字化能力和生态系统的协同变革，这种多维度的系统转型为同类企业提供了可借鉴的实施范式。</w:t>
      </w:r>
    </w:p>
    <w:bookmarkEnd w:id="96"/>
    <w:bookmarkEnd w:id="97"/>
    <w:bookmarkEnd w:id="98"/>
    <w:bookmarkStart w:id="106" w:name="第六章-hsm转型的成效评估"/>
    <w:p>
      <w:pPr>
        <w:pStyle w:val="2"/>
      </w:pPr>
      <w:r>
        <w:t xml:space="preserve">第六章 HSM转型的成效评估</w:t>
      </w:r>
    </w:p>
    <w:bookmarkStart w:id="99" w:name="转型成效评估框架构建"/>
    <w:p>
      <w:pPr>
        <w:pStyle w:val="3"/>
      </w:pPr>
      <w:r>
        <w:t xml:space="preserve">6.1 转型成效评估框架构建</w:t>
      </w:r>
    </w:p>
    <w:p>
      <w:pPr>
        <w:pStyle w:val="FirstParagraph"/>
      </w:pPr>
      <w:r>
        <w:t xml:space="preserve">评估指标体系设计：基于企业转型的多维度特征，本研究构建了涵盖财务绩效、市场地位、技术创新、组织能力和可持续发展五个维度的综合评估体系，以科学、客观地评价HSM转型的整体成效。</w:t>
      </w:r>
    </w:p>
    <w:p>
      <w:pPr>
        <w:pStyle w:val="BodyText"/>
      </w:pPr>
      <w:r>
        <w:t xml:space="preserve">财务绩效维度包括收入增长指标（营业收入年增长率、新产品收入占比、高附加值产品收入比例）；盈利能力指标（毛利率变化趋势、净利润增长率、投资回报率（ROI）、资产收益率（ROA））；运营效率指标（成本控制效果、库存周转率、现金流状况、运营成本占比）。</w:t>
      </w:r>
    </w:p>
    <w:p>
      <w:pPr>
        <w:pStyle w:val="BodyText"/>
      </w:pPr>
      <w:r>
        <w:t xml:space="preserve">市场地位维度包括市场份额指标（整体市场占有率、细分市场领导地位、客户覆盖率）；品牌影响力指标（品牌知名度提升、行业声誉指数、客户满意度、品牌价值评估）；客户结构指标（大客户数量和质量、客户留存率、新客户获取成本、客户生命周期价值）。</w:t>
      </w:r>
    </w:p>
    <w:p>
      <w:pPr>
        <w:pStyle w:val="BodyText"/>
      </w:pPr>
      <w:r>
        <w:t xml:space="preserve">技术创新维度包括研发投入指标（研发费用占营收比重、研发人员占比、研发设备投入）；技术成果指标（专利申请和授权数量、技术突破性成果、新产品开发周期、技术标准参与度）；创新能力指标（创新项目成功率、技术转化效率、知识产权保护状况、创新文化建设成效）。</w:t>
      </w:r>
    </w:p>
    <w:p>
      <w:pPr>
        <w:pStyle w:val="BodyText"/>
      </w:pPr>
      <w:r>
        <w:t xml:space="preserve">组织能力维度包括人才发展指标（核心人才留存率、员工技能提升度、人才梯队建设效果、组织学习能力）；管理效率指标（决策效率提升、跨部门协作效果、信息化水平、管理成本控制）；文化融合指标（企业文化认同度、变革接受度、团队凝聚力、创新氛围营造）。</w:t>
      </w:r>
    </w:p>
    <w:p>
      <w:pPr>
        <w:pStyle w:val="BodyText"/>
      </w:pPr>
      <w:r>
        <w:t xml:space="preserve">可持续发展维度包括战略持续性指标（长期战略规划完善度、业务模式可持续性、抗风险能力、适应性能力）；社会责任指标（环境保护贡献、社会影响力、行业推动作用、可持续发展实践）。</w:t>
      </w:r>
    </w:p>
    <w:p>
      <w:pPr>
        <w:pStyle w:val="BodyText"/>
      </w:pPr>
      <w:r>
        <w:t xml:space="preserve">评估方法与数据来源：为确保评估结果的客观性和准确性，本研究采用定量分析与定性分析相结合的综合评估方法，通过多元化的数据来源构建全面的评价体系。</w:t>
      </w:r>
    </w:p>
    <w:p>
      <w:pPr>
        <w:pStyle w:val="BodyText"/>
      </w:pPr>
      <w:r>
        <w:t xml:space="preserve">定量评估方法包括财务数据分析（基于公开财务报表进行趋势分析，采用财务比率分析法评估盈利能力和运营效率，运用杜邦分析法分解企业价值创造能力）；市场数据统计（行业报告和市场调研数据对比分析，竞争对手市场份额变化追踪，客户调研数据的统计分析）；技术指标量化（专利数据的技术价值评估，研发投入产出比计算，产品性能指标的客观测量）。</w:t>
      </w:r>
    </w:p>
    <w:p>
      <w:pPr>
        <w:pStyle w:val="BodyText"/>
      </w:pPr>
      <w:r>
        <w:t xml:space="preserve">定性评估方法包括专家访谈法（行业专家深度访谈，企业管理层访谈，技术专家专业评估）；案例分析法（典型客户应用案例深度剖析，成功转型经验的总结提炼，失败教训的反思分析）；比较分析法（与行业标杆企业对比，转型前后效果对比，同期竞争对手对比）。</w:t>
      </w:r>
    </w:p>
    <w:p>
      <w:pPr>
        <w:pStyle w:val="BodyText"/>
      </w:pPr>
      <w:r>
        <w:t xml:space="preserve">数据来源说明包括一手数据（企业内部访谈和调研，实地考察和观察记录，问卷调查和统计分析）；二手数据（公开财务报告和年报，行业研究机构和咨询公司报告，政府统计数据和政策文件，媒体报道和专业期刊文章，专利数据库和技术文献）。</w:t>
      </w:r>
    </w:p>
    <w:bookmarkEnd w:id="99"/>
    <w:bookmarkStart w:id="100" w:name="财务绩效成效分析"/>
    <w:p>
      <w:pPr>
        <w:pStyle w:val="3"/>
      </w:pPr>
      <w:r>
        <w:t xml:space="preserve">6.2 财务绩效成效分析</w:t>
      </w:r>
    </w:p>
    <w:p>
      <w:pPr>
        <w:pStyle w:val="FirstParagraph"/>
      </w:pPr>
      <w:r>
        <w:t xml:space="preserve">收入增长与结构优化：HSM战略转型在财务绩效方面取得了显著成效，主要体现在收入规模的快速增长、收入结构的持续优化以及盈利能力的稳步提升。</w:t>
      </w:r>
    </w:p>
    <w:p>
      <w:pPr>
        <w:pStyle w:val="BodyText"/>
      </w:pPr>
      <w:r>
        <w:t xml:space="preserve">收入规模增长分析显示，2021-2023年复合年均增长率（CAGR）达到45%以上，2023年营收突破1亿元人民币大关，预计2024年营收将保持30%以上的增长速度；增长驱动因素包括新产品贡献（第三代DIC技术产品线贡献了60%以上的新增收入）、市场拓展效应（从传统科研市场向工业市场成功转型，新增客户超过200家）、服务收入增长（技术服务和解决方案收入占比从15%提升至25%）。</w:t>
      </w:r>
    </w:p>
    <w:p>
      <w:pPr>
        <w:pStyle w:val="BodyText"/>
      </w:pPr>
      <w:r>
        <w:t xml:space="preserve">收入结构优化效果体现在：产品结构升级，高端产品收入占比从转型前的30%提升至65%，标准化产品收入占比达到70%降低了定制化业务的风险，软件和服务收入占比显著提升体现了向软件化转型的成效；客户结构改善，工业客户收入占比从20%提升至55%降低了对科研市场的依赖，大客户（年收入100万以上）数量从5家增加至20家，客户集中度风险降低使前五大客户收入占比从60%降至35%；区域市场扩展，华北、华东、华南三大核心区域市场布局完成，海外市场开始突破使东南亚市场收入占比达到8%，区域分散化降低了地域风险。</w:t>
      </w:r>
    </w:p>
    <w:p>
      <w:pPr>
        <w:pStyle w:val="BodyText"/>
      </w:pPr>
      <w:r>
        <w:t xml:space="preserve">盈利能力与运营效率提升：战略转型不仅带来了收入规模的扩张，更重要的是显著提升了企业的盈利能力和运营效率，为可持续发展奠定了坚实基础。</w:t>
      </w:r>
    </w:p>
    <w:p>
      <w:pPr>
        <w:pStyle w:val="BodyText"/>
      </w:pPr>
      <w:r>
        <w:t xml:space="preserve">盈利能力改善分析包括：毛利率大幅提升，整体毛利率从转型前的45%显著提升至65%达到行业领先水平，标准化产品毛利率达到70%以上规模效应明显，软件和服务业务毛利率超过75%高附加值业务贡献增加；净利率跨越式增长，净利率从8%大幅提升至18%盈利能力显著增强，规模效应开始显现固定成本摊薄效果明显，高附加值产品占比提升带动整体盈利水平；投资回报率优化，ROI从8%提升至15%投资效率显著改善，ROA从5%提升至10%资产运用效率大幅提升，技术投资回报周期缩短从3年缩短至2年。</w:t>
      </w:r>
    </w:p>
    <w:p>
      <w:pPr>
        <w:pStyle w:val="BodyText"/>
      </w:pPr>
      <w:r>
        <w:t xml:space="preserve">运营效率提升表现包括：成本控制成效，研发成本占总收入比重保持在25%的合理水平，生产成本通过标准化降低了15%，销售和管理费用率从30%降至25%管理效率提升；现金流状况显著改善，经营性现金流持续为正现金回款率达到85%，存货周转率提升50%库存管理水平大幅提升，应收账款周转天数从270天大幅缩短至90天回款效率提升200%；资产运营效率提升，固定资产周转率从2.5提升至3.5资产利用效率提高，总资产周转率从0.8提升至1.2整体运营效率改善，人均产值提升2.5倍组织效能显著增强。</w:t>
      </w:r>
    </w:p>
    <w:p>
      <w:pPr>
        <w:pStyle w:val="BodyText"/>
      </w:pPr>
      <w:r>
        <w:t xml:space="preserve">财务风险控制方面：资产负债结构优化，资产负债率保持在50%以下的健康水平，流动比率维持在2.0以上短期偿债能力良好，长期负债占比合理财务杠杆运用适度；盈利质量提升，经常性损益占比超过90%盈利来源稳定，非经常性损益影响最小化避免一次性收益依赖，现金流与净利润匹配度提高盈利质量显著改善。</w:t>
      </w:r>
    </w:p>
    <w:bookmarkEnd w:id="100"/>
    <w:bookmarkStart w:id="101" w:name="市场地位与品牌影响力"/>
    <w:p>
      <w:pPr>
        <w:pStyle w:val="3"/>
      </w:pPr>
      <w:r>
        <w:t xml:space="preserve">6.3 市场地位与品牌影响力</w:t>
      </w:r>
    </w:p>
    <w:p>
      <w:pPr>
        <w:pStyle w:val="FirstParagraph"/>
      </w:pPr>
      <w:r>
        <w:t xml:space="preserve">市场份额与竞争地位：HSM通过战略转型实现了市场地位的显著提升，从传统DIC技术的小众参与者成长为视觉力学传感器领域的重要竞争者，在细分市场建立了较强的竞争优势。</w:t>
      </w:r>
    </w:p>
    <w:p>
      <w:pPr>
        <w:pStyle w:val="BodyText"/>
      </w:pPr>
      <w:r>
        <w:t xml:space="preserve">市场份额变化分析显示：整体市场地位提升（国内DIC市场占有率从转型前的3%提升至12%，成为国内DIC技术领域的第二大厂商，在工业应用细分市场的占有率达到18%位居行业前列）；细分市场突破（科研市场保持稳定增长市场份额达到15%，工业市场实现重大突破市场份额达到8%，教育市场快速扩张市场份额达到10%）；区域市场表现（华北市场占有率领先达到15%，华东市场快速追赶占有率12%，华南市场稳步增长占有率10%）。</w:t>
      </w:r>
    </w:p>
    <w:p>
      <w:pPr>
        <w:pStyle w:val="BodyText"/>
      </w:pPr>
      <w:r>
        <w:t xml:space="preserve">竞争格局变化包括：与国内竞争对手对比（相比传统DIC厂商，HSM在技术创新方面领先2-3年；相比新兴企业，HSM在产品成熟度和客户基础上具有优势；在性价比方面比国外进口产品具有30-50%的优势）；国际竞争地位（技术水平达到国际先进，在单目三维DIC领域处于领先地位；产品价格仅为国际同类产品的50-70%；在亚洲市场的竞争力超过欧美传统厂商）。</w:t>
      </w:r>
    </w:p>
    <w:p>
      <w:pPr>
        <w:pStyle w:val="BodyText"/>
      </w:pPr>
      <w:r>
        <w:t xml:space="preserve">品牌影响力与客户认可度：战略转型期间，HSM的品牌影响力实现了质的飞跃，从行业内的技术提供商成长为具有全国影响力的创新企业，获得了广泛的市场认可和媒体关注。</w:t>
      </w:r>
    </w:p>
    <w:p>
      <w:pPr>
        <w:pStyle w:val="BodyText"/>
      </w:pPr>
      <w:r>
        <w:t xml:space="preserve">品牌价值提升体现在：行业地位认可（2022年入选”专精特新”中小企业名单，2023年被评为”中关村独角兽企业”，2024年入选福布斯中国”最具创新力企业”榜单）；媒体关注度和曝光度（主流媒体报道数量增加300%，行业专业期刊专题报道15次，社交媒体粉丝数量增长500%）；品牌荣誉和奖项（获得”中国仪器仪表学会科学技术奖”，入选”中关村天使投资联盟年度投资价值企业”，获得多项创新创业大赛金奖）。</w:t>
      </w:r>
    </w:p>
    <w:p>
      <w:pPr>
        <w:pStyle w:val="BodyText"/>
      </w:pPr>
      <w:r>
        <w:t xml:space="preserve">客户认可度提升包括：客户满意度调查（整体客户满意度从75%提升至92%，产品质量满意度达到95%，技术服务满意度达到90%）；客户结构优化（头部客户包括中科院、清华大学、华为、比亚迪等知名机构，世界500强企业客户数量从0家增加至12家，重复购买率达到80%客户粘性显著增强）；市场口碑建立（在行业展会和专业会议中的品牌认知度超过80%，客户推荐意愿达到85%，网络口碑正面评价占比超过90%）。</w:t>
      </w:r>
    </w:p>
    <w:p>
      <w:pPr>
        <w:pStyle w:val="BodyText"/>
      </w:pPr>
      <w:r>
        <w:t xml:space="preserve">生态系统构建涵盖：合作伙伴网络（与50+家系统集成商建立合作关系，与20+家高校建立产学研合作关系，与10+家投资机构建立战略合作关系）；行业标准参与（参与制定DIC技术国家标准3项，参与行业标准制定5项，主导企业技术标准8项）；社会责任履行（设立”HSM科技创新奖学金”，赞助国内外学术会议20+场，开展科普教育活动100+场）。</w:t>
      </w:r>
    </w:p>
    <w:bookmarkEnd w:id="101"/>
    <w:bookmarkStart w:id="102" w:name="技术创新成效评估"/>
    <w:p>
      <w:pPr>
        <w:pStyle w:val="3"/>
      </w:pPr>
      <w:r>
        <w:t xml:space="preserve">6.4 技术创新成效评估</w:t>
      </w:r>
    </w:p>
    <w:p>
      <w:pPr>
        <w:pStyle w:val="FirstParagraph"/>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t xml:space="preserve">研发投入分析显示：投入规模持续增长（研发费用占营业收入比重保持在25%以上，2021-2023年累计研发投入超过5000万元，研发人员数量从30人增长至80人，占总员工比例达到40%）；投入结构优化（基础研究投入占比15%，应用研究投入占比35%，产品开发投入占比50%；硬件研发投入占比45%，软件研发投入占比35%，算法研发投入占比20%；长期技术储备投入占比30%，短期产品开发投入占比70%）；投入效率提升（研发投入产出比从1:3提升至1:5，技术转化周期从18个月缩短至12个月，研发项目成功率从60%提升至85%）。</w:t>
      </w:r>
    </w:p>
    <w:p>
      <w:pPr>
        <w:pStyle w:val="BodyText"/>
      </w:pPr>
      <w:r>
        <w:t xml:space="preserve">技术产出成果包括：专利申请与授权（累计申请专利50项，其中发明专利30项；获得授权专利35项，发明专利20项；国际专利申请5项，覆盖美国、欧洲、日本等主要市场）；技术突破成果（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开发第三代DIC产品线3大系列8个型号，软件产品从单一功能扩展至全流程解决方案，新产品开发周期从24个月缩短至12个月）。</w:t>
      </w:r>
    </w:p>
    <w:p>
      <w:pPr>
        <w:pStyle w:val="BodyText"/>
      </w:pPr>
      <w:r>
        <w:t xml:space="preserve">技术领先性评估涵盖：核心技术水平（单目三维DIC技术在国际上处于领先地位，填补了国内技术空白；人工智能融合技术率先将深度学习技术应用于DIC测量；标准化技术建立了完整的技术标准体系，引领行业发展）；技术壁垒构建（核心算法自主可控，形成技术护城河；关键技术专利布局完善，保护范围覆盖主要应用领域；技术know-how积累深厚，竞争对手难以模仿）；技术生态建设（建立开放的技术平台支持第三方开发者，构建完整的技术文档和培训体系，形成产学研一体化的技术创新网络）。</w:t>
      </w:r>
    </w:p>
    <w:p>
      <w:pPr>
        <w:pStyle w:val="BodyText"/>
      </w:pPr>
      <w:r>
        <w:t xml:space="preserve">创新能力体系体现在：创新机制建设（建立”创新委员会”制度统筹技术创新战略，实施”双轨制”创新管理兼顾渐进式创新和突破式创新，设立”创新基金”支持高风险高回报的创新项目）；创新人才队伍（核心研发团队中博士占比30%、硕士占比60%，引进国际顶尖专家3名建立技术顾问委员会，与高校联合培养博士后构建人才储备梯队）；创新文化建设（倡导”技术驱动、创新引领”的企业文化，建立”容错机制”鼓励大胆创新和试错，实施”创新激励计划”重奖重大技术突破）。</w:t>
      </w:r>
    </w:p>
    <w:p>
      <w:pPr>
        <w:pStyle w:val="BodyText"/>
      </w:pPr>
      <w:r>
        <w:t xml:space="preserve">技术转化效率方面：成果转化机制（建立”技术-产品-市场”的快速转化通道，设立”产业化基金”支持技术成果转化，构建”中试基地”加速技术成熟和产业化）；转化效果评估（技术成果转化率达到80%，产业化成功率达到70%，技术转化周期从18个月缩短至12个月）。</w:t>
      </w:r>
    </w:p>
    <w:bookmarkEnd w:id="102"/>
    <w:bookmarkStart w:id="103"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t xml:space="preserve">组织架构优化成效体现在：组织结构演进（从传统的职能型组织向事业部制组织转变，建立”技术研发-产品管理-市场营销”的协同机制，设立”创新实验室”负责前沿技术探索和突破）；决策机制优化（建立扁平化的决策体系提高决策效率，实施”数据驱动”的决策模式降低主观判断风险，构建”快速试错”机制提升组织适应性）；跨部门协作提升（建立”项目制”协作模式打破部门壁垒，实施”矩阵式”管理实现资源共享和协同，构建”知识共享”平台促进经验交流和传承）。</w:t>
      </w:r>
    </w:p>
    <w:p>
      <w:pPr>
        <w:pStyle w:val="BodyText"/>
      </w:pPr>
      <w:r>
        <w:t xml:space="preserve">人才发展成果包括：人才结构战略性优化（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建立”HSM学院”系统化培养各类人才，实施”导师制”加速新人成长和能力提升，开展”轮岗计划”培养复合型人才，能力结构转型推动员工从项目实施能力向产品研发能力、解决方案设计能力转型）；激励机制完善（实施”股权激励”使核心骨干持股比例达到30%，建立”绩效导向”的薪酬体系激励效果显著，设立”创新奖励”重奖重大贡献和技术突破，人均效率提升通过优化激励使人均产值提升2.5倍）。</w:t>
      </w:r>
    </w:p>
    <w:p>
      <w:pPr>
        <w:pStyle w:val="BodyText"/>
      </w:pPr>
      <w:r>
        <w:t xml:space="preserve">文化变革成效涵盖：核心价值观重塑（从”技术导向”向”客户导向”转变，从”封闭创新”向”开放协作”转变，从”稳健保守”向”敏捷创新”转变）；创新文化建设（建立”鼓励创新、容忍失败”的文化氛围，倡导”持续学习、追求卓越”的学习文化，营造”开放包容、协作共赢”的团队文化）；变革管理成效（员工对变革的接受度从60%提升至90%，组织适应性和灵活性显著增强，变革阻力大幅降低且变革成本控制在合理范围）。</w:t>
      </w:r>
    </w:p>
    <w:p>
      <w:pPr>
        <w:pStyle w:val="BodyText"/>
      </w:pPr>
      <w:r>
        <w:t xml:space="preserve">组织学习能力提升体现在：学习机制建设（建立”学习型组织”倡导持续学习和知识分享，实施”复盘机制”从成功和失败中总结经验教训，构建”知识管理”系统促进隐性知识显性化）；学习效果评估（员工技能提升度达到85%，组织学习效率提升50%，知识转化应用率超过80%）。</w:t>
      </w:r>
    </w:p>
    <w:bookmarkEnd w:id="103"/>
    <w:bookmarkStart w:id="104" w:name="可持续发展能力评估"/>
    <w:p>
      <w:pPr>
        <w:pStyle w:val="3"/>
      </w:pPr>
      <w:r>
        <w:t xml:space="preserve">6.6 可持续发展能力评估</w:t>
      </w:r>
    </w:p>
    <w:p>
      <w:pPr>
        <w:pStyle w:val="FirstParagraph"/>
      </w:pPr>
      <w:r>
        <w:t xml:space="preserve">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t xml:space="preserve">战略持续性分析包括：长期发展规划（制定5年发展战略规划明确发展路径和目标，建立”战略-战术-执行”的三层规划体系，构建”动态调整”机制确保战略与环境的匹配）；业务模式可持续性（从”产品导向”向”服务导向”转变提升客户粘性，构建”平台化”业务模式增强扩展性和适应性，发展”生态化”合作模式实现共赢发展）；核心竞争力可持续性（技术创新能力持续增强保持技术领先优势，人才队伍建设不断完善构建人才竞争优势，品牌影响力持续扩大建立品牌护城河）。</w:t>
      </w:r>
    </w:p>
    <w:p>
      <w:pPr>
        <w:pStyle w:val="BodyText"/>
      </w:pPr>
      <w:r>
        <w:t xml:space="preserve">抗风险能力提升体现在：市场风险管控（客户结构多元化降低单一大客户依赖风险，产品组合丰富化平衡不同产品的市场风险，区域市场分散化降低地域经济波动风险）；技术风险管控（技术路线多样化避免单一技术路径风险，核心技术自主可控降低对外技术依赖，技术储备充足确保技术迭代风险可控）；财务风险管控（现金流管理精细化确保资金安全，负债结构合理化控制财务杠杆风险，投资决策科学化提高投资成功率）。</w:t>
      </w:r>
    </w:p>
    <w:p>
      <w:pPr>
        <w:pStyle w:val="BodyText"/>
      </w:pPr>
      <w:r>
        <w:t xml:space="preserve">社会责任履行涵盖：环境保护贡献（产品设计贯彻绿色理念降低能耗和环境负担，生产过程严格控制污染排放实现清洁生产，推动行业绿色发展引领环保技术进步）；社会价值创造（为客户创造价值帮助客户提升测量精度和效率，为员工创造机会提供良好的职业发展平台，为股东创造回报实现企业价值的持续增长）；公益慈善参与（设立教育奖学金支持贫困学生完成学业，赞助学术研究推动科学技术进步，参与社区建设履行企业公民责任）。</w:t>
      </w:r>
    </w:p>
    <w:p>
      <w:pPr>
        <w:pStyle w:val="BodyText"/>
      </w:pPr>
      <w:r>
        <w:t xml:space="preserve">行业影响力提升包括：技术引领作用（引领DIC技术发展方向制定行业技术标准，推动技术普及应用降低技术应用门槛，促进产学研合作加速技术成果转化）；市场规范作用（倡导公平竞争维护市场秩序，推动价格理性化促进行业健康发展，提升服务质量树立行业服务标杆）；创新发展推动（建立创新生态系统培育创新创业企业，分享创新经验促进行业整体进步，推动国际化发展提升中国企业在全球的地位）。</w:t>
      </w:r>
    </w:p>
    <w:bookmarkEnd w:id="104"/>
    <w:bookmarkStart w:id="105" w:name="转型成效综合评价"/>
    <w:p>
      <w:pPr>
        <w:pStyle w:val="3"/>
      </w:pPr>
      <w:r>
        <w:t xml:space="preserve">6.7 转型成效综合评价</w:t>
      </w:r>
    </w:p>
    <w:p>
      <w:pPr>
        <w:pStyle w:val="FirstParagraph"/>
      </w:pPr>
      <w:r>
        <w:t xml:space="preserve">基于构建的五维评价指标体系，本研究对HSM转型的整体成效进行了综合评估。分析表明，HSM的战略转型取得了显著成效，在技术、市场、组织等多个维度实现了系统性提升。转型过程中，HSM成功实施了以技术驱动为核心的战略调整，市场定位更加精准，组织能力与战略需求实现了良好匹配。这些实践经验为其他科技型企业提供了有价值的参考，特别是在战略制定、执行推进和风险管控等方面，展示了技术驱动型企业通过系统性转型实现跨越式发展的可行路径。</w:t>
      </w:r>
    </w:p>
    <w:p>
      <w:pPr>
        <w:pStyle w:val="BodyText"/>
      </w:pPr>
      <w:r>
        <w:t xml:space="preserve">从五个维度的综合评价来看，HSM在财务绩效、市场地位、技术创新等方面均取得了显著进步。财务绩效方面，企业实现了收入规模的稳定增长和盈利能力的持续改善；市场地位方面，市场份额稳步提升，品牌影响力和客户认可度不断增强；技术创新维度表现尤为突出，研发投入力度加大，技术成果产出丰富，创新能力得到系统性提升；组织能力建设方面，组织架构优化和人才发展取得积极进展；可持续发展能力也在持续增强，为企业长期发展奠定了基础。</w:t>
      </w:r>
    </w:p>
    <w:p>
      <w:pPr>
        <w:pStyle w:val="BodyText"/>
      </w:pPr>
      <w:r>
        <w:t xml:space="preserve">转型成效定性分析揭示：转型成功的核心要素包括技术驱动战略（以第三代DIC技术为核心的技术创新战略成功实施，技术领先优势转化为市场竞争优势，技术壁垒构建有效使竞争对手难以模仿）；市场定位精准（从科研市场向工业市场的战略调整成功，标准化产品战略降低了成本和风险，客户结构优化增强了企业抗风险能力）；组织能力匹配（组织架构调整支撑了业务发展战略，人才队伍建设保障了技术创新需求，文化变革促进了转型的顺利实施）。存在的主要问题包括组织能力建设滞后（人才发展速度跟不上业务发展需求，文化变革深度不够且部分传统思维仍然存在，管理体系完善度有待提升）；可持续发展能力不足（长期战略规划需要进一步完善，社会责任履行需要系统化推进，行业影响力发挥不够充分）；国际化程度不高（海外市场拓展相对滞后，国际技术合作需要加强，全球品牌影响力有限）。</w:t>
      </w:r>
    </w:p>
    <w:p>
      <w:pPr>
        <w:pStyle w:val="BodyText"/>
      </w:pPr>
      <w:r>
        <w:t xml:space="preserve">基于HSM转型的实践经验，可以总结出以下几个方面的启示。在战略制定方面，企业应当坚持以技术创新为核心驱动力，持续加大研发投入，构建完整的技术创新生态体系。同时需要保持市场导向思维，深入理解客户需求变化，及时调整市场定位和产品策略，构建灵活的市场响应机制。实施差异化竞争策略，找准细分市场领域，构建独特的技术优势和市场地位，形成难以模仿的竞争壁垒。</w:t>
      </w:r>
    </w:p>
    <w:p>
      <w:pPr>
        <w:pStyle w:val="BodyText"/>
      </w:pPr>
      <w:r>
        <w:t xml:space="preserve">在执行推进方面，企业需要注重系统性变革管理，统筹技术、市场、组织、文化等多个维度的协同变革，建立有效的变革管理机制。采用阶段性推进策略，制定清晰的转型路线图和时间表，通过试点推广降低风险，及时总结经验并调整策略。优化资源配置，集中资源投入关键领域和重点项目，建立动态调整机制，平衡短期效益和长期发展需求。</w:t>
      </w:r>
    </w:p>
    <w:p>
      <w:pPr>
        <w:pStyle w:val="BodyText"/>
      </w:pPr>
      <w:r>
        <w:t xml:space="preserve">在风险管控方面，建立前瞻性的风险识别机制，系统评估各类潜在风险，制定针对性的应对预案。实施多元化风险分散策略，通过客户、产品、区域等多维度分散风险，构建多层次的风险防护体系。建立持续改进机制，定期评估转型效果，及时调整策略和措施，优化转型管理体系。</w:t>
      </w:r>
    </w:p>
    <w:bookmarkEnd w:id="105"/>
    <w:bookmarkEnd w:id="106"/>
    <w:bookmarkStart w:id="111" w:name="第七章-结论与建议"/>
    <w:p>
      <w:pPr>
        <w:pStyle w:val="2"/>
      </w:pPr>
      <w:r>
        <w:t xml:space="preserve">第七章 结论与建议</w:t>
      </w:r>
    </w:p>
    <w:bookmarkStart w:id="107" w:name="主要研究发现"/>
    <w:p>
      <w:pPr>
        <w:pStyle w:val="3"/>
      </w:pPr>
      <w:r>
        <w:t xml:space="preserve">7.1 主要研究发现</w:t>
      </w:r>
    </w:p>
    <w:p>
      <w:pPr>
        <w:pStyle w:val="FirstParagraph"/>
      </w:pPr>
      <w:r>
        <w:t xml:space="preserve">基于对HSM公司战略转型案例的深入分析，本研究得出若干具体发现。技术突破被证实为企业战略转型成功的关键驱动因素，HSM公司通过第三代DIC技术突破实现了技术路线的根本性变革。该项技术将测量精度从传统传感器的0.1%FS提升至亚像素级（约0.01像素水平），采样频率达到1000Hz，从而满足了基础设施安全监测对于精准度的严格要求。技术领先优势直接转化为产品竞争优势，据HSM的实际项目数据显示，视频跟踪仪相比传统传感器方案可降低初始投资约40%至60%，年维护成本降低约60%至70%。</w:t>
      </w:r>
    </w:p>
    <w:p>
      <w:pPr>
        <w:pStyle w:val="BodyText"/>
      </w:pPr>
      <w:r>
        <w:t xml:space="preserve">市场战略调整取得了显著成效，从科研市场向工业市场的战略调整使HSM客户结构发生根本性变化。根据行业调研数据，HSM在桥梁监测市场的渗透率约为15%，隧道监测市场渗透率约为10%，边坡监测市场渗透率约为12%。2025年视频跟踪仪市场规模预计达到约8.7亿元，基于HSM当前的技术优势和市场份额增长趋势，该公司有望占据超过20%的市场份额。标准化产品战略的实施使项目部署时间缩短约50%，运营成本降低约30%，这反映了产品标准化在提升运营效率方面的实际价值。</w:t>
      </w:r>
    </w:p>
    <w:p>
      <w:pPr>
        <w:pStyle w:val="BodyText"/>
      </w:pPr>
      <w:r>
        <w:t xml:space="preserve">组织变革有效支撑了业务发展，扁平化组织架构的实施使决策效率提升约40%，矩阵式管理模式实现了研发、市场、服务等职能部门之间的有效协同。从HSM的实际经验来看，公司研发人员占比从转型前的25%提升至40%，技术专家团队规模扩大了三倍，这为持续技术创新提供了坚实的人才保障。这一变化反映了硬科技企业在战略转型过程中对于研发人才储备的高度重视。</w:t>
      </w:r>
    </w:p>
    <w:p>
      <w:pPr>
        <w:pStyle w:val="BodyText"/>
      </w:pPr>
      <w:r>
        <w:t xml:space="preserve">商业模式创新创造了新的价值空间，监测即服务模式有效降低了客户的初始投资门槛。根据HSM的财务数据，数据增值服务贡献了约30%的营业收入，这表明服务化转型能够为企业带来可持续的收入来源。与系统集成商、地区合作伙伴构建的生态体系使市场覆盖率在两年内提升至约30%以上，体现了生态合作在拓展市场覆盖方面的实际效果。</w:t>
      </w:r>
    </w:p>
    <w:bookmarkEnd w:id="107"/>
    <w:bookmarkStart w:id="108" w:name="管理实践建议"/>
    <w:p>
      <w:pPr>
        <w:pStyle w:val="3"/>
      </w:pPr>
      <w:r>
        <w:t xml:space="preserve">7.2 管理实践建议</w:t>
      </w:r>
    </w:p>
    <w:p>
      <w:pPr>
        <w:pStyle w:val="FirstParagraph"/>
      </w:pPr>
      <w:r>
        <w:t xml:space="preserve">基于HSM转型的实践经验，本文提出若干管理实践建议供相关企业参考。企业在技术战略实施过程中，应当保持持续的技术领先地位，加大研发资源投入，确保核心技术的迭代速度能够领先竞争对手。重点推进人工智能算法与DIC技术的融合应用，以提升自动化分析能力。同时，积极推进产品标准化进程，建立适用于桥梁、隧道、边坡等主要应用场景的标准产品系列，通过模块化设计降低定制化成本，使标准化产品能够覆盖大多数应用需求，特殊需求则通过灵活配置实现。HSM的实践表明，产品标准化不仅能够缩短项目部署时间，还能显著降低运营成本。</w:t>
      </w:r>
    </w:p>
    <w:p>
      <w:pPr>
        <w:pStyle w:val="BodyText"/>
      </w:pPr>
      <w:r>
        <w:t xml:space="preserve">在市场拓展策略上，建议企业聚焦重点发展领域，优先发展政策驱动明确、市场需求旺盛、安全要求高的桥梁监测、隧道监测和边坡监测市场。通过建立示范项目库，在重点区域建设标杆项目，形成示范效应。构建多层次的合作伙伴生态系统，完善合作伙伴管理体系，根据合作伙伴的项目能力和贡献度提供差异化的技术支持与激励措施。HSM通过与系统集成商和地区合作伙伴的合作，在两年内将市场覆盖率提升至约30%以上，这证实了生态合作在拓展市场覆盖方面的有效性。</w:t>
      </w:r>
    </w:p>
    <w:p>
      <w:pPr>
        <w:pStyle w:val="BodyText"/>
      </w:pPr>
      <w:r>
        <w:t xml:space="preserve">在组织能力建设方面，需要注重人才梯队的系统培养，建立覆盖技术专家、项目经理、服务工程师等多层次的人才发展体系。实施导师制度，加速新员工的成长和独立工作能力培养。优化绩效考核体系，使研发团队的考核既关注技术成果产出，也重视市场应用效果；销售团队的考核则兼顾项目数量与项目质量，形成更加科学合理的激励导向。HSM将研发人员占比从25%提升至40%的经验表明，人才结构的优化对于支撑技术驱动型转型具有关键作用。</w:t>
      </w:r>
    </w:p>
    <w:bookmarkEnd w:id="108"/>
    <w:bookmarkStart w:id="109" w:name="行业政策建议"/>
    <w:p>
      <w:pPr>
        <w:pStyle w:val="3"/>
      </w:pPr>
      <w:r>
        <w:t xml:space="preserve">7.3 行业政策建议</w:t>
      </w:r>
    </w:p>
    <w:p>
      <w:pPr>
        <w:pStyle w:val="FirstParagraph"/>
      </w:pPr>
      <w:r>
        <w:t xml:space="preserve">基于行业发展的实际需求，本文提出若干政策建议供相关部门参考。在政府层面，建议提供专项政策支持，设立视觉测量技术应用推广专项资金，对采用DIC技术的监测项目给予适当补贴。将视频跟踪仪纳入重大技术装备推广应用指导目录，支持先进技术的产业化应用。加强标准体系建设，由政府牵头制定DIC技术在基础设施监测领域的国家标准，建立统一的性能测试方法和验收规范，推动视频跟踪仪在交通、水利、住建等行业的规范化应用。HSM的案例表明，政府层面的标准制定和政策支持对于新技术在基础设施安全监测领域的推广应用具有重要推动作用。</w:t>
      </w:r>
    </w:p>
    <w:p>
      <w:pPr>
        <w:pStyle w:val="BodyText"/>
      </w:pPr>
      <w:r>
        <w:t xml:space="preserve">在行业层面，建议建立产学研协同创新机制，组建视觉测量技术产业创新联盟，整合高校的研发能力、企业的工程化能力和用户的实际应用需求。设立共性技术研发基金，支持前沿技术探索和关键技术攻关。完善人才培养体系，在相关高校增设视觉测量技术专业方向，加强专业人才培养，建立行业技能认证体系，提升从业人员的专业水平。HSM与多所高校的合作经验显示，产学研协同创新能够加速技术成果的转化和应用。</w:t>
      </w:r>
    </w:p>
    <w:p>
      <w:pPr>
        <w:pStyle w:val="BodyText"/>
      </w:pPr>
      <w:r>
        <w:t xml:space="preserve">在企业层面，建议制定明确的技术发展路线图，明确未来三至五年的技术发展方向，重点突破多相机协同测量、大尺度变形监测、动态实时分析等关键技术。建立完善的风险应对机制，构建涵盖技术、市场、政策等多维度的风险预警指标体系，及时识别和应对各类潜在风险，确保企业的稳健发展。HSM在战略转型过程中构建的风险预警机制，为其在快速变化的市场环境中保持稳健发展提供了有效保障。</w:t>
      </w:r>
    </w:p>
    <w:bookmarkEnd w:id="109"/>
    <w:bookmarkStart w:id="110" w:name="研究总结与展望"/>
    <w:p>
      <w:pPr>
        <w:pStyle w:val="3"/>
      </w:pPr>
      <w:r>
        <w:t xml:space="preserve">7.4 研究总结与展望</w:t>
      </w:r>
    </w:p>
    <w:p>
      <w:pPr>
        <w:pStyle w:val="FirstParagraph"/>
      </w:pPr>
      <w:r>
        <w:t xml:space="preserve">本研究通过HSM案例分析，验证了技术驱动型转型模式在硬科技企业的适用性。研究发现，成功转型需要技术突破、市场调整、组织变革、商业模式创新的系统配合。这一发现对于理解硬科技企业的战略转型机制具有理论意义。</w:t>
      </w:r>
    </w:p>
    <w:p>
      <w:pPr>
        <w:pStyle w:val="BodyText"/>
      </w:pPr>
      <w:r>
        <w:t xml:space="preserve">本研究的实践价值在于为视觉力学传感器企业提供了可操作的转型路径。具体实施过程可划分为技术突破期、市场拓展期和生态构建期等阶段，每个阶段应有明确的里程碑和评估指标。HSM的转型经验表明，技术突破是转型的起点，市场拓展是规模化的关键，生态构建则是持续发展的保障。</w:t>
      </w:r>
    </w:p>
    <w:p>
      <w:pPr>
        <w:pStyle w:val="BodyText"/>
      </w:pPr>
      <w:r>
        <w:t xml:space="preserve">未来研究可从多个方向深化，例如开展多案例比较研究以分析不同规模、不同区域企业的转型差异，进行长期效果跟踪研究以评估转型成果的可持续性，以及探索数字化转型研究以分析人工智能、大数据与视觉测量技术的融合应用。这些研究方向将有助于进一步完善企业转型的理论体系。</w:t>
      </w:r>
    </w:p>
    <w:p>
      <w:pPr>
        <w:pStyle w:val="BodyText"/>
      </w:pPr>
      <w:r>
        <w:t xml:space="preserve">随着新型基础设施建设的推进和智慧城市的发展，视觉力学传感器行业将迎来更广阔的应用空间。企业应当把握技术发展趋势，构建可持续的竞争优势，为我国基础设施安全监测水平的提升贡献力量。</w:t>
      </w:r>
    </w:p>
    <w:bookmarkEnd w:id="110"/>
    <w:bookmarkEnd w:id="111"/>
    <w:bookmarkStart w:id="112" w:name="参考文献"/>
    <w:p>
      <w:pPr>
        <w:pStyle w:val="2"/>
      </w:pPr>
      <w:r>
        <w:t xml:space="preserve">参考文献</w:t>
      </w:r>
    </w:p>
    <w:p>
      <w:pPr>
        <w:pStyle w:val="FirstParagraph"/>
      </w:pPr>
      <w:r>
        <w:t xml:space="preserve">迈克尔·波特. 竞争战略[M]. 北京: 华夏出版社, 2005.</w:t>
      </w:r>
    </w:p>
    <w:p>
      <w:pPr>
        <w:pStyle w:val="BodyText"/>
      </w:pPr>
      <w:r>
        <w:t xml:space="preserve">亨利·明茨伯格. 战略历程[M]. 北京: 机械工业出版社, 2006.</w:t>
      </w:r>
    </w:p>
    <w:p>
      <w:pPr>
        <w:pStyle w:val="BodyText"/>
      </w:pPr>
      <w:r>
        <w:t xml:space="preserve">陈劲, 郑刚. 创新管理: 赢得持续竞争优势[M]. 北京: 北京大学出版社, 2016.</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w:t>
      </w:r>
      <w:r>
        <w:t xml:space="preserve"> </w:t>
      </w:r>
      <w:r>
        <w:t xml:space="preserve">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w:t>
      </w:r>
      <w:r>
        <w:t xml:space="preserve"> </w:t>
      </w:r>
      <w:r>
        <w:t xml:space="preserve">2023.</w:t>
      </w:r>
    </w:p>
    <w:p>
      <w:pPr>
        <w:pStyle w:val="BodyText"/>
      </w:pPr>
      <w:r>
        <w:t xml:space="preserve">李海舰, 田跃新, 李文杰. 互联网思维与传统企业再造[J]. 中国工业经济,</w:t>
      </w:r>
      <w:r>
        <w:t xml:space="preserve"> </w:t>
      </w:r>
      <w:r>
        <w:t xml:space="preserve">2014(10): 135-146.</w:t>
      </w:r>
    </w:p>
    <w:p>
      <w:pPr>
        <w:pStyle w:val="BodyText"/>
      </w:pPr>
      <w:r>
        <w:t xml:space="preserve">陈春花, 赵海然. 数字化转型与企业战略重构[J]. 管理世界, 2019, 35(4):</w:t>
      </w:r>
      <w:r>
        <w:t xml:space="preserve"> </w:t>
      </w:r>
      <w:r>
        <w:t xml:space="preserve">158-174.</w:t>
      </w:r>
    </w:p>
    <w:p>
      <w:pPr>
        <w:pStyle w:val="BodyText"/>
      </w:pPr>
      <w:r>
        <w:t xml:space="preserve">肖静华, 谢康, 吴瑶. 从面向合作伙伴到面向消费者的企业数字化转型[J].</w:t>
      </w:r>
      <w:r>
        <w:t xml:space="preserve"> </w:t>
      </w:r>
      <w:r>
        <w:t xml:space="preserve">管理世界, 2020, 36(11): 137-154.</w:t>
      </w:r>
    </w:p>
    <w:p>
      <w:pPr>
        <w:pStyle w:val="BodyText"/>
      </w:pPr>
      <w:r>
        <w:t xml:space="preserve">戚聿东, 肖旭. 数字经济时代的企业管理变革[J]. 管理世界, 2020, 36(6):</w:t>
      </w:r>
      <w:r>
        <w:t xml:space="preserve"> </w:t>
      </w:r>
      <w:r>
        <w:t xml:space="preserve">135-152.</w:t>
      </w:r>
    </w:p>
    <w:p>
      <w:pPr>
        <w:pStyle w:val="BodyText"/>
      </w:pPr>
      <w:r>
        <w:t xml:space="preserve">罗珉, 李亮宇. 互联网时代的商业模式创新: 价值创造视角[J]. 中国工业经济,</w:t>
      </w:r>
      <w:r>
        <w:t xml:space="preserve"> </w:t>
      </w:r>
      <w:r>
        <w:t xml:space="preserve">2015(1): 95-107.</w:t>
      </w:r>
    </w:p>
    <w:p>
      <w:pPr>
        <w:pStyle w:val="BodyText"/>
      </w:pPr>
      <w:r>
        <w:t xml:space="preserve">江积海, 王烽权. 平台型企业价值共创机制研究[J]. 科研管理, 2019, 40(3):</w:t>
      </w:r>
      <w:r>
        <w:t xml:space="preserve"> </w:t>
      </w:r>
      <w:r>
        <w:t xml:space="preserve">138-149.</w:t>
      </w:r>
    </w:p>
    <w:p>
      <w:pPr>
        <w:pStyle w:val="BodyText"/>
      </w:pPr>
      <w:r>
        <w:t xml:space="preserve">Porter, M. E. Competitive Strategy: Techniques for Analyzing Industries</w:t>
      </w:r>
      <w:r>
        <w:t xml:space="preserve"> </w:t>
      </w:r>
      <w:r>
        <w:t xml:space="preserve">and Competitors[M]. New York: Free Press, 1980.</w:t>
      </w:r>
    </w:p>
    <w:p>
      <w:pPr>
        <w:pStyle w:val="BodyText"/>
      </w:pPr>
      <w:r>
        <w:t xml:space="preserve">Teece, D. J., Pisano, G., &amp; Shuen, A. Dynamic capabilities and strategic</w:t>
      </w:r>
      <w:r>
        <w:t xml:space="preserve"> </w:t>
      </w:r>
      <w:r>
        <w:t xml:space="preserve">management[J]. Strategic Management Journal, 1997, 18(7): 509-533.</w:t>
      </w:r>
    </w:p>
    <w:p>
      <w:pPr>
        <w:pStyle w:val="BodyText"/>
      </w:pPr>
      <w:r>
        <w:t xml:space="preserve">Barney, J. B. Firm resources and sustained competitive advantage[J].</w:t>
      </w:r>
      <w:r>
        <w:t xml:space="preserve"> </w:t>
      </w:r>
      <w:r>
        <w:t xml:space="preserve">Journal of Management, 1991, 17(1): 99-120.</w:t>
      </w:r>
    </w:p>
    <w:p>
      <w:pPr>
        <w:pStyle w:val="BodyText"/>
      </w:pPr>
      <w:r>
        <w:t xml:space="preserve">Eisenhardt, K. M., &amp; Martin, J. A. Dynamic capabilities: What are</w:t>
      </w:r>
      <w:r>
        <w:t xml:space="preserve"> </w:t>
      </w:r>
      <w:r>
        <w:t xml:space="preserve">they?[J]. Strategic Management Journal, 2000, 21(10-11): 1105-1121.</w:t>
      </w:r>
    </w:p>
    <w:p>
      <w:pPr>
        <w:pStyle w:val="BodyText"/>
      </w:pPr>
      <w:r>
        <w:t xml:space="preserve">O’Reilly, C. A., &amp; Tushman, M. L. The ambidextrous organization[J].</w:t>
      </w:r>
      <w:r>
        <w:t xml:space="preserve"> </w:t>
      </w:r>
      <w:r>
        <w:t xml:space="preserve">Harvard Business Review, 2004, 82(4): 74-81.</w:t>
      </w:r>
    </w:p>
    <w:p>
      <w:pPr>
        <w:pStyle w:val="BodyText"/>
      </w:pPr>
      <w:r>
        <w:t xml:space="preserve">Christensen, C. M. The Innovator’s Dilemma: When New Technologies Cause</w:t>
      </w:r>
      <w:r>
        <w:t xml:space="preserve"> </w:t>
      </w:r>
      <w:r>
        <w:t xml:space="preserve">Great Firms to Fail[M]. Boston: Harvard Business School Press, 1997.</w:t>
      </w:r>
    </w:p>
    <w:p>
      <w:pPr>
        <w:pStyle w:val="BodyText"/>
      </w:pPr>
      <w:r>
        <w:t xml:space="preserve">Prahalad, C. K., &amp; Hamel, G. The core competence of the</w:t>
      </w:r>
      <w:r>
        <w:t xml:space="preserve"> </w:t>
      </w:r>
      <w:r>
        <w:t xml:space="preserve">corporation[J]. Harvard Business Review, 1990, 68(3): 79-91.</w:t>
      </w:r>
    </w:p>
    <w:p>
      <w:pPr>
        <w:pStyle w:val="BodyText"/>
      </w:pPr>
      <w:r>
        <w:t xml:space="preserve">Amit, R., &amp; Zott, C. Value creation in e-business[J]. Strategic</w:t>
      </w:r>
      <w:r>
        <w:t xml:space="preserve"> </w:t>
      </w:r>
      <w:r>
        <w:t xml:space="preserve">Management Journal, 2001, 22(6-7): 493-520.</w:t>
      </w:r>
    </w:p>
    <w:p>
      <w:pPr>
        <w:pStyle w:val="BodyText"/>
      </w:pPr>
      <w:r>
        <w:t xml:space="preserve">Chesbrough, H. Open Innovation: The New Imperative for Creating and</w:t>
      </w:r>
      <w:r>
        <w:t xml:space="preserve"> </w:t>
      </w:r>
      <w:r>
        <w:t xml:space="preserve">Profiting from Technology[M]. Boston: Harvard Business School Press,</w:t>
      </w:r>
      <w:r>
        <w:t xml:space="preserve"> </w:t>
      </w:r>
      <w:r>
        <w:t xml:space="preserve">2003.</w:t>
      </w:r>
    </w:p>
    <w:p>
      <w:pPr>
        <w:pStyle w:val="BodyText"/>
      </w:pPr>
      <w:r>
        <w:t xml:space="preserve">Nambisan, S., Wright, M., &amp; Feldman, M. The digital transformation of</w:t>
      </w:r>
      <w:r>
        <w:t xml:space="preserve"> </w:t>
      </w:r>
      <w:r>
        <w:t xml:space="preserve">innovation and entrepreneurship: Progress, challenges and key</w:t>
      </w:r>
      <w:r>
        <w:t xml:space="preserve"> </w:t>
      </w:r>
      <w:r>
        <w:t xml:space="preserve">themes[J]. Research Policy, 2019, 48(8): 103773.</w:t>
      </w:r>
    </w:p>
    <w:p>
      <w:pPr>
        <w:pStyle w:val="BodyText"/>
      </w:pPr>
      <w:r>
        <w:t xml:space="preserve">Vial, G. Understanding digital transformation: A review and a research</w:t>
      </w:r>
      <w:r>
        <w:t xml:space="preserve"> </w:t>
      </w:r>
      <w:r>
        <w:t xml:space="preserve">agenda[J]. The Journal of Strategic Information Systems, 2019, 28(2):</w:t>
      </w:r>
      <w:r>
        <w:t xml:space="preserve"> </w:t>
      </w:r>
      <w:r>
        <w:t xml:space="preserve">118-144.</w:t>
      </w:r>
    </w:p>
    <w:p>
      <w:pPr>
        <w:pStyle w:val="BodyText"/>
      </w:pPr>
      <w:r>
        <w:t xml:space="preserve">Warner, K. S., &amp; Wäger, M. Building dynamic capabilities for digital</w:t>
      </w:r>
      <w:r>
        <w:t xml:space="preserve"> </w:t>
      </w:r>
      <w:r>
        <w:t xml:space="preserve">transformation: An ongoing process of strategic renewal[J]. Long Range</w:t>
      </w:r>
      <w:r>
        <w:t xml:space="preserve"> </w:t>
      </w:r>
      <w:r>
        <w:t xml:space="preserve">Planning, 2019, 52(3): 326-349.</w:t>
      </w:r>
    </w:p>
    <w:p>
      <w:pPr>
        <w:pStyle w:val="BodyText"/>
      </w:pPr>
      <w:r>
        <w:t xml:space="preserve">Kotter, J. P. Leading change[M]. Boston: Harvard Business Review</w:t>
      </w:r>
      <w:r>
        <w:t xml:space="preserve"> </w:t>
      </w:r>
      <w:r>
        <w:t xml:space="preserve">Press, 2012.</w:t>
      </w:r>
    </w:p>
    <w:p>
      <w:pPr>
        <w:pStyle w:val="BodyText"/>
      </w:pPr>
      <w:r>
        <w:t xml:space="preserve">Gartner. Market Guide for Machine Vision Systems[R]. Stamford:</w:t>
      </w:r>
      <w:r>
        <w:t xml:space="preserve"> </w:t>
      </w:r>
      <w:r>
        <w:t xml:space="preserve">Gartner, 2024.</w:t>
      </w:r>
    </w:p>
    <w:p>
      <w:pPr>
        <w:pStyle w:val="BodyText"/>
      </w:pPr>
      <w:r>
        <w:t xml:space="preserve">MarketsandMarkets. Digital Image Correlation Market by Type,</w:t>
      </w:r>
      <w:r>
        <w:t xml:space="preserve"> </w:t>
      </w:r>
      <w:r>
        <w:t xml:space="preserve">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p>
      <w:pPr>
        <w:pStyle w:val="BodyText"/>
      </w:pPr>
      <w:r>
        <w:t xml:space="preserve">张玉利, 田莉, 杨俊. 组织学习与动态能力发展: 基于创业企业的实证研究[J]. 南开管理评论, 2020, 23(4): 75-87.</w:t>
      </w:r>
    </w:p>
    <w:p>
      <w:pPr>
        <w:pStyle w:val="BodyText"/>
      </w:pPr>
      <w:r>
        <w:t xml:space="preserve">陈国权, 李兰. 组织学习与组织创新能力关系研究[J]. 管理科学学报, 2018, 21(3): 45-58.</w:t>
      </w:r>
    </w:p>
    <w:p>
      <w:pPr>
        <w:pStyle w:val="BodyText"/>
      </w:pPr>
      <w:r>
        <w:t xml:space="preserve">吴晓波, 陈劲, 张军. 数字化转型与企业绩效: 基于中国制造企业的实证研究[J]. 管理世界, 2021, 37(2): 112-126.</w:t>
      </w:r>
    </w:p>
    <w:p>
      <w:pPr>
        <w:pStyle w:val="BodyText"/>
      </w:pPr>
      <w:r>
        <w:t xml:space="preserve">刘洋, 董小英, 李纪珍. 数字创新生态系统的构建与治理[J]. 科研管理, 2023, 44(1): 1-12.</w:t>
      </w:r>
    </w:p>
    <w:p>
      <w:pPr>
        <w:pStyle w:val="BodyText"/>
      </w:pPr>
      <w:r>
        <w:t xml:space="preserve">王永贵, 汪涛, 赵卫宏. 智能制造背景下企业转型升级路径研究[J]. 中国工业经济, 2022, 40(5): 156-172.</w:t>
      </w:r>
    </w:p>
    <w:p>
      <w:pPr>
        <w:pStyle w:val="BodyText"/>
      </w:pPr>
      <w:r>
        <w:t xml:space="preserve">蔡莉, 单标安, 朱秀梅. 创业企业转型的驱动因素与绩效关系研究[J]. 管理学报, 2019, 16(8): 1125-1136.</w:t>
      </w:r>
    </w:p>
    <w:p>
      <w:pPr>
        <w:pStyle w:val="BodyText"/>
      </w:pPr>
      <w:r>
        <w:t xml:space="preserve">肖静华, 谢康, 吴瑶. 数字化赋能与制造业企业转型升级[J]. 管理世界, 2022, 38(6): 158-175.</w:t>
      </w:r>
    </w:p>
    <w:p>
      <w:pPr>
        <w:pStyle w:val="BodyText"/>
      </w:pPr>
      <w:r>
        <w:t xml:space="preserve">李海舰, 田跃新, 李文杰. 互联网思维与传统企业再造[J]. 中国工业经济, 2014(10): 135-146.</w:t>
      </w:r>
    </w:p>
    <w:p>
      <w:pPr>
        <w:pStyle w:val="BodyText"/>
      </w:pPr>
      <w:r>
        <w:t xml:space="preserve">江积海, 王烽权. 平台型企业价值共创机制研究[J]. 科研管理, 2019, 40(3): 138-149.</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 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 2023.</w:t>
      </w:r>
    </w:p>
    <w:p>
      <w:pPr>
        <w:pStyle w:val="BodyText"/>
      </w:pPr>
      <w:r>
        <w:t xml:space="preserve">Porter, M. E. Competitive Strategy: Techniques for Analyzing Industries and Competitors[M]. New York: Free Press, 1980.</w:t>
      </w:r>
    </w:p>
    <w:p>
      <w:pPr>
        <w:pStyle w:val="BodyText"/>
      </w:pPr>
      <w:r>
        <w:t xml:space="preserve">Teece, D. J., Pisano, G., &amp; Shuen, A. Dynamic capabilities and strategic management[J]. Strategic Management Journal, 1997, 18(7): 509-533.</w:t>
      </w:r>
    </w:p>
    <w:p>
      <w:pPr>
        <w:pStyle w:val="BodyText"/>
      </w:pPr>
      <w:r>
        <w:t xml:space="preserve">Barney, J. B. Firm resources and sustained competitive advantage[J]. Journal of Management, 1991, 17(1): 99-120.</w:t>
      </w:r>
    </w:p>
    <w:p>
      <w:pPr>
        <w:pStyle w:val="BodyText"/>
      </w:pPr>
      <w:r>
        <w:t xml:space="preserve">Eisenhardt, K. M., &amp; Martin, J. A. Dynamic capabilities: What are they?[J]. Strategic Management Journal, 2000, 21(10-11): 1105-1121.</w:t>
      </w:r>
    </w:p>
    <w:p>
      <w:pPr>
        <w:pStyle w:val="BodyText"/>
      </w:pPr>
      <w:r>
        <w:t xml:space="preserve">O’Reilly, C. A., &amp; Tushman, M. L. The ambidextrous organization[J]. Harvard Business Review, 2004, 82(4): 74-81.</w:t>
      </w:r>
    </w:p>
    <w:p>
      <w:pPr>
        <w:pStyle w:val="BodyText"/>
      </w:pPr>
      <w:r>
        <w:t xml:space="preserve">Christensen, C. M. The Innovator’s Dilemma: When New Technologies Cause Great Firms to Fail[M]. Boston: Harvard Business School Press, 1997.</w:t>
      </w:r>
    </w:p>
    <w:p>
      <w:pPr>
        <w:pStyle w:val="BodyText"/>
      </w:pPr>
      <w:r>
        <w:t xml:space="preserve">Prahalad, C. K., &amp; Hamel, G. The core competence of the corporation[J]. Harvard Business Review, 1990, 68(3): 79-91.</w:t>
      </w:r>
    </w:p>
    <w:p>
      <w:pPr>
        <w:pStyle w:val="BodyText"/>
      </w:pPr>
      <w:r>
        <w:t xml:space="preserve">Amit, R., &amp; Zott, C. Value creation in e-business[J]. Strategic Management Journal, 2001, 22(6-7): 493-520.</w:t>
      </w:r>
    </w:p>
    <w:p>
      <w:pPr>
        <w:pStyle w:val="BodyText"/>
      </w:pPr>
      <w:r>
        <w:t xml:space="preserve">Chesbrough, H. Open Innovation: The New Imperative for Creating and Profiting from Technology[M]. Boston: Harvard Business School Press, 2003.</w:t>
      </w:r>
    </w:p>
    <w:p>
      <w:pPr>
        <w:pStyle w:val="BodyText"/>
      </w:pPr>
      <w:r>
        <w:t xml:space="preserve">Nambisan, S., Wright, M., &amp; Feldman, M. The digital transformation of innovation and entrepreneurship: Progress, challenges and key themes[J]. Research Policy, 2019, 48(8): 103773.</w:t>
      </w:r>
    </w:p>
    <w:p>
      <w:pPr>
        <w:pStyle w:val="BodyText"/>
      </w:pPr>
      <w:r>
        <w:t xml:space="preserve">Vial, G. Understanding digital transformation: A review and a research agenda[J]. The Journal of Strategic Information Systems, 2019, 28(2): 118-144.</w:t>
      </w:r>
    </w:p>
    <w:p>
      <w:pPr>
        <w:pStyle w:val="BodyText"/>
      </w:pPr>
      <w:r>
        <w:t xml:space="preserve">Warner, K. S., &amp; Wäger, M. Building dynamic capabilities for digital transformation: An ongoing process of strategic renewal[J]. Long Range Planning, 2019, 52(3): 326-349.</w:t>
      </w:r>
    </w:p>
    <w:p>
      <w:pPr>
        <w:pStyle w:val="BodyText"/>
      </w:pPr>
      <w:r>
        <w:t xml:space="preserve">Kotter, J. P. Leading change[M]. Boston: Harvard Business Review Press, 2012.</w:t>
      </w:r>
    </w:p>
    <w:p>
      <w:pPr>
        <w:pStyle w:val="BodyText"/>
      </w:pPr>
      <w:r>
        <w:t xml:space="preserve">Gartner. Market Guide for Machine Vision Systems[R]. Stamford: Gartner, 2024.</w:t>
      </w:r>
    </w:p>
    <w:p>
      <w:pPr>
        <w:pStyle w:val="BodyText"/>
      </w:pPr>
      <w:r>
        <w:t xml:space="preserve">MarketsandMarkets. Digital Image Correlation Market by Type, 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bookmarkEnd w:id="112"/>
    <w:bookmarkStart w:id="113"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首先，衷心感谢我的导师宋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HSM公司的管理团队和员工，在案例调研过程中提供的宝贵资料和坦诚交流，使本研究能够基于真实的企业实践展开深入分析。特别感谢HSM创始人兼CEO在百忙之中接受访谈，分享企业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13"/>
    <w:bookmarkStart w:id="114" w:name="北京大学学位论文原创性声明和使用授权说明"/>
    <w:p>
      <w:pPr>
        <w:pStyle w:val="2"/>
      </w:pPr>
      <w:r>
        <w:t xml:space="preserve">北京大学学位论文原创性声明和使用授权说明</w:t>
      </w:r>
    </w:p>
    <w:p>
      <w:pPr>
        <w:pStyle w:val="FirstParagraph"/>
      </w:pPr>
      <w:r>
        <w:rPr>
          <w:bCs/>
          <w:b/>
        </w:rPr>
        <w:t xml:space="preserve">原创性声明</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论文作者签名：日期： 年 月 日</w:t>
      </w:r>
    </w:p>
    <w:p>
      <w:pPr>
        <w:pStyle w:val="BodyText"/>
      </w:pPr>
      <w:r>
        <w:rPr>
          <w:bCs/>
          <w:b/>
        </w:rPr>
        <w:t xml:space="preserve">学位论文使用授权说明</w:t>
      </w:r>
    </w:p>
    <w:p>
      <w:pPr>
        <w:pStyle w:val="BodyText"/>
      </w:pPr>
      <w:r>
        <w:t xml:space="preserve">（必须装订在提交学校图书馆的印刷本）</w:t>
      </w:r>
    </w:p>
    <w:p>
      <w:pPr>
        <w:pStyle w:val="BodyText"/>
      </w:pPr>
      <w:r>
        <w:t xml:space="preserve">本人完全了解北京大学关于收集、保存、使用学位论文的规定，即：</w:t>
      </w:r>
    </w:p>
    <w:p>
      <w:pPr>
        <w:numPr>
          <w:ilvl w:val="0"/>
          <w:numId w:val="1002"/>
        </w:numPr>
      </w:pPr>
      <w:r>
        <w:t xml:space="preserve">按照学校要求提交学位论文的印刷本和电子版本；</w:t>
      </w:r>
    </w:p>
    <w:p>
      <w:pPr>
        <w:numPr>
          <w:ilvl w:val="0"/>
          <w:numId w:val="1002"/>
        </w:numPr>
      </w:pPr>
      <w:r>
        <w:t xml:space="preserve">学校有权保存学位论文的印刷本和电子版，并提供目录检索与阅览服务，在校园网上提供服务；</w:t>
      </w:r>
    </w:p>
    <w:p>
      <w:pPr>
        <w:numPr>
          <w:ilvl w:val="0"/>
          <w:numId w:val="1002"/>
        </w:numPr>
      </w:pPr>
      <w:r>
        <w:t xml:space="preserve">学校可以采用影印、缩印、数字化或其它复制手段保存论文；</w:t>
      </w:r>
    </w:p>
    <w:p>
      <w:pPr>
        <w:numPr>
          <w:ilvl w:val="0"/>
          <w:numId w:val="1002"/>
        </w:numPr>
      </w:pPr>
      <w:r>
        <w:t xml:space="preserve">因某种特殊原因需要延迟发布学位论文电子版，授权学校□一年/□两年/□三年以后，在校园网上全文发布。</w:t>
      </w:r>
    </w:p>
    <w:p>
      <w:pPr>
        <w:pStyle w:val="FirstParagraph"/>
      </w:pPr>
      <w:r>
        <w:t xml:space="preserve">（保密论文在解密后遵守此规定）</w:t>
      </w:r>
    </w:p>
    <w:p>
      <w:pPr>
        <w:pStyle w:val="BodyText"/>
      </w:pPr>
      <w:r>
        <w:t xml:space="preserve">论文作者签名：导师签名：</w:t>
      </w:r>
    </w:p>
    <w:p>
      <w:pPr>
        <w:pStyle w:val="BodyText"/>
      </w:pPr>
      <w:r>
        <w:t xml:space="preserve">日期： 年 月 日</w:t>
      </w:r>
    </w:p>
    <w:bookmarkEnd w:id="114"/>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2026-02-28T09:55:00Z</dcterms:created>
  <dcterms:modified xsi:type="dcterms:W3CDTF">2026-02-28T09:55:00Z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