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media/" ContentType="application/octet-stream"/>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������������������������������������������������������HSM������</w:t>
      </w:r>
    </w:p>
    <w:p>
      <w:pPr>
        <w:pStyle w:val="Author"/>
      </w:pPr>
      <w:r>
        <w:t xml:space="preserve">������</w:t>
      </w:r>
    </w:p>
    <w:p>
      <w:pPr>
        <w:pStyle w:val="8"/>
      </w:pPr>
      <w:r>
        <w:t xml:space="preserve">���������������������</w:t>
      </w:r>
    </w:p>
    <w:sdt>
      <w:sdtPr>
        <w:docPartObj>
          <w:docPartGallery w:val="Table of Contents"/>
          <w:docPartUnique/>
        </w:docPartObj>
      </w:sdtPr>
      <w:sdtContent>
        <w:p>
          <w:pPr>
            <w:pStyle w:val="31"/>
          </w:pPr>
          <w:r>
            <w:t xml:space="preserve">Table of Contents</w:t>
          </w:r>
        </w:p>
        <w:p>
          <w:r>
            <w:fldChar w:fldCharType="begin" w:dirty="true"/>
            <w:instrText xml:space="preserve">TOC \o "1-3" \h \z \u</w:instrText>
            <w:fldChar w:fldCharType="separate"/>
            <w:fldChar w:fldCharType="end"/>
          </w:r>
        </w:p>
      </w:sdtContent>
    </w:sdt>
    <w:bookmarkStart w:id="22" w:name="视觉力学传感器企业战略转型研究以hsm为例"/>
    <w:p>
      <w:pPr>
        <w:pStyle w:val="2"/>
      </w:pPr>
      <w:r>
        <w:t xml:space="preserve">视觉力学传感器企业战略转型研究——以HSM为例</w:t>
      </w:r>
    </w:p>
    <w:bookmarkStart w:id="21" w:name="X19cb4886134ade5e083b70b36f830d0638601e2"/>
    <w:p>
      <w:pPr>
        <w:pStyle w:val="3"/>
      </w:pPr>
      <w:r>
        <w:t xml:space="preserve">Research on Strategic Transformation of Vision Force Sensor Enterprises——Taking HSM as an Example</w:t>
      </w:r>
    </w:p>
    <w:bookmarkStart w:id="20" w:name="硕士学位论文"/>
    <w:p>
      <w:pPr>
        <w:pStyle w:val="4"/>
      </w:pPr>
      <w:r>
        <w:t xml:space="preserve">硕士学位论文</w:t>
      </w:r>
    </w:p>
    <w:p>
      <w:pPr>
        <w:pStyle w:val="FirstParagraph"/>
      </w:pPr>
      <w:r>
        <w:rPr>
          <w:bCs/>
          <w:b/>
        </w:rPr>
        <w:t xml:space="preserve">作者：老毕</w:t>
      </w:r>
    </w:p>
    <w:p>
      <w:pPr>
        <w:pStyle w:val="BodyText"/>
      </w:pPr>
      <w:r>
        <w:rPr>
          <w:bCs/>
          <w:b/>
        </w:rPr>
        <w:t xml:space="preserve">学院：北京大学汇丰商学院</w:t>
      </w:r>
    </w:p>
    <w:p>
      <w:pPr>
        <w:pStyle w:val="BodyText"/>
      </w:pPr>
      <w:r>
        <w:rPr>
          <w:bCs/>
          <w:b/>
        </w:rPr>
        <w:t xml:space="preserve">专业：高级管理人员工商管理硕士（EMBA）</w:t>
      </w:r>
    </w:p>
    <w:p>
      <w:pPr>
        <w:pStyle w:val="BodyText"/>
      </w:pPr>
      <w:r>
        <w:rPr>
          <w:bCs/>
          <w:b/>
        </w:rPr>
        <w:t xml:space="preserve">导师：宋教授</w:t>
      </w:r>
    </w:p>
    <w:p>
      <w:pPr>
        <w:pStyle w:val="BodyText"/>
      </w:pPr>
      <w:r>
        <w:rPr>
          <w:bCs/>
          <w:b/>
        </w:rPr>
        <w:t xml:space="preserve">日期：2026年2月</w:t>
      </w:r>
    </w:p>
    <w:p>
      <w:r>
        <w:pict>
          <v:rect style="width:0;height:1.5pt" o:hralign="center" o:hrstd="t" o:hr="t"/>
        </w:pict>
      </w:r>
    </w:p>
    <w:bookmarkEnd w:id="20"/>
    <w:bookmarkEnd w:id="21"/>
    <w:bookmarkEnd w:id="22"/>
    <w:bookmarkStart w:id="23" w:name="视觉力学传感器企业战略转型研究以hsm为例-1"/>
    <w:p>
      <w:pPr>
        <w:pStyle w:val="2"/>
      </w:pPr>
      <w:r>
        <w:t xml:space="preserve">视觉力学传感器企业战略转型研究——以HSM为例</w:t>
      </w:r>
    </w:p>
    <w:p>
      <w:pPr>
        <w:pStyle w:val="FirstParagraph"/>
      </w:pPr>
      <w:r>
        <w:rPr>
          <w:bCs/>
          <w:b/>
        </w:rPr>
        <w:t xml:space="preserve">摘要</w:t>
      </w:r>
    </w:p>
    <w:p>
      <w:pPr>
        <w:pStyle w:val="BodyText"/>
      </w:pPr>
      <w:r>
        <w:t xml:space="preserve">本文以深圳市海塞姆科技有限公司（HSM）为案例，研究视觉力学传感器企业在数字化转型和国产替代背景下的战略转型问题。随着中美科技竞争常态化和工业4.0战略的深入推进，视觉力学传感器作为基础设施安全监测的核心技术，正从实验室科研工具向工业级标准化产品快速演进。HSM作为全球领先的DIC视觉传感技术方案提供商，在快速发展过程中面临从项目制向产品化转型的战略挑战。</w:t>
      </w:r>
    </w:p>
    <w:p>
      <w:pPr>
        <w:pStyle w:val="BodyText"/>
      </w:pPr>
      <w:r>
        <w:t xml:space="preserve">本研究采用案例研究法，结合文献研究、PEST分析、波特五力模型、SWOT分析等研究方法，系统分析HSM战略转型的动因、实施路径和成效。研究发现，项目制模式导致回款周期长（应收账款周转天数达270天）、人员成本高企等问题，推动公司向产品化转型。转型实施路径包括：技术战略上构建第三代DIC技术为核心的三大产品线；市场战略上从科研市场向工业市场拓展；组织战略上优化人才结构（研发人员占比从25%提升至45%）；数字化转型上建设安全监测大模型平台；生态合作上构建产学研用协同创新体系。</w:t>
      </w:r>
    </w:p>
    <w:p>
      <w:pPr>
        <w:pStyle w:val="BodyText"/>
      </w:pPr>
      <w:r>
        <w:t xml:space="preserve">转型成效评估显示，HSM在财务绩效、市场地位、技术创新、组织能力、可持续发展五个维度均取得显著提升：毛利率从45%提升至65%，净利率从8%提升至18%，应收账款周转天数从270天缩短至90天，人均产值提升2.5倍。研究结论表明，硬科技企业的战略转型需要以技术创新为核心驱动力，通过产品标准化、组织重构和生态合作构建可持续竞争优势。</w:t>
      </w:r>
    </w:p>
    <w:p>
      <w:pPr>
        <w:pStyle w:val="BodyText"/>
      </w:pPr>
      <w:r>
        <w:t xml:space="preserve">本研究丰富了科技型企业转型理论体系，为同类企业提供了可借鉴的转型路径，为政策制定提供了决策依据。</w:t>
      </w:r>
    </w:p>
    <w:p>
      <w:pPr>
        <w:pStyle w:val="BodyText"/>
      </w:pPr>
      <w:r>
        <w:rPr>
          <w:bCs/>
          <w:b/>
        </w:rPr>
        <w:t xml:space="preserve">关键词</w:t>
      </w:r>
      <w:r>
        <w:t xml:space="preserve">：视觉力学传感器；企业战略转型；数字化转型；硬科技企业；DIC技术；海塞姆科技</w:t>
      </w:r>
    </w:p>
    <w:bookmarkEnd w:id="23"/>
    <w:bookmarkStart w:id="24" w:name="X73ae375e122031e3ba5d87b48f1708721f05d1b"/>
    <w:p>
      <w:pPr>
        <w:pStyle w:val="2"/>
      </w:pPr>
      <w:r>
        <w:t xml:space="preserve">Research on Strategic Transformation of Visual Force Sensor Enterprises——A Case Study of HSM</w:t>
      </w:r>
    </w:p>
    <w:p>
      <w:pPr>
        <w:pStyle w:val="FirstParagraph"/>
      </w:pPr>
      <w:r>
        <w:rPr>
          <w:bCs/>
          <w:b/>
        </w:rPr>
        <w:t xml:space="preserve">Abstract</w:t>
      </w:r>
    </w:p>
    <w:p>
      <w:pPr>
        <w:pStyle w:val="BodyText"/>
      </w:pPr>
      <w:r>
        <w:t xml:space="preserve">This paper takes Shenzhen Haytham Technology Co., Ltd. (HSM) as a case study to examine the strategic transformation of visual force sensor enterprises in the context of digital transformation and domestic substitution. With the normalization of Sino-US technological competition and the deepening of Industry 4.0 strategy, visual force sensors, as the core technology for infrastructure safety monitoring, are rapidly evolving from laboratory research tools to industrial-grade standardized products. As a globally leading provider of DIC visual sensing technology solutions, HSM faces strategic challenges in transitioning from project-based to product-driven business models during its rapid development.</w:t>
      </w:r>
    </w:p>
    <w:p>
      <w:pPr>
        <w:pStyle w:val="BodyText"/>
      </w:pPr>
      <w:r>
        <w:t xml:space="preserve">This research adopts a case study methodology, combining literature review, PEST analysis, Porter’s Five Forces model, and SWOT analysis to systematically analyze the drivers, implementation paths, and outcomes of HSM’s strategic transformation. The study finds that the project-based model led to issues such as long payment cycles (accounts receivable turnover days reaching 270 days) and high personnel costs, driving the company’s shift toward productization. The transformation implementation path includes: technological strategy—building three major product lines centered on third-generation DIC technology; market strategy—expanding from research markets to industrial markets; organizational strategy—optimizing talent structure (R&amp;D personnel ratio increased from 25% to 45%); digital transformation—constructing a safety monitoring large model platform; and ecosystem collaboration—establishing an industry-academia-research-application collaborative innovation system.</w:t>
      </w:r>
    </w:p>
    <w:p>
      <w:pPr>
        <w:pStyle w:val="BodyText"/>
      </w:pPr>
      <w:r>
        <w:t xml:space="preserve">The transformation effectiveness evaluation shows that HSM has achieved significant improvements across five dimensions: financial performance, market position, technological innovation, organizational capability, and sustainable development. Gross profit margin increased from 45% to 65%, net profit margin from 8% to 18%, accounts receivable turnover days shortened from 270 to 90 days, and per capita output increased by 2.5 times. The research concludes that strategic transformation of hard-tech enterprises must be driven by technological innovation, building sustainable competitive advantages through product standardization, organizational restructuring, and ecosystem collaboration.</w:t>
      </w:r>
    </w:p>
    <w:p>
      <w:pPr>
        <w:pStyle w:val="BodyText"/>
      </w:pPr>
      <w:r>
        <w:t xml:space="preserve">This study enriches the theoretical framework of technology enterprise transformation, provides actionable transformation pathways for similar enterprises, and offers decision-making references for policy formulation.</w:t>
      </w:r>
    </w:p>
    <w:p>
      <w:pPr>
        <w:pStyle w:val="BodyText"/>
      </w:pPr>
      <w:r>
        <w:rPr>
          <w:bCs/>
          <w:b/>
        </w:rPr>
        <w:t xml:space="preserve">Keywords</w:t>
      </w:r>
      <w:r>
        <w:t xml:space="preserve">: Visual force sensor; Enterprise strategic transformation; Digital transformation; Hard-tech enterprise; DIC technology; Haytham Technology</w:t>
      </w:r>
    </w:p>
    <w:bookmarkEnd w:id="24"/>
    <w:bookmarkStart w:id="25" w:name="目录"/>
    <w:p>
      <w:pPr>
        <w:pStyle w:val="2"/>
      </w:pPr>
      <w:r>
        <w:t xml:space="preserve">目录</w:t>
      </w:r>
    </w:p>
    <w:p>
      <w:pPr>
        <w:pStyle w:val="FirstParagraph"/>
      </w:pPr>
      <w:hyperlink w:anchor="第一章-绪论">
        <w:r>
          <w:rPr>
            <w:rStyle w:val="18"/>
          </w:rPr>
          <w:t xml:space="preserve">第一章 绪论</w:t>
        </w:r>
      </w:hyperlink>
      <w:r>
        <w:br/>
      </w:r>
      <w:hyperlink w:anchor="X8937dabc5ce3e80c7ed9121b0956503b5e6a27c">
        <w:r>
          <w:rPr>
            <w:rStyle w:val="18"/>
          </w:rPr>
          <w:t xml:space="preserve">1.1 研究背景</w:t>
        </w:r>
      </w:hyperlink>
      <w:r>
        <w:br/>
      </w:r>
      <w:hyperlink w:anchor="Xac6e889beb8980f85744bdfdd539502a3a3c463">
        <w:r>
          <w:rPr>
            <w:rStyle w:val="18"/>
          </w:rPr>
          <w:t xml:space="preserve">1.2 研究意义</w:t>
        </w:r>
      </w:hyperlink>
      <w:r>
        <w:br/>
      </w:r>
      <w:hyperlink w:anchor="X3c3f6f5f1eb4dbcfb6d8332c8f67cff38fe6b62">
        <w:r>
          <w:rPr>
            <w:rStyle w:val="18"/>
          </w:rPr>
          <w:t xml:space="preserve">1.3 研究内容与方法</w:t>
        </w:r>
      </w:hyperlink>
      <w:r>
        <w:br/>
      </w:r>
      <w:hyperlink w:anchor="X42be0e34395e43e9ce6fceb4e0fd078de1453d0">
        <w:r>
          <w:rPr>
            <w:rStyle w:val="18"/>
          </w:rPr>
          <w:t xml:space="preserve">1.4 论文结构安排</w:t>
        </w:r>
      </w:hyperlink>
    </w:p>
    <w:p>
      <w:pPr>
        <w:pStyle w:val="BodyText"/>
      </w:pPr>
      <w:hyperlink w:anchor="第二章-理论基础与文献综述">
        <w:r>
          <w:rPr>
            <w:rStyle w:val="18"/>
          </w:rPr>
          <w:t xml:space="preserve">第二章 理论基础与文献综述</w:t>
        </w:r>
      </w:hyperlink>
      <w:r>
        <w:br/>
      </w:r>
      <w:hyperlink w:anchor="X39004fd6e979ce8eb55e93efabd486e6de7b00d">
        <w:r>
          <w:rPr>
            <w:rStyle w:val="18"/>
          </w:rPr>
          <w:t xml:space="preserve">2.1 企业战略转型理论</w:t>
        </w:r>
      </w:hyperlink>
      <w:r>
        <w:br/>
      </w:r>
      <w:hyperlink w:anchor="X28f94017042edd437d59b7342183440a9baee00">
        <w:r>
          <w:rPr>
            <w:rStyle w:val="18"/>
          </w:rPr>
          <w:t xml:space="preserve">2.2 视觉力学传感器行业概述</w:t>
        </w:r>
      </w:hyperlink>
      <w:r>
        <w:br/>
      </w:r>
      <w:hyperlink w:anchor="X88b949a6394ba473ed68065a21a05ea09757410">
        <w:r>
          <w:rPr>
            <w:rStyle w:val="18"/>
          </w:rPr>
          <w:t xml:space="preserve">2.3 相关研究进展</w:t>
        </w:r>
      </w:hyperlink>
    </w:p>
    <w:p>
      <w:pPr>
        <w:pStyle w:val="BodyText"/>
      </w:pPr>
      <w:hyperlink w:anchor="第三章-hsm公司外部环境分析">
        <w:r>
          <w:rPr>
            <w:rStyle w:val="18"/>
          </w:rPr>
          <w:t xml:space="preserve">第三章 HSM公司外部环境分析</w:t>
        </w:r>
      </w:hyperlink>
      <w:r>
        <w:br/>
      </w:r>
      <w:hyperlink w:anchor="X8114d9aa034409c3358bcb6f1a5a786b7610598">
        <w:r>
          <w:rPr>
            <w:rStyle w:val="18"/>
          </w:rPr>
          <w:t xml:space="preserve">3.1 宏观环境PEST分析</w:t>
        </w:r>
      </w:hyperlink>
      <w:r>
        <w:br/>
      </w:r>
      <w:hyperlink w:anchor="X04fb151a3e84f4a3286ea911eb1adcc56fc2faf">
        <w:r>
          <w:rPr>
            <w:rStyle w:val="18"/>
          </w:rPr>
          <w:t xml:space="preserve">3.2 行业环境波特五力模型分析</w:t>
        </w:r>
      </w:hyperlink>
      <w:r>
        <w:br/>
      </w:r>
      <w:hyperlink w:anchor="X8b44b19f1f69274e87040fb989efe432390b637">
        <w:r>
          <w:rPr>
            <w:rStyle w:val="18"/>
          </w:rPr>
          <w:t xml:space="preserve">3.3 主要竞争对手分析</w:t>
        </w:r>
      </w:hyperlink>
    </w:p>
    <w:p>
      <w:pPr>
        <w:pStyle w:val="BodyText"/>
      </w:pPr>
      <w:hyperlink w:anchor="第四章-hsm战略转型的动因分析">
        <w:r>
          <w:rPr>
            <w:rStyle w:val="18"/>
          </w:rPr>
          <w:t xml:space="preserve">第四章 HSM战略转型的动因分析</w:t>
        </w:r>
      </w:hyperlink>
      <w:r>
        <w:br/>
      </w:r>
      <w:hyperlink w:anchor="X2eb72bb5b3cafda9c928386b9db2c75b81c60a0">
        <w:r>
          <w:rPr>
            <w:rStyle w:val="18"/>
          </w:rPr>
          <w:t xml:space="preserve">4.1 外部动因分析</w:t>
        </w:r>
      </w:hyperlink>
      <w:r>
        <w:br/>
      </w:r>
      <w:hyperlink w:anchor="Xd2fab62ae2ddc62fb58d3da7a34e6063662fbb4">
        <w:r>
          <w:rPr>
            <w:rStyle w:val="18"/>
          </w:rPr>
          <w:t xml:space="preserve">4.2 内部动因分析</w:t>
        </w:r>
      </w:hyperlink>
    </w:p>
    <w:p>
      <w:pPr>
        <w:pStyle w:val="BodyText"/>
      </w:pPr>
      <w:hyperlink w:anchor="第五章-hsm战略转型的实施路径">
        <w:r>
          <w:rPr>
            <w:rStyle w:val="18"/>
          </w:rPr>
          <w:t xml:space="preserve">第五章 HSM战略转型的实施路径</w:t>
        </w:r>
      </w:hyperlink>
      <w:r>
        <w:br/>
      </w:r>
      <w:hyperlink w:anchor="X9d4f70ea959f2c30571d74c9653405912fd5617">
        <w:r>
          <w:rPr>
            <w:rStyle w:val="18"/>
          </w:rPr>
          <w:t xml:space="preserve">5.1 技术战略实施路径</w:t>
        </w:r>
      </w:hyperlink>
      <w:r>
        <w:br/>
      </w:r>
      <w:hyperlink w:anchor="Xa81d6fe2055d5ed923b8685cabe8cc28435b41b">
        <w:r>
          <w:rPr>
            <w:rStyle w:val="18"/>
          </w:rPr>
          <w:t xml:space="preserve">5.2 市场战略实施路径</w:t>
        </w:r>
      </w:hyperlink>
      <w:r>
        <w:br/>
      </w:r>
      <w:hyperlink w:anchor="X8f66271ad9a96ad73b017ce97856bd74ec34e5d">
        <w:r>
          <w:rPr>
            <w:rStyle w:val="18"/>
          </w:rPr>
          <w:t xml:space="preserve">5.3 组织战略实施路径</w:t>
        </w:r>
      </w:hyperlink>
      <w:r>
        <w:br/>
      </w:r>
      <w:hyperlink w:anchor="Xf8d71a1ed6f755653b452aa186e455e0c835e26">
        <w:r>
          <w:rPr>
            <w:rStyle w:val="18"/>
          </w:rPr>
          <w:t xml:space="preserve">5.4 数字化转型实施路径</w:t>
        </w:r>
      </w:hyperlink>
      <w:r>
        <w:br/>
      </w:r>
      <w:hyperlink w:anchor="X78956153439019f8e74505812b7f19f4c47f47e">
        <w:r>
          <w:rPr>
            <w:rStyle w:val="18"/>
          </w:rPr>
          <w:t xml:space="preserve">5.5 生态合作实施路径</w:t>
        </w:r>
      </w:hyperlink>
    </w:p>
    <w:p>
      <w:pPr>
        <w:pStyle w:val="BodyText"/>
      </w:pPr>
      <w:hyperlink w:anchor="第六章-市场分析与商业模式优化">
        <w:r>
          <w:rPr>
            <w:rStyle w:val="18"/>
          </w:rPr>
          <w:t xml:space="preserve">第六章 市场分析与商业模式优化</w:t>
        </w:r>
      </w:hyperlink>
      <w:r>
        <w:br/>
      </w:r>
      <w:hyperlink w:anchor="Xd2cb4397e83f013b335674fd9e2c2440b48e78f">
        <w:r>
          <w:rPr>
            <w:rStyle w:val="18"/>
          </w:rPr>
          <w:t xml:space="preserve">6.1 国内基础设施安全监测市场概况</w:t>
        </w:r>
      </w:hyperlink>
      <w:r>
        <w:br/>
      </w:r>
      <w:hyperlink w:anchor="X1c75d96f30ff9dc24d8feee85476c9764267549">
        <w:r>
          <w:rPr>
            <w:rStyle w:val="18"/>
          </w:rPr>
          <w:t xml:space="preserve">6.2 方案厂家体量与竞争格局</w:t>
        </w:r>
      </w:hyperlink>
      <w:r>
        <w:br/>
      </w:r>
      <w:hyperlink w:anchor="X0fbd1c13d8a0e51eeb4883235d9fdd8e7694eee">
        <w:r>
          <w:rPr>
            <w:rStyle w:val="18"/>
          </w:rPr>
          <w:t xml:space="preserve">6.3 视频跟踪仪应用规模分析</w:t>
        </w:r>
      </w:hyperlink>
      <w:r>
        <w:br/>
      </w:r>
      <w:hyperlink w:anchor="X0bf736bce20c350f94a2bf78cdbef202e7bd1d0">
        <w:r>
          <w:rPr>
            <w:rStyle w:val="18"/>
          </w:rPr>
          <w:t xml:space="preserve">6.4 商业模式优化：成本优势与产品优势分析</w:t>
        </w:r>
      </w:hyperlink>
      <w:r>
        <w:br/>
      </w:r>
      <w:hyperlink w:anchor="X98085a6ef6cd3804b959d27ccd73d031e313750">
        <w:r>
          <w:rPr>
            <w:rStyle w:val="18"/>
          </w:rPr>
          <w:t xml:space="preserve">6.5 长期战略合作伙伴关系构建</w:t>
        </w:r>
      </w:hyperlink>
      <w:r>
        <w:br/>
      </w:r>
      <w:hyperlink w:anchor="Xca46add09e8f1cb9d0a2e9629eacc322286a69c">
        <w:r>
          <w:rPr>
            <w:rStyle w:val="18"/>
          </w:rPr>
          <w:t xml:space="preserve">6.6 市场拓展策略与实施路径</w:t>
        </w:r>
      </w:hyperlink>
      <w:r>
        <w:br/>
      </w:r>
      <w:hyperlink w:anchor="X3763b0db5a5b2d3e94506efb275bd2b82f5dfdc">
        <w:r>
          <w:rPr>
            <w:rStyle w:val="18"/>
          </w:rPr>
          <w:t xml:space="preserve">6.7 风险分析与应对措施</w:t>
        </w:r>
      </w:hyperlink>
    </w:p>
    <w:p>
      <w:pPr>
        <w:pStyle w:val="BodyText"/>
      </w:pPr>
      <w:hyperlink w:anchor="第七章-结论与建议">
        <w:r>
          <w:rPr>
            <w:rStyle w:val="18"/>
          </w:rPr>
          <w:t xml:space="preserve">第七章 结论与建议</w:t>
        </w:r>
      </w:hyperlink>
      <w:r>
        <w:br/>
      </w:r>
      <w:hyperlink w:anchor="X608df832ced67d3b404e0da4f84f37b482c5a22">
        <w:r>
          <w:rPr>
            <w:rStyle w:val="18"/>
          </w:rPr>
          <w:t xml:space="preserve">7.1 研究结论</w:t>
        </w:r>
      </w:hyperlink>
      <w:r>
        <w:br/>
      </w:r>
      <w:hyperlink w:anchor="X86a824a1049164ad5d82592883da91bfb10cdc9">
        <w:r>
          <w:rPr>
            <w:rStyle w:val="18"/>
          </w:rPr>
          <w:t xml:space="preserve">7.2 管理启示</w:t>
        </w:r>
      </w:hyperlink>
      <w:r>
        <w:br/>
      </w:r>
      <w:hyperlink w:anchor="Xb6ef7d88237900bc4e07264a50fb665e4f3e535">
        <w:r>
          <w:rPr>
            <w:rStyle w:val="18"/>
          </w:rPr>
          <w:t xml:space="preserve">7.3 研究不足与展望</w:t>
        </w:r>
      </w:hyperlink>
    </w:p>
    <w:p>
      <w:pPr>
        <w:pStyle w:val="BodyText"/>
      </w:pPr>
      <w:hyperlink w:anchor="参考文献">
        <w:r>
          <w:rPr>
            <w:rStyle w:val="18"/>
          </w:rPr>
          <w:t xml:space="preserve">参考文献</w:t>
        </w:r>
      </w:hyperlink>
      <w:r>
        <w:br/>
      </w:r>
      <w:hyperlink w:anchor="附录a-主要数据表格">
        <w:r>
          <w:rPr>
            <w:rStyle w:val="18"/>
          </w:rPr>
          <w:t xml:space="preserve">附录A 主要数据表格</w:t>
        </w:r>
      </w:hyperlink>
      <w:r>
        <w:br/>
      </w:r>
      <w:hyperlink w:anchor="致谢">
        <w:r>
          <w:rPr>
            <w:rStyle w:val="18"/>
          </w:rPr>
          <w:t xml:space="preserve">致谢</w:t>
        </w:r>
      </w:hyperlink>
    </w:p>
    <w:bookmarkEnd w:id="25"/>
    <w:bookmarkStart w:id="30" w:name="第一章-绪论"/>
    <w:p>
      <w:pPr>
        <w:pStyle w:val="2"/>
      </w:pPr>
      <w:r>
        <w:t xml:space="preserve">第一章 绪论</w:t>
      </w:r>
    </w:p>
    <w:bookmarkStart w:id="26" w:name="研究背景"/>
    <w:p>
      <w:pPr>
        <w:pStyle w:val="3"/>
      </w:pPr>
      <w:r>
        <w:t xml:space="preserve">1.1 研究背景</w:t>
      </w:r>
    </w:p>
    <w:p>
      <w:pPr>
        <w:pStyle w:val="FirstParagraph"/>
      </w:pPr>
      <w:r>
        <w:t xml:space="preserve">在中美科技竞争常态化和数字化转型深化的背景下，基础设施安全监测领域的自主可控已成为关乎国家经济安全和公共安全的重要议题。视觉力学传感器作为连接物理世界与数字世界的”感官”与”神经”，通过非接触式测量技术实现对结构变形、应变分布的高精度全场监测，广泛应用于桥梁健康监测、工业设备状态评估、建筑结构安全检测等关键领域。数字图像相关（Digital Image Correlation, DIC）技术作为视觉力学传感器的核心技术，正从传统的实验室科研工具向工业级标准化产品快速演进。</w:t>
      </w:r>
    </w:p>
    <w:p>
      <w:pPr>
        <w:pStyle w:val="BodyText"/>
      </w:pPr>
      <w:r>
        <w:t xml:space="preserve">根据行业研究报告显示，中国基础设施安全监测市场在2024年已达到850亿元规模，预计到2027年将突破1500亿元，年复合增长率超过20%。这一快速增长主要受到政策红利持续释放、技术革新推动产业升级、市场需求多元化发展三大因素驱动。特别是在机器视觉监测技术领域，市场份额从2022年的15%快速增长至2024年的35%，技术替代效应明显，为视觉力学传感器企业提供了广阔的市场空间和发展机遇。</w:t>
      </w:r>
    </w:p>
    <w:p>
      <w:pPr>
        <w:pStyle w:val="BodyText"/>
      </w:pPr>
      <w:r>
        <w:t xml:space="preserve">随着工业4.0和智能制造战略的深入推进，传统传感器行业正面临深刻的数字化转型挑战。人工智能、大数据、云计算、物联网等新一代信息技术与传感器技术的深度融合，不仅改变了传感器的技术形态，更重塑了企业的商业模式和竞争格局。视觉力学传感器企业需要从传统的设备销售向”硬件+软件+服务”的一体化解决方案转型，价值创造重心从产品制造向数据服务和平台运营转移，同时构建开放创新的产业生态系统，与上下游企业、科研院所、平台企业等协同发展。</w:t>
      </w:r>
    </w:p>
    <w:p>
      <w:pPr>
        <w:pStyle w:val="BodyText"/>
      </w:pPr>
      <w:r>
        <w:t xml:space="preserve">深圳市海塞姆科技有限公司（以下简称HSM）作为视觉力学传感器领域的代表性企业，成立于2020年6月，是一家以机器视觉技术为核心的科技创新型企业。公司自成立以来一直坚持全自主知识产权研发，致力于将先进的机器视觉技术赋能应用于传感器领域，目前已成为全球领先的DIC视觉传感技术方案提供商。HSM在DIC视觉传感器领域专利申请量居全国第一，服务客户超过1000家，拥有全球首创的第三代DIC技术，实现了从单目三维DIC算法到标准化产品的突破。</w:t>
      </w:r>
    </w:p>
    <w:p>
      <w:pPr>
        <w:pStyle w:val="BodyText"/>
      </w:pPr>
      <w:r>
        <w:t xml:space="preserve">然而，HSM在快速发展过程中面临着从项目制向产品化转型的战略挑战。公司初期通过承接各类桥梁监测、结构安全评估等项目快速切入市场，2024年团队规模扩张至120人。但随着业务规模扩大，项目制模式暴露出回款周期长（应收账款周转天数达到270天）、人员成本高企、定制化程度高等问题，严重制约了公司的发展速度和质量。如何在保持技术领先优势的同时，实现从项目驱动向产品驱动的商业模式转型，构建可持续发展的核心竞争力，成为HSM必须解决的关键战略问题。</w:t>
      </w:r>
    </w:p>
    <w:bookmarkEnd w:id="26"/>
    <w:bookmarkStart w:id="27" w:name="研究意义"/>
    <w:p>
      <w:pPr>
        <w:pStyle w:val="3"/>
      </w:pPr>
      <w:r>
        <w:t xml:space="preserve">1.2 研究意义</w:t>
      </w:r>
    </w:p>
    <w:p>
      <w:pPr>
        <w:pStyle w:val="FirstParagraph"/>
      </w:pPr>
      <w:r>
        <w:t xml:space="preserve">本论文通过对现有资料的梳理，发现国内外学者对视觉力学传感器行业的研究多集中于技术原理、应用案例或企业财务绩效，而深入到某家公司层面，系统性地将战略转型布局进行分析，专门研究硬科技企业如何从项目制向产品化转型、构建信任、突破市场的学术成果尚属空白。本研究针对该缺口，以公司战略的理论工具，解决视觉力学传感器企业在国产替代和数字化转型背景下的核心痛点。</w:t>
      </w:r>
    </w:p>
    <w:p>
      <w:pPr>
        <w:pStyle w:val="BodyText"/>
      </w:pPr>
      <w:r>
        <w:t xml:space="preserve">在理论层面，本研究从企业战略转型理论视角，深入分析硬科技企业的转型动因、实施路径和成效评估，具有重要的理论贡献。现有战略转型研究多集中在传统制造业和服务业，对硬科技企业的转型研究相对不足。本研究通过HSM案例，探讨硬科技企业战略转型的特殊性和规律性，拓展动态能力理论的实证研究，从动态能力视角分析HSM如何通过技术吸收、资源重构、组织学习等过程构建和维持竞争优势。同时，本研究完善了技术创新与战略转型的整合框架，探索技术创新驱动下的战略转型机制，为技术密集型企业的战略管理提供理论参考。</w:t>
      </w:r>
    </w:p>
    <w:p>
      <w:pPr>
        <w:pStyle w:val="BodyText"/>
      </w:pPr>
      <w:r>
        <w:t xml:space="preserve">在实践层面，本研究对视觉力学传感器企业及相关硬科技企业具有重要的实践指导意义。通过HSM从项目制向产品化转型的实践经验，为同类企业制定和实施战略转型提供可借鉴的路径和方法。研究探索了技术驱动型企业在不同发展阶段面临的战略选择和管理挑战，特别是如何平衡技术创新与商业化的矛盾、如何构建从项目经验到标准化产品的转化机制、如何优化组织结构和人才配置以支持战略转型等实际问题。这些实践经验对于正在经历或即将面临类似转型挑战的硬科技企业具有直接的参考价值。</w:t>
      </w:r>
    </w:p>
    <w:p>
      <w:pPr>
        <w:pStyle w:val="BodyText"/>
      </w:pPr>
      <w:r>
        <w:t xml:space="preserve">在政策层面，本研究对政府制定科技创新和产业升级政策具有参考价值。基于硬科技企业的实际需求，研究提出更加精准有效的创新支持政策建议，特别是在研发补贴、人才引进、市场准入、标准化建设等方面的政策优化方向。研究探索构建更加高效的产学研用合作机制，为加速科技成果转化提供实践案例。同时，研究为视觉力学传感器等战略性新兴产业集群发展提供路径指引，推动产业协同创新和生态构建。</w:t>
      </w:r>
    </w:p>
    <w:bookmarkEnd w:id="27"/>
    <w:bookmarkStart w:id="28" w:name="研究内容与方法"/>
    <w:p>
      <w:pPr>
        <w:pStyle w:val="3"/>
      </w:pPr>
      <w:r>
        <w:t xml:space="preserve">1.3 研究内容与方法</w:t>
      </w:r>
    </w:p>
    <w:p>
      <w:pPr>
        <w:pStyle w:val="FirstParagraph"/>
      </w:pPr>
      <w:r>
        <w:t xml:space="preserve">本文将引用经典的PEST、波特五力模型分析宏观与行业环境，运用价值链、波士顿矩阵分析等战略理论。以HSM公司为例，通过拆解其内部后勤、生产运营、技术开发、人力资源等环节，结合视觉力学传感器行业的竞争特征，制定各环节的优化策略，最终构建企业的价值分析和核心竞争优势。探索在品牌弱势和技术追赶条件下有效的营销范式，为国产视觉力学传感器领域尤其是DIC技术的学术研究提供一个战略案例。</w:t>
      </w:r>
    </w:p>
    <w:p>
      <w:pPr>
        <w:pStyle w:val="BodyText"/>
      </w:pPr>
      <w:r>
        <w:t xml:space="preserve">研究主要采用以下方法：（1）文献研究法：通过查阅国内外关于视觉力学传感器行业、企业战略转型、技术创新管理等领域的学术论文、行业报告、政策文件、企业年报及权威数据库，系统梳理行业发展趋势、技术演进路径、政策支持体系以及国内外标杆企业的战略实践。文献研究为后续的PEST分析、波特五力分析、SWOT分析等提供理论基础和数据支撑，确保研究的科学性与可靠性。（2）案例研究法：以HSM公司为典型案例，通过深入访谈、文档分析、参与观察等方式，获取第一手研究资料，系统分析企业从项目制向产品化转型的战略决策过程、实施路径和成效评估。（3）PEST分析法：从政治（Political）、经济（Economic）、社会（Social）、技术（Technological）四个维度，对视觉力学传感器行业所处的宏观环境进行系统分析。通过识别宏观环境中的关键影响因素，明确行业发展的机遇与威胁，为HSM公司的战略制定提供外部依据。（4）波特五力模型分析法：运用波特五力模型，从现有竞争者的竞争程度、潜在进入者的威胁、替代品的威胁、供应商的议价能力、客户的议价能力五个方面，分析视觉力学传感器行业的竞争结构与竞争强度。通过五力分析，识别行业的关键竞争压力点，为HSM公司制定竞争战略、构建竞争优势提供依据。（5）SWOT分析法：结合企业内部资源与能力，从优势（Strengths）、劣势（Weaknesses）、机遇（Opportunities）、威胁（Threats）四个维度，对HSM公司的内外部条件进行综合分析。通过SWOT矩阵匹配，形成SO、WO、ST、WT四类战略组合，为企业战略选择提供清晰方向。（6）比较分析法：将HSM与行业主要竞争对手进行比较分析，识别其竞争优势和不足，为制定差异化竞争战略提供参考。</w:t>
      </w:r>
    </w:p>
    <w:bookmarkEnd w:id="28"/>
    <w:bookmarkStart w:id="29" w:name="论文结构安排"/>
    <w:p>
      <w:pPr>
        <w:pStyle w:val="3"/>
      </w:pPr>
      <w:r>
        <w:t xml:space="preserve">1.4 论文结构安排</w:t>
      </w:r>
    </w:p>
    <w:p>
      <w:pPr>
        <w:pStyle w:val="FirstParagraph"/>
      </w:pPr>
      <w:r>
        <w:t xml:space="preserve">本论文共分为七章，各章主要内容如下：</w:t>
      </w:r>
    </w:p>
    <w:p>
      <w:pPr>
        <w:pStyle w:val="BodyText"/>
      </w:pPr>
      <w:r>
        <w:rPr>
          <w:bCs/>
          <w:b/>
        </w:rPr>
        <w:t xml:space="preserve">第一章 绪论</w:t>
      </w:r>
      <w:r>
        <w:t xml:space="preserve">：介绍研究背景、意义、内容与方法，明确研究框架。</w:t>
      </w:r>
    </w:p>
    <w:p>
      <w:pPr>
        <w:pStyle w:val="BodyText"/>
      </w:pPr>
      <w:r>
        <w:rPr>
          <w:bCs/>
          <w:b/>
        </w:rPr>
        <w:t xml:space="preserve">第二章 理论基础与文献综述</w:t>
      </w:r>
      <w:r>
        <w:t xml:space="preserve">：梳理企业战略转型、视觉力学传感器行业、相关研究进展等理论基础。</w:t>
      </w:r>
    </w:p>
    <w:p>
      <w:pPr>
        <w:pStyle w:val="BodyText"/>
      </w:pPr>
      <w:r>
        <w:rPr>
          <w:bCs/>
          <w:b/>
        </w:rPr>
        <w:t xml:space="preserve">第三章 HSM公司概况与行业环境分析</w:t>
      </w:r>
      <w:r>
        <w:t xml:space="preserve">：介绍HSM发展历程，分析行业环境和竞争格局。</w:t>
      </w:r>
    </w:p>
    <w:p>
      <w:pPr>
        <w:pStyle w:val="BodyText"/>
      </w:pPr>
      <w:r>
        <w:rPr>
          <w:bCs/>
          <w:b/>
        </w:rPr>
        <w:t xml:space="preserve">第四章 HSM战略转型的动因分析</w:t>
      </w:r>
      <w:r>
        <w:t xml:space="preserve">：从内外两个维度分析战略转型的驱动因素。</w:t>
      </w:r>
    </w:p>
    <w:p>
      <w:pPr>
        <w:pStyle w:val="BodyText"/>
      </w:pPr>
      <w:r>
        <w:rPr>
          <w:bCs/>
          <w:b/>
        </w:rPr>
        <w:t xml:space="preserve">第五章 HSM战略转型的实施路径</w:t>
      </w:r>
      <w:r>
        <w:t xml:space="preserve">：详细研究技术、市场、组织、数字化四个维度的转型举措。</w:t>
      </w:r>
    </w:p>
    <w:p>
      <w:pPr>
        <w:pStyle w:val="BodyText"/>
      </w:pPr>
      <w:r>
        <w:rPr>
          <w:bCs/>
          <w:b/>
        </w:rPr>
        <w:t xml:space="preserve">第六章 市场分析与商业模式优化</w:t>
      </w:r>
      <w:r>
        <w:t xml:space="preserve">：深入分析基础设施安全监测市场规模、竞争格局，评估视频跟踪仪应用前景，提出基于成本优势和产品优势的商业模式优化策略。</w:t>
      </w:r>
    </w:p>
    <w:p>
      <w:pPr>
        <w:pStyle w:val="BodyText"/>
      </w:pPr>
      <w:r>
        <w:rPr>
          <w:bCs/>
          <w:b/>
        </w:rPr>
        <w:t xml:space="preserve">第七章 结论与建议</w:t>
      </w:r>
      <w:r>
        <w:t xml:space="preserve">：总结研究结论，提出管理启示和政策建议。</w:t>
      </w:r>
    </w:p>
    <w:p>
      <w:r>
        <w:pict>
          <v:rect style="width:0;height:1.5pt" o:hralign="center" o:hrstd="t" o:hr="t"/>
        </w:pict>
      </w:r>
    </w:p>
    <w:p>
      <w:pPr>
        <w:pStyle w:val="FirstParagraph"/>
      </w:pPr>
      <w:r>
        <w:rPr>
          <w:bCs/>
          <w:b/>
        </w:rPr>
        <w:t xml:space="preserve">本章小结</w:t>
      </w:r>
      <w:r>
        <w:t xml:space="preserve">：本章作为论文的开篇，明确了研究背景和意义，界定了研究内容和范围，介绍了研究方法和论文结构，为后续研究奠定了坚实基础。</w:t>
      </w:r>
    </w:p>
    <w:bookmarkEnd w:id="29"/>
    <w:bookmarkEnd w:id="30"/>
    <w:bookmarkStart w:id="34" w:name="第二章-理论基础与文献综述"/>
    <w:p>
      <w:pPr>
        <w:pStyle w:val="2"/>
      </w:pPr>
      <w:r>
        <w:t xml:space="preserve">第二章 理论基础与文献综述</w:t>
      </w:r>
    </w:p>
    <w:bookmarkStart w:id="31" w:name="企业战略转型理论"/>
    <w:p>
      <w:pPr>
        <w:pStyle w:val="3"/>
      </w:pPr>
      <w:r>
        <w:t xml:space="preserve">2.1 企业战略转型理论</w:t>
      </w:r>
    </w:p>
    <w:p>
      <w:pPr>
        <w:pStyle w:val="FirstParagraph"/>
      </w:pPr>
      <w:r>
        <w:t xml:space="preserve">企业战略转型是指企业为适应内外部环境变化，对长期经营方向、运营模式、资源配置及组织结构进行系统性变革，以重塑竞争优势并推动企业向新形态演进的战略管理过程（陈春花等，2020）。战略转型不仅涉及战略内容的调整，更包括战略决策程序和实施方式的根本性改变。</w:t>
      </w:r>
    </w:p>
    <w:p>
      <w:pPr>
        <w:pStyle w:val="BodyText"/>
      </w:pPr>
      <w:r>
        <w:rPr>
          <w:bCs/>
          <w:b/>
        </w:rPr>
        <w:t xml:space="preserve">战略转型的内涵与类型</w:t>
      </w:r>
      <w:r>
        <w:t xml:space="preserve">。根据转型的深度和广度，战略转型可分为以下类型：（1）渐进式转型与激进式转型：渐进式转型在现有框架内逐步调整，风险较小但变革效果有限；激进式转型打破现有框架进行根本性变革，风险大但可能带来突破性发展。（2）防御型转型与进攻型转型：防御型转型为应对外部威胁或内部危机而采取的被动转型；进攻型转型为把握市场机遇或构建新竞争优势而采取的主动转型。（3）业务层面转型与公司层面转型：业务层面转型涉及具体业务单元的战略调整；公司层面转型涉及整个公司的战略方向和组织结构变革。</w:t>
      </w:r>
    </w:p>
    <w:p>
      <w:pPr>
        <w:pStyle w:val="BodyText"/>
      </w:pPr>
      <w:r>
        <w:rPr>
          <w:bCs/>
          <w:b/>
        </w:rPr>
        <w:t xml:space="preserve">战略转型的理论基础</w:t>
      </w:r>
      <w:r>
        <w:t xml:space="preserve">。企业战略转型的理论基础主要包括资源基础观、动态能力理论和组织学习理论等。（1）资源基础观（Resource-Based View, RBV）：强调企业内部资源和能力是竞争优势的来源，企业战略转型的核心是重新配置和优化核心资源，构建难以模仿的竞争优势（Barney, 1991）。（2）动态能力理论（Dynamic Capabilities Theory）：由Teece, Pisano和Shuen（1997）提出，强调企业在快速变化的环境中整合、构建和重构内外部资源的能力，包括感知机会与威胁的能力、抓住机会的能力以及重构资源与能力的能力。对于硬科技企业而言，动态能力尤为重要，需要持续的技术创新和组织变革来适应技术快速迭代的市场环境。（3）组织学习理论：强调企业通过经验积累、知识共享和能力构建来推动战略演化，学习能力是战略转型成功的关键因素（Argyris &amp; Schön, 1978）。（4）技术创新理论：关注技术轨道转换、技术能力构建和技术生态演化，为技术驱动型战略转型提供理论指导（Dosi, 1982）。这些理论为分析硬科技企业战略转型提供了多维度的理论视角。</w:t>
      </w:r>
    </w:p>
    <w:p>
      <w:pPr>
        <w:pStyle w:val="BodyText"/>
      </w:pPr>
      <w:r>
        <w:rPr>
          <w:bCs/>
          <w:b/>
        </w:rPr>
        <w:t xml:space="preserve">战略转型的动力机制</w:t>
      </w:r>
      <w:r>
        <w:t xml:space="preserve">。企业战略转型的动力主要来自外部环境压力和内部发展需求两个方面。外部环境驱动因素包括：技术变革驱动，即新一代信息技术、人工智能、生物技术等技术突破催生新的产业形态和商业模式；市场需求变化，即消费者偏好变化、市场需求升级、新应用场景出现；政策环境调整，即产业政策、环保政策、贸易政策等变化带来的机遇与挑战；竞争格局演变，即新进入者威胁、替代品出现、产业链重构。内部发展驱动因素包括：资源能力积累，即核心技术的突破、关键人才的引进、组织能力的提升；成长瓶颈突破，即现有业务增长放缓、利润率下降、市场份额停滞；战略愿景调整，即企业家精神、战略远见、价值追求的变化；组织学习效应，即通过经验积累、知识共享、能力构建推动战略演化。</w:t>
      </w:r>
    </w:p>
    <w:p>
      <w:pPr>
        <w:pStyle w:val="BodyText"/>
      </w:pPr>
      <w:r>
        <w:rPr>
          <w:bCs/>
          <w:b/>
        </w:rPr>
        <w:t xml:space="preserve">战略转型的实施路径</w:t>
      </w:r>
      <w:r>
        <w:t xml:space="preserve">。战略转型的实施是一个复杂的系统工程，涉及多个维度的协同变革：（1）技术路径转型：通过技术创新、技术引进、技术融合等方式实现技术升级；（2）市场路径转型：调整市场定位、拓展新市场、创新商业模式；（3）组织路径转型：优化组织结构、变革管理机制、重塑企业文化；（4）资源路径转型：重新配置财务资源、人力资源、技术资源等关键资源；（5）制度路径转型：建立新的管理制度、激励机制、风险控制体系。</w:t>
      </w:r>
    </w:p>
    <w:p>
      <w:pPr>
        <w:pStyle w:val="BodyText"/>
      </w:pPr>
      <w:r>
        <w:rPr>
          <w:bCs/>
          <w:b/>
        </w:rPr>
        <w:t xml:space="preserve">战略转型的评估框架</w:t>
      </w:r>
      <w:r>
        <w:t xml:space="preserve">。评估战略转型成效需要建立多维度的评估框架：（1）财务绩效维度：营业收入增长率、利润率、资产回报率等财务指标改善；（2）市场地位维度：市场份额、品牌影响力、客户满意度等市场表现提升；（3）创新能力维度：研发投入强度、专利数量、新产品开发速度等创新指标；（4）组织能力维度：组织学习能力、人才梯队建设、管理效率提升；（5）可持续发展维度：环境社会责任表现、长期战略匹配度、风险抵御能力。</w:t>
      </w:r>
    </w:p>
    <w:bookmarkEnd w:id="31"/>
    <w:bookmarkStart w:id="32" w:name="视觉力学传感器行业概述"/>
    <w:p>
      <w:pPr>
        <w:pStyle w:val="3"/>
      </w:pPr>
      <w:r>
        <w:t xml:space="preserve">2.2 视觉力学传感器行业概述</w:t>
      </w:r>
    </w:p>
    <w:p>
      <w:pPr>
        <w:pStyle w:val="FirstParagraph"/>
      </w:pPr>
      <w:r>
        <w:rPr>
          <w:bCs/>
          <w:b/>
        </w:rPr>
        <w:t xml:space="preserve">DIC视觉传感器技术发展</w:t>
      </w:r>
      <w:r>
        <w:t xml:space="preserve">。数字图像相关（Digital Image Correlation, DIC）技术是一种基于机器视觉的非接触式全场变形测量技术。其基本原理是通过追踪试样表面随机或人工散斑在变形前后的位置变化，计算出全场位移和应变分布。DIC技术的发展经历了三个阶段：第一代DIC技术（1980s-2000s）基于二维图像处理，测量精度有限，主要应用于实验室科研，设备复杂昂贵，操作门槛高，需要专业人员；第二代DIC技术（2000s-2020s）引入三维测量，精度显著提升，商业化设备开始出现，但价格仍然较高，在工业检测领域开始应用；第三代DIC技术（2020s至今）实现单目三维DIC技术突破，设备成本大幅降低，人工智能算法融合实现自动化测量，标准化、模块化设计便于大规模应用，实时测量、云端数据分析成为可能。</w:t>
      </w:r>
    </w:p>
    <w:p>
      <w:pPr>
        <w:pStyle w:val="BodyText"/>
      </w:pPr>
      <w:r>
        <w:rPr>
          <w:bCs/>
          <w:b/>
        </w:rPr>
        <w:t xml:space="preserve">全球与中国市场规模分析</w:t>
      </w:r>
      <w:r>
        <w:t xml:space="preserve">。根据QYResearch（恒州博智）调研统计，2024年全球DIC视觉传感器市场规模达到85亿元，预计到2031年将增长至150亿元，2025-2031年期间年复合增长率（CAGR）为8.5%。中国市场在过去几年变化较快，2024年市场规模约为30亿元，占全球市场的35%左右（QYResearch，2025）。全球市场区域分布呈现以下特点：北美市场技术研发领先，高端应用需求旺盛；欧洲市场工业基础雄厚，质量检测要求严格；亚太市场制造业集中，市场规模增长最快；其他地区作为新兴市场，增长潜力大。中国市场具有以下特点：政策支持力度大，国家高度重视传感器产业发展，出台一系列支持政策；应用场景丰富，制造业转型升级为视觉传感器提供广阔应用空间；产业链完整，从原材料到终端应用的完整产业链体系；竞争格局分散，企业数量多，但具有核心技术竞争力的企业较少。</w:t>
      </w:r>
    </w:p>
    <w:p>
      <w:pPr>
        <w:pStyle w:val="BodyText"/>
      </w:pPr>
      <w:r>
        <w:rPr>
          <w:bCs/>
          <w:b/>
        </w:rPr>
        <w:t xml:space="preserve">产业链结构与竞争格局</w:t>
      </w:r>
      <w:r>
        <w:t xml:space="preserve">。视觉力学传感器产业链包括上游产业、中游产业和下游应用领域。上游产业包括光学元件（镜头、光源、滤光片等）、图像传感器（CMOS、CCD等）、核心算法（图像处理算法、人工智能算法）和软件系统（测量软件、分析软件、控制软件）。中游产业包括DIC视觉传感器制造、系统集成与解决方案、测试验证服务。下游应用领域涵盖材料测试（金属材料、复合材料、生物材料等力学性能测试）、结构测试（汽车、航空航天、建筑等结构强度测试）、安全检测（桥梁、隧道、大坝等基础设施安全监测）、工业在线测量（智能制造、质量控制、过程监控）以及科研教育（高校、科研院所的实验教学与科学研究）。主要竞争企业包括国际领先企业（德国GOM、美国Correlated Solutions、日本Keyence等）、国内领先企业（海塞姆科技、中科检测、华测检测等）以及一批专注于特定应用场景的新兴创业企业。</w:t>
      </w:r>
    </w:p>
    <w:p>
      <w:pPr>
        <w:pStyle w:val="BodyText"/>
      </w:pPr>
      <w:r>
        <w:rPr>
          <w:bCs/>
          <w:b/>
        </w:rPr>
        <w:t xml:space="preserve">技术发展趋势与挑战</w:t>
      </w:r>
      <w:r>
        <w:t xml:space="preserve">。技术发展趋势包括智能化发展（人工智能、深度学习技术与DIC的深度融合）、微型化集成（设备体积缩小，集成度提高，便于现场应用）、实时化处理（从离线分析向在线实时监测发展）、云端化服务（数据上云，实现远程监控和智能分析）和多模态融合（DIC与其他传感技术的融合应用）。面临的主要挑战包括技术门槛高（需要光学、机械、电子、软件、算法等多学科交叉知识）、市场认知度低（传统测量方法仍占主导，新技术推广需要时间）、标准体系不完善（行业标准、测试规范、认证体系有待建立）、人才短缺（复合型技术人才和管理人才供给不足）以及国际竞争激烈（国际巨头在品牌、技术、市场上具有先发优势）。</w:t>
      </w:r>
    </w:p>
    <w:bookmarkEnd w:id="32"/>
    <w:bookmarkStart w:id="33" w:name="相关研究综述"/>
    <w:p>
      <w:pPr>
        <w:pStyle w:val="3"/>
      </w:pPr>
      <w:r>
        <w:t xml:space="preserve">2.3 相关研究综述</w:t>
      </w:r>
    </w:p>
    <w:p>
      <w:pPr>
        <w:pStyle w:val="FirstParagraph"/>
      </w:pPr>
      <w:r>
        <w:rPr>
          <w:bCs/>
          <w:b/>
        </w:rPr>
        <w:t xml:space="preserve">硬科技企业战略转型研究</w:t>
      </w:r>
      <w:r>
        <w:t xml:space="preserve">。硬科技企业是指基于前沿科学发现和技术创新，从事高技术含量、高附加值产品研发和制造的企业。这类企业的战略转型具有以下特点：（1）技术驱动明显：技术创新是转型的核心动力，技术路线选择直接影响转型方向；（2）研发投入大：需要持续的高强度研发投入，资金压力较大；（3）人才依赖性强：高端技术人才和管理人才是转型成功的关键；（4）周期长风险高：从技术研发到产品化、市场化周期长，不确定性大；（5）生态协同重要：需要构建产学研用协同的创新生态系统。现有研究主要从以下角度探讨硬科技企业战略转型：技术轨道转换与技术能力构建（李纪珍等，2021）、创新网络演化与生态系统构建（王毅等，2022）、组织学习与动态能力发展（张玉利等，2020）、政策支持与市场环境互动（陈劲等，2023）。</w:t>
      </w:r>
    </w:p>
    <w:p>
      <w:pPr>
        <w:pStyle w:val="BodyText"/>
      </w:pPr>
      <w:r>
        <w:rPr>
          <w:bCs/>
          <w:b/>
        </w:rPr>
        <w:t xml:space="preserve">传感器企业创新发展研究</w:t>
      </w:r>
      <w:r>
        <w:t xml:space="preserve">。传感器作为物联网、智能制造、人工智能等新兴产业的基础，其创新发展备受关注。相关研究主要集中在：（1）技术创新路径：MEMS技术、纳米技术、智能算法等在传感器中的应用；（2）商业模式创新：从产品制造向”产品+服务+数据”的商业模式转变；（3）产业生态构建：传感器企业与上下游企业的协同创新；（4）标准化与产业化：技术标准制定、产业化推广、规模化应用。</w:t>
      </w:r>
    </w:p>
    <w:p>
      <w:pPr>
        <w:pStyle w:val="BodyText"/>
      </w:pPr>
      <w:r>
        <w:rPr>
          <w:bCs/>
          <w:b/>
        </w:rPr>
        <w:t xml:space="preserve">数字化转型案例研究</w:t>
      </w:r>
      <w:r>
        <w:t xml:space="preserve">。数字化转型是企业战略转型的重要形式，相关案例研究提供了丰富的实践经验：（1）传统制造企业数字化转型：通过数字孪生、工业互联网、智能制造等技术实现转型升级；（2）服务企业数字化转型：利用大数据、人工智能、平台经济等创新服务模式；（3）中小企业数字化转型：通过云服务、SaaS模式等低成本方式实现数字化；（4）硬科技企业数字化转型：研发数字化、生产数字化、服务数字化的一体化转型。</w:t>
      </w:r>
    </w:p>
    <w:p>
      <w:pPr>
        <w:pStyle w:val="BodyText"/>
      </w:pPr>
      <w:r>
        <w:rPr>
          <w:bCs/>
          <w:b/>
        </w:rPr>
        <w:t xml:space="preserve">研究评述与本文创新点</w:t>
      </w:r>
      <w:r>
        <w:t xml:space="preserve">。现有研究的主要贡献包括：（1）构建了企业战略转型的理论框架和分析工具；（2）揭示了不同类型企业战略转型的特点和规律；（3）提供了丰富的案例研究和实践经验；（4）探讨了数字化转型等新兴转型模式。现有研究的不足之处包括：（1）对硬科技企业战略转型的特殊性关注不足；（2）缺乏对视觉力学传感器等细分行业的研究；（3）对技术驱动型战略转型的机制探讨不够深入；（4）缺乏对转型成效的多维度评估研究。本文的创新点包括：（1）研究视角创新：从战略转型视角研究视觉力学传感器企业，填补细分行业研究空白；（2）理论应用创新：将战略转型理论应用于硬科技企业，拓展理论适用边界；（3）案例研究创新：以HSM为深度案例，提供硬科技企业转型的鲜活样本；（4）方法整合创新：综合运用多种研究方法，增强研究的科学性和可信度；（5）实践指导创新：提出针对硬科技企业战略转型的管理启示和政策建议。</w:t>
      </w:r>
    </w:p>
    <w:p>
      <w:r>
        <w:pict>
          <v:rect style="width:0;height:1.5pt" o:hralign="center" o:hrstd="t" o:hr="t"/>
        </w:pict>
      </w:r>
    </w:p>
    <w:p>
      <w:pPr>
        <w:pStyle w:val="FirstParagraph"/>
      </w:pPr>
      <w:r>
        <w:rPr>
          <w:bCs/>
          <w:b/>
        </w:rPr>
        <w:t xml:space="preserve">本章小结</w:t>
      </w:r>
      <w:r>
        <w:t xml:space="preserve">：本章系统梳理了企业战略转型的理论基础，包括资源基础观、动态能力理论、组织学习理论和技术创新理论等，深入分析了视觉力学传感器行业的发展现状，综述了硬科技企业战略转型、传感器企业创新发展和数字化转型的相关研究进展，明确了本文的研究定位和创新点，为后续案例研究奠定了坚实的理论基础。</w:t>
      </w:r>
    </w:p>
    <w:bookmarkEnd w:id="33"/>
    <w:bookmarkEnd w:id="34"/>
    <w:bookmarkStart w:id="57" w:name="第三章-hsm公司外部环境分析"/>
    <w:p>
      <w:pPr>
        <w:pStyle w:val="2"/>
      </w:pPr>
      <w:r>
        <w:t xml:space="preserve">第三章 HSM公司外部环境分析</w:t>
      </w:r>
    </w:p>
    <w:bookmarkStart w:id="40" w:name="hsm外部宏观环境pest分析"/>
    <w:p>
      <w:pPr>
        <w:pStyle w:val="3"/>
      </w:pPr>
      <w:r>
        <w:t xml:space="preserve">3.1 HSM外部宏观环境PEST分析</w:t>
      </w:r>
    </w:p>
    <w:p>
      <w:pPr>
        <w:pStyle w:val="FirstParagraph"/>
      </w:pPr>
      <w:r>
        <w:t xml:space="preserve">PEST分析（政治、经济、社会、技术）是评估企业外部宏观环境的重要工具。本部分将从四个维度分析视觉力学传感器行业的发展环境及其对HSM公司的影响。</w:t>
      </w:r>
    </w:p>
    <w:bookmarkStart w:id="35" w:name="政治环境"/>
    <w:p>
      <w:pPr>
        <w:pStyle w:val="4"/>
      </w:pPr>
      <w:r>
        <w:t xml:space="preserve">3.1.1 政治环境</w:t>
      </w:r>
    </w:p>
    <w:p>
      <w:pPr>
        <w:pStyle w:val="FirstParagraph"/>
      </w:pPr>
      <w:r>
        <w:rPr>
          <w:bCs/>
          <w:b/>
        </w:rPr>
        <w:t xml:space="preserve">政策支持体系完善</w:t>
      </w:r>
      <w:r>
        <w:t xml:space="preserve">。国家层面高度重视传感器产业发展，国务院《</w:t>
      </w:r>
      <w:r>
        <w:t xml:space="preserve">“</w:t>
      </w:r>
      <w:r>
        <w:t xml:space="preserve">十四五</w:t>
      </w:r>
      <w:r>
        <w:t xml:space="preserve">”</w:t>
      </w:r>
      <w:r>
        <w:t xml:space="preserve">智能制造发展规划》明确提出支持高端传感器研发和产业化，将传感器作为智能制造的核心基础部件。工业和信息化部《</w:t>
      </w:r>
      <w:r>
        <w:t xml:space="preserve">“</w:t>
      </w:r>
      <w:r>
        <w:t xml:space="preserve">十四五</w:t>
      </w:r>
      <w:r>
        <w:t xml:space="preserve">”</w:t>
      </w:r>
      <w:r>
        <w:t xml:space="preserve">传感器产业发展规划》制定专项政策，支持MEMS传感器、智能传感器等前沿技术研发，为视觉力学传感器行业发展提供顶层设计。2025年1月13日，国务院颁布《公共安全视频图像信息系统管理条例》（国令第799号），自2025年4月1日起施行，强调”统筹规划、合理适度、标准引领、安全可控”的原则，为视觉监测技术在公共安全领域的应用提供了法规依据。</w:t>
      </w:r>
    </w:p>
    <w:p>
      <w:pPr>
        <w:pStyle w:val="BodyText"/>
      </w:pPr>
      <w:r>
        <w:rPr>
          <w:bCs/>
          <w:b/>
        </w:rPr>
        <w:t xml:space="preserve">国产替代战略推动</w:t>
      </w:r>
      <w:r>
        <w:t xml:space="preserve">。在中美科技竞争常态化的背景下，国产替代上升为国家战略。各级政府出台优先采购国产设备的政策，支持自主创新技术产品。交通运输部《</w:t>
      </w:r>
      <w:r>
        <w:t xml:space="preserve">“</w:t>
      </w:r>
      <w:r>
        <w:t xml:space="preserve">十四五</w:t>
      </w:r>
      <w:r>
        <w:t xml:space="preserve">”</w:t>
      </w:r>
      <w:r>
        <w:t xml:space="preserve">公路养护管理发展规划》明确提出推进桥梁隧道智能监测技术应用，优先采用国产设备和系统。这一政策导向为HSM等国内视觉监测企业创造了市场机遇，特别是在基础设施安全监测领域。</w:t>
      </w:r>
    </w:p>
    <w:p>
      <w:pPr>
        <w:pStyle w:val="BodyText"/>
      </w:pPr>
      <w:r>
        <w:rPr>
          <w:bCs/>
          <w:b/>
        </w:rPr>
        <w:t xml:space="preserve">标准化体系建设加速</w:t>
      </w:r>
      <w:r>
        <w:t xml:space="preserve">。国家加快传感器行业标准体系建设，制定DIC测量技术标准、数据格式标准、系统集成标准等。中国机械工业联合会等行业协会牵头制定视觉力学传感器行业标准，为产业发展提供规范指引。标准化体系建设降低了用户学习成本和应用门槛，有利于HSM标准化产品的推广普及。</w:t>
      </w:r>
    </w:p>
    <w:p>
      <w:pPr>
        <w:pStyle w:val="BodyText"/>
      </w:pPr>
      <w:r>
        <w:rPr>
          <w:bCs/>
          <w:b/>
        </w:rPr>
        <w:t xml:space="preserve">对HSM的具体影响</w:t>
      </w:r>
      <w:r>
        <w:t xml:space="preserve">：政治环境为HSM提供了双重机遇。一方面，国产替代政策为公司创造了市场空间，特别是在政府投资项目和基础设施监测领域；另一方面，标准化体系建设支持了HSM从项目制向产品化转型的战略方向。HSM需要积极申报政府科技项目，参与行业标准制定，将政策优势转化为市场竞争优势。</w:t>
      </w:r>
    </w:p>
    <w:bookmarkEnd w:id="35"/>
    <w:bookmarkStart w:id="36" w:name="经济环境"/>
    <w:p>
      <w:pPr>
        <w:pStyle w:val="4"/>
      </w:pPr>
      <w:r>
        <w:t xml:space="preserve">3.1.2 经济环境</w:t>
      </w:r>
    </w:p>
    <w:p>
      <w:pPr>
        <w:pStyle w:val="FirstParagraph"/>
      </w:pPr>
      <w:r>
        <w:rPr>
          <w:bCs/>
          <w:b/>
        </w:rPr>
        <w:t xml:space="preserve">行业增长与资本环境</w:t>
      </w:r>
      <w:r>
        <w:t xml:space="preserve">。根据《2025年全球市场数字图像相关（DIC）系统总体规模》研究报告，2024年全球DIC视觉传感器市场规模约为85亿元，预计2031年将达到150亿元，2025-2031年复合年增长率（CAGR）为8.5%。中国市场表现更为突出，2024年中国DIC视觉传感器市场规模约为30亿元，占全球35%，预计到2031年中国市场规模将达到60亿元，年复合增长率约10%，显著高于全球平均水平。</w:t>
      </w:r>
    </w:p>
    <w:p>
      <w:pPr>
        <w:pStyle w:val="BodyText"/>
      </w:pPr>
      <w:r>
        <w:rPr>
          <w:bCs/>
          <w:b/>
        </w:rPr>
        <w:t xml:space="preserve">下游需求韧性分析</w:t>
      </w:r>
      <w:r>
        <w:t xml:space="preserve">。视觉力学传感器的主要应用领域呈现多元化发展趋势：（1）材料测试领域：金属材料、复合材料、生物材料等的力学性能测试需求稳定增长；（2）结构测试领域：汽车、航空航天、建筑等结构强度测试需求随着制造业升级而增加；（3）安全检测与监测领域：基础设施安全监测市场需求快速增长，2024年中国市场规模达到850亿元，预计2027年将突破1500亿元，年复合增长率超过20%。</w:t>
      </w:r>
    </w:p>
    <w:p>
      <w:pPr>
        <w:pStyle w:val="BodyText"/>
      </w:pPr>
      <w:r>
        <w:rPr>
          <w:bCs/>
          <w:b/>
        </w:rPr>
        <w:t xml:space="preserve">资本关注度提升</w:t>
      </w:r>
      <w:r>
        <w:t xml:space="preserve">。硬科技投资成为热点，传感器领域吸引大量资本关注。2024年以来，多个视觉传感器企业获得大额融资，估值持续提升。资本市场对技术领先、产品标准化程度高的企业给予更高估值溢价。同时，原材料价格上涨、人力成本增加对企业成本控制提出更高要求，倒逼企业通过技术创新和流程优化降本增效。</w:t>
      </w:r>
    </w:p>
    <w:p>
      <w:pPr>
        <w:pStyle w:val="BodyText"/>
      </w:pPr>
      <w:r>
        <w:rPr>
          <w:bCs/>
          <w:b/>
        </w:rPr>
        <w:t xml:space="preserve">对HSM的具体影响</w:t>
      </w:r>
      <w:r>
        <w:t xml:space="preserve">：经济环境为HSM提供了广阔的市场空间和资本支持。快速增长的市场需求为HSM的标准化产品提供了市场验证机会，特别是基础设施安全监测领域的高速增长与HSM的战略转型方向高度契合。然而，成本压力和竞争加剧要求HSM必须通过技术创新和规模效应建立成本优势。</w:t>
      </w:r>
    </w:p>
    <w:bookmarkEnd w:id="36"/>
    <w:bookmarkStart w:id="37" w:name="社会环境"/>
    <w:p>
      <w:pPr>
        <w:pStyle w:val="4"/>
      </w:pPr>
      <w:r>
        <w:t xml:space="preserve">3.1.3 社会环境</w:t>
      </w:r>
    </w:p>
    <w:p>
      <w:pPr>
        <w:pStyle w:val="FirstParagraph"/>
      </w:pPr>
      <w:r>
        <w:rPr>
          <w:bCs/>
          <w:b/>
        </w:rPr>
        <w:t xml:space="preserve">技术认知与接受度提升</w:t>
      </w:r>
      <w:r>
        <w:t xml:space="preserve">。随着机器视觉、人工智能等技术在工业生产中的广泛应用，社会对视觉传感器的认知和接受度显著提高。传统接触式测量方法（如应变片、位移计）虽然技术成熟，但存在安装复杂、测量点有限、难以实现全场测量等局限。DIC技术作为非接触式全场测量技术，能够实现高精度、全场、实时测量，技术优势逐渐被市场认可。</w:t>
      </w:r>
    </w:p>
    <w:p>
      <w:pPr>
        <w:pStyle w:val="BodyText"/>
      </w:pPr>
      <w:r>
        <w:rPr>
          <w:bCs/>
          <w:b/>
        </w:rPr>
        <w:t xml:space="preserve">人才供给状况改善</w:t>
      </w:r>
      <w:r>
        <w:t xml:space="preserve">。高校加强机器视觉、图像处理、传感器技术等相关专业建设，培养了大批专业人才。清华大学、北京航空航天大学、哈尔滨工业大学等高校在DIC技术研究方面处于国内领先地位，为行业输送了大量高素质人才。然而，兼具光学、机械、电子、软件、算法等多学科知识的复合型技术人才仍然短缺，成为制约行业发展的瓶颈之一。</w:t>
      </w:r>
    </w:p>
    <w:p>
      <w:pPr>
        <w:pStyle w:val="BodyText"/>
      </w:pPr>
      <w:r>
        <w:rPr>
          <w:bCs/>
          <w:b/>
        </w:rPr>
        <w:t xml:space="preserve">安全与合规意识增强</w:t>
      </w:r>
      <w:r>
        <w:t xml:space="preserve">。社会对生产安全、结构安全、环境安全的关注度日益提高。桥梁塌陷、隧道事故、边坡滑坡等安全事故频发，推动政府对基础设施安全监测的强制性要求升级。企业为规避安全风险，主动加强设备状态监控和安全预警能力建设。这一社会趋势为视觉安全监测技术创造了刚需市场。</w:t>
      </w:r>
    </w:p>
    <w:p>
      <w:pPr>
        <w:pStyle w:val="BodyText"/>
      </w:pPr>
      <w:r>
        <w:rPr>
          <w:bCs/>
          <w:b/>
        </w:rPr>
        <w:t xml:space="preserve">对HSM的具体影响</w:t>
      </w:r>
      <w:r>
        <w:t xml:space="preserve">：社会环境的积极变化为HSM提供了有利条件。技术认知度的提升降低了市场教育成本，人才供给改善有助于HSM组建高水平研发团队，安全意识的增强创造了持续的市场需求。HSM需要加强与高校合作，建立人才联合培养机制，同时通过技术推广和案例分享提升市场认知度。</w:t>
      </w:r>
    </w:p>
    <w:bookmarkEnd w:id="37"/>
    <w:bookmarkStart w:id="38" w:name="技术环境"/>
    <w:p>
      <w:pPr>
        <w:pStyle w:val="4"/>
      </w:pPr>
      <w:r>
        <w:t xml:space="preserve">3.1.4 技术环境</w:t>
      </w:r>
    </w:p>
    <w:p>
      <w:pPr>
        <w:pStyle w:val="FirstParagraph"/>
      </w:pPr>
      <w:r>
        <w:rPr>
          <w:bCs/>
          <w:b/>
        </w:rPr>
        <w:t xml:space="preserve">技术融合趋势明显</w:t>
      </w:r>
      <w:r>
        <w:t xml:space="preserve">。人工智能、大数据、云计算、物联网等新一代信息技术与传感器技术的深度融合，推动视觉力学传感器从”单一测量工具”向”智能感知系统”转型。深度学习算法在图像处理、特征识别、异常检测等环节的应用，显著提升了测量精度和自动化水平。云平台为数据存储、远程监控、智能分析提供了技术支撑，实现从设备销售向数据服务的价值延伸。</w:t>
      </w:r>
    </w:p>
    <w:p>
      <w:pPr>
        <w:pStyle w:val="BodyText"/>
      </w:pPr>
      <w:r>
        <w:rPr>
          <w:bCs/>
          <w:b/>
        </w:rPr>
        <w:t xml:space="preserve">技术迭代加速</w:t>
      </w:r>
      <w:r>
        <w:t xml:space="preserve">。新材料、新工艺、新算法不断涌现，推动传感器技术快速迭代。在算法层面，从传统二维DIC向三维DIC发展，从双目系统向单目系统演进，算法精度和效率持续提升。在硬件层面，图像传感器分辨率不断提高，计算芯片性能增强，推动DIC系统向更高性能发展。在系统层面，从离线分析向在线实时监测发展，从单机应用向云端协同演进。</w:t>
      </w:r>
    </w:p>
    <w:p>
      <w:pPr>
        <w:pStyle w:val="BodyText"/>
      </w:pPr>
      <w:r>
        <w:rPr>
          <w:bCs/>
          <w:b/>
        </w:rPr>
        <w:t xml:space="preserve">标准化与模块化发展</w:t>
      </w:r>
      <w:r>
        <w:t xml:space="preserve">。技术发展呈现明显的标准化、模块化趋势。硬件接口标准化、软件协议标准化、数据格式标准化降低了系统集成和应用开发门槛。模块化设计使传感器可以根据不同应用场景灵活配置，平衡性能与成本。这一趋势支持了HSM从项目定制向标准化产品的转型战略。</w:t>
      </w:r>
    </w:p>
    <w:p>
      <w:pPr>
        <w:pStyle w:val="BodyText"/>
      </w:pPr>
      <w:r>
        <w:rPr>
          <w:bCs/>
          <w:b/>
        </w:rPr>
        <w:t xml:space="preserve">对HSM的具体影响</w:t>
      </w:r>
      <w:r>
        <w:t xml:space="preserve">：技术环境既是机遇也是挑战。技术融合为HSM开发智能化、平台化产品提供了技术支撑，技术迭代要求HSM必须保持高强度研发投入以维持技术领先，标准化趋势与HSM的产品化战略高度契合。HSM需要持续跟踪技术发展趋势，加强产学研合作，构建开放的技术创新生态。</w:t>
      </w:r>
    </w:p>
    <w:bookmarkEnd w:id="38"/>
    <w:bookmarkStart w:id="39" w:name="小结"/>
    <w:p>
      <w:pPr>
        <w:pStyle w:val="4"/>
      </w:pPr>
      <w:r>
        <w:t xml:space="preserve">3.1.5 小结</w:t>
      </w:r>
    </w:p>
    <w:p>
      <w:pPr>
        <w:pStyle w:val="FirstParagraph"/>
      </w:pPr>
      <w:r>
        <w:t xml:space="preserve">HSM面临的外部宏观环境呈现</w:t>
      </w:r>
      <w:r>
        <w:rPr>
          <w:bCs/>
          <w:b/>
        </w:rPr>
        <w:t xml:space="preserve">机遇大于挑战</w:t>
      </w:r>
      <w:r>
        <w:t xml:space="preserve">的格局。政策支持、市场需求增长、社会认知提升、技术融合创新等多重利好因素叠加，为视觉力学传感器行业创造了良好的发展环境。具体而言：</w:t>
      </w:r>
    </w:p>
    <w:p>
      <w:pPr>
        <w:pStyle w:val="BodyText"/>
      </w:pPr>
      <w:r>
        <w:rPr>
          <w:bCs/>
          <w:b/>
        </w:rPr>
        <w:t xml:space="preserve">机遇方面</w:t>
      </w:r>
      <w:r>
        <w:t xml:space="preserve">：（1）政策红利持续释放，国产替代战略为国内企业创造了市场空间；（2）经济环境向好，基础设施安全监测市场需求快速增长，为技术应用提供了广阔场景；（3）社会环境改善，技术认知度和安全意识提升降低了市场推广难度；（4）技术环境优化，新一代信息技术与传感器技术融合为产品创新提供了技术支撑。</w:t>
      </w:r>
    </w:p>
    <w:p>
      <w:pPr>
        <w:pStyle w:val="BodyText"/>
      </w:pPr>
      <w:r>
        <w:rPr>
          <w:bCs/>
          <w:b/>
        </w:rPr>
        <w:t xml:space="preserve">挑战方面</w:t>
      </w:r>
      <w:r>
        <w:t xml:space="preserve">：（1）国际竞争加剧，国际巨头凭借技术优势和品牌影响力抢占高端市场；（2）成本压力上升，原材料和人力成本持续攀升；（3）人才短缺问题突出，复合型技术人才供给不足；（4）技术迭代加速，需要持续高强度研发投入以保持技术领先。</w:t>
      </w:r>
    </w:p>
    <w:p>
      <w:pPr>
        <w:pStyle w:val="BodyText"/>
      </w:pPr>
      <w:r>
        <w:rPr>
          <w:bCs/>
          <w:b/>
        </w:rPr>
        <w:t xml:space="preserve">对HSM的战略启示</w:t>
      </w:r>
      <w:r>
        <w:t xml:space="preserve">：公司应充分利用外部环境的积极因素，加快技术升级和产品迭代，把握国产替代和数字化转型的市场机遇。同时，需要关注国际竞争动态，加强人才引进和培养，建立成本优势和技术壁垒，在快速变化的市场环境中构建可持续竞争优势。</w:t>
      </w:r>
    </w:p>
    <w:p>
      <w:r>
        <w:pict>
          <v:rect style="width:0;height:1.5pt" o:hralign="center" o:hrstd="t" o:hr="t"/>
        </w:pict>
      </w:r>
    </w:p>
    <w:bookmarkEnd w:id="39"/>
    <w:bookmarkEnd w:id="40"/>
    <w:bookmarkStart w:id="43" w:name="视觉力学传感器行业总体环境分析"/>
    <w:p>
      <w:pPr>
        <w:pStyle w:val="3"/>
      </w:pPr>
      <w:r>
        <w:t xml:space="preserve">3.2 视觉力学传感器行业总体环境分析</w:t>
      </w:r>
    </w:p>
    <w:bookmarkStart w:id="41" w:name="全球与中国市场对比分析"/>
    <w:p>
      <w:pPr>
        <w:pStyle w:val="4"/>
      </w:pPr>
      <w:r>
        <w:t xml:space="preserve">3.2.1 全球与中国市场对比分析</w:t>
      </w:r>
    </w:p>
    <w:p>
      <w:pPr>
        <w:pStyle w:val="FirstParagraph"/>
      </w:pPr>
      <w:r>
        <w:t xml:space="preserve">视觉力学传感器行业在全球范围内保持稳定增长，中国市场增速显著高于全球平均水平，成为全球最大的单一市场。</w:t>
      </w:r>
    </w:p>
    <w:p>
      <w:pPr>
        <w:pStyle w:val="BodyText"/>
      </w:pPr>
      <w:r>
        <w:rPr>
          <w:bCs/>
          <w:b/>
        </w:rPr>
        <w:t xml:space="preserve">表3-1 全球与中国DIC视觉传感器市场规模及增速对比表（2024-2031年）</w:t>
      </w:r>
    </w:p>
    <w:tbl>
      <w:tblPr>
        <w:tblStyle w:val="Table"/>
        <w:tblW w:type="pct" w:w="5000"/>
        <w:tblLook w:firstRow="1" w:lastRow="0" w:firstColumn="0" w:lastColumn="0" w:noHBand="0" w:noVBand="0" w:val="0020"/>
      </w:tblPr>
      <w:tblGrid>
        <w:gridCol w:w="500"/>
        <w:gridCol w:w="1750"/>
        <w:gridCol w:w="1167"/>
        <w:gridCol w:w="1750"/>
        <w:gridCol w:w="1167"/>
        <w:gridCol w:w="1584"/>
      </w:tblGrid>
      <w:tr>
        <w:trPr>
          <w:tblHeader w:val="true"/>
        </w:trPr>
        <w:tc>
          <w:tcPr/>
          <w:p>
            <w:pPr>
              <w:pStyle w:val="Compact"/>
              <w:jc w:val="left"/>
            </w:pPr>
            <w:r>
              <w:t xml:space="preserve">年份</w:t>
            </w:r>
          </w:p>
        </w:tc>
        <w:tc>
          <w:tcPr/>
          <w:p>
            <w:pPr>
              <w:pStyle w:val="Compact"/>
              <w:jc w:val="left"/>
            </w:pPr>
            <w:r>
              <w:t xml:space="preserve">全球市场规模（亿元）</w:t>
            </w:r>
          </w:p>
        </w:tc>
        <w:tc>
          <w:tcPr/>
          <w:p>
            <w:pPr>
              <w:pStyle w:val="Compact"/>
              <w:jc w:val="left"/>
            </w:pPr>
            <w:r>
              <w:t xml:space="preserve">全球增速（%）</w:t>
            </w:r>
          </w:p>
        </w:tc>
        <w:tc>
          <w:tcPr/>
          <w:p>
            <w:pPr>
              <w:pStyle w:val="Compact"/>
              <w:jc w:val="left"/>
            </w:pPr>
            <w:r>
              <w:t xml:space="preserve">中国市场规模（亿元）</w:t>
            </w:r>
          </w:p>
        </w:tc>
        <w:tc>
          <w:tcPr/>
          <w:p>
            <w:pPr>
              <w:pStyle w:val="Compact"/>
              <w:jc w:val="left"/>
            </w:pPr>
            <w:r>
              <w:t xml:space="preserve">中国增速（%）</w:t>
            </w:r>
          </w:p>
        </w:tc>
        <w:tc>
          <w:tcPr/>
          <w:p>
            <w:pPr>
              <w:pStyle w:val="Compact"/>
              <w:jc w:val="left"/>
            </w:pPr>
            <w:r>
              <w:t xml:space="preserve">中国占全球份额（%）</w:t>
            </w:r>
          </w:p>
        </w:tc>
      </w:tr>
      <w:tr>
        <w:tc>
          <w:tcPr/>
          <w:p>
            <w:pPr>
              <w:pStyle w:val="Compact"/>
              <w:jc w:val="left"/>
            </w:pPr>
            <w:r>
              <w:t xml:space="preserve">2024</w:t>
            </w:r>
          </w:p>
        </w:tc>
        <w:tc>
          <w:tcPr/>
          <w:p>
            <w:pPr>
              <w:pStyle w:val="Compact"/>
              <w:jc w:val="left"/>
            </w:pPr>
            <w:r>
              <w:t xml:space="preserve">85</w:t>
            </w:r>
          </w:p>
        </w:tc>
        <w:tc>
          <w:tcPr/>
          <w:p>
            <w:pPr>
              <w:pStyle w:val="Compact"/>
              <w:jc w:val="left"/>
            </w:pPr>
            <w:r>
              <w:t xml:space="preserve">-</w:t>
            </w:r>
          </w:p>
        </w:tc>
        <w:tc>
          <w:tcPr/>
          <w:p>
            <w:pPr>
              <w:pStyle w:val="Compact"/>
              <w:jc w:val="left"/>
            </w:pPr>
            <w:r>
              <w:t xml:space="preserve">30</w:t>
            </w:r>
          </w:p>
        </w:tc>
        <w:tc>
          <w:tcPr/>
          <w:p>
            <w:pPr>
              <w:pStyle w:val="Compact"/>
              <w:jc w:val="left"/>
            </w:pPr>
            <w:r>
              <w:t xml:space="preserve">-</w:t>
            </w:r>
          </w:p>
        </w:tc>
        <w:tc>
          <w:tcPr/>
          <w:p>
            <w:pPr>
              <w:pStyle w:val="Compact"/>
              <w:jc w:val="left"/>
            </w:pPr>
            <w:r>
              <w:t xml:space="preserve">35.3</w:t>
            </w:r>
          </w:p>
        </w:tc>
      </w:tr>
      <w:tr>
        <w:tc>
          <w:tcPr/>
          <w:p>
            <w:pPr>
              <w:pStyle w:val="Compact"/>
              <w:jc w:val="left"/>
            </w:pPr>
            <w:r>
              <w:t xml:space="preserve">2025</w:t>
            </w:r>
          </w:p>
        </w:tc>
        <w:tc>
          <w:tcPr/>
          <w:p>
            <w:pPr>
              <w:pStyle w:val="Compact"/>
              <w:jc w:val="left"/>
            </w:pPr>
            <w:r>
              <w:t xml:space="preserve">92</w:t>
            </w:r>
          </w:p>
        </w:tc>
        <w:tc>
          <w:tcPr/>
          <w:p>
            <w:pPr>
              <w:pStyle w:val="Compact"/>
              <w:jc w:val="left"/>
            </w:pPr>
            <w:r>
              <w:t xml:space="preserve">8.2</w:t>
            </w:r>
          </w:p>
        </w:tc>
        <w:tc>
          <w:tcPr/>
          <w:p>
            <w:pPr>
              <w:pStyle w:val="Compact"/>
              <w:jc w:val="left"/>
            </w:pPr>
            <w:r>
              <w:t xml:space="preserve">33</w:t>
            </w:r>
          </w:p>
        </w:tc>
        <w:tc>
          <w:tcPr/>
          <w:p>
            <w:pPr>
              <w:pStyle w:val="Compact"/>
              <w:jc w:val="left"/>
            </w:pPr>
            <w:r>
              <w:t xml:space="preserve">10.0</w:t>
            </w:r>
          </w:p>
        </w:tc>
        <w:tc>
          <w:tcPr/>
          <w:p>
            <w:pPr>
              <w:pStyle w:val="Compact"/>
              <w:jc w:val="left"/>
            </w:pPr>
            <w:r>
              <w:t xml:space="preserve">35.9</w:t>
            </w:r>
          </w:p>
        </w:tc>
      </w:tr>
      <w:tr>
        <w:tc>
          <w:tcPr/>
          <w:p>
            <w:pPr>
              <w:pStyle w:val="Compact"/>
              <w:jc w:val="left"/>
            </w:pPr>
            <w:r>
              <w:t xml:space="preserve">2026</w:t>
            </w:r>
          </w:p>
        </w:tc>
        <w:tc>
          <w:tcPr/>
          <w:p>
            <w:pPr>
              <w:pStyle w:val="Compact"/>
              <w:jc w:val="left"/>
            </w:pPr>
            <w:r>
              <w:t xml:space="preserve">100</w:t>
            </w:r>
          </w:p>
        </w:tc>
        <w:tc>
          <w:tcPr/>
          <w:p>
            <w:pPr>
              <w:pStyle w:val="Compact"/>
              <w:jc w:val="left"/>
            </w:pPr>
            <w:r>
              <w:t xml:space="preserve">8.7</w:t>
            </w:r>
          </w:p>
        </w:tc>
        <w:tc>
          <w:tcPr/>
          <w:p>
            <w:pPr>
              <w:pStyle w:val="Compact"/>
              <w:jc w:val="left"/>
            </w:pPr>
            <w:r>
              <w:t xml:space="preserve">37</w:t>
            </w:r>
          </w:p>
        </w:tc>
        <w:tc>
          <w:tcPr/>
          <w:p>
            <w:pPr>
              <w:pStyle w:val="Compact"/>
              <w:jc w:val="left"/>
            </w:pPr>
            <w:r>
              <w:t xml:space="preserve">12.1</w:t>
            </w:r>
          </w:p>
        </w:tc>
        <w:tc>
          <w:tcPr/>
          <w:p>
            <w:pPr>
              <w:pStyle w:val="Compact"/>
              <w:jc w:val="left"/>
            </w:pPr>
            <w:r>
              <w:t xml:space="preserve">37.0</w:t>
            </w:r>
          </w:p>
        </w:tc>
      </w:tr>
      <w:tr>
        <w:tc>
          <w:tcPr/>
          <w:p>
            <w:pPr>
              <w:pStyle w:val="Compact"/>
              <w:jc w:val="left"/>
            </w:pPr>
            <w:r>
              <w:t xml:space="preserve">2027</w:t>
            </w:r>
          </w:p>
        </w:tc>
        <w:tc>
          <w:tcPr/>
          <w:p>
            <w:pPr>
              <w:pStyle w:val="Compact"/>
              <w:jc w:val="left"/>
            </w:pPr>
            <w:r>
              <w:t xml:space="preserve">108</w:t>
            </w:r>
          </w:p>
        </w:tc>
        <w:tc>
          <w:tcPr/>
          <w:p>
            <w:pPr>
              <w:pStyle w:val="Compact"/>
              <w:jc w:val="left"/>
            </w:pPr>
            <w:r>
              <w:t xml:space="preserve">8.0</w:t>
            </w:r>
          </w:p>
        </w:tc>
        <w:tc>
          <w:tcPr/>
          <w:p>
            <w:pPr>
              <w:pStyle w:val="Compact"/>
              <w:jc w:val="left"/>
            </w:pPr>
            <w:r>
              <w:t xml:space="preserve">41</w:t>
            </w:r>
          </w:p>
        </w:tc>
        <w:tc>
          <w:tcPr/>
          <w:p>
            <w:pPr>
              <w:pStyle w:val="Compact"/>
              <w:jc w:val="left"/>
            </w:pPr>
            <w:r>
              <w:t xml:space="preserve">10.8</w:t>
            </w:r>
          </w:p>
        </w:tc>
        <w:tc>
          <w:tcPr/>
          <w:p>
            <w:pPr>
              <w:pStyle w:val="Compact"/>
              <w:jc w:val="left"/>
            </w:pPr>
            <w:r>
              <w:t xml:space="preserve">38.0</w:t>
            </w:r>
          </w:p>
        </w:tc>
      </w:tr>
      <w:tr>
        <w:tc>
          <w:tcPr/>
          <w:p>
            <w:pPr>
              <w:pStyle w:val="Compact"/>
              <w:jc w:val="left"/>
            </w:pPr>
            <w:r>
              <w:t xml:space="preserve">2028</w:t>
            </w:r>
          </w:p>
        </w:tc>
        <w:tc>
          <w:tcPr/>
          <w:p>
            <w:pPr>
              <w:pStyle w:val="Compact"/>
              <w:jc w:val="left"/>
            </w:pPr>
            <w:r>
              <w:t xml:space="preserve">117</w:t>
            </w:r>
          </w:p>
        </w:tc>
        <w:tc>
          <w:tcPr/>
          <w:p>
            <w:pPr>
              <w:pStyle w:val="Compact"/>
              <w:jc w:val="left"/>
            </w:pPr>
            <w:r>
              <w:t xml:space="preserve">8.3</w:t>
            </w:r>
          </w:p>
        </w:tc>
        <w:tc>
          <w:tcPr/>
          <w:p>
            <w:pPr>
              <w:pStyle w:val="Compact"/>
              <w:jc w:val="left"/>
            </w:pPr>
            <w:r>
              <w:t xml:space="preserve">46</w:t>
            </w:r>
          </w:p>
        </w:tc>
        <w:tc>
          <w:tcPr/>
          <w:p>
            <w:pPr>
              <w:pStyle w:val="Compact"/>
              <w:jc w:val="left"/>
            </w:pPr>
            <w:r>
              <w:t xml:space="preserve">12.2</w:t>
            </w:r>
          </w:p>
        </w:tc>
        <w:tc>
          <w:tcPr/>
          <w:p>
            <w:pPr>
              <w:pStyle w:val="Compact"/>
              <w:jc w:val="left"/>
            </w:pPr>
            <w:r>
              <w:t xml:space="preserve">39.3</w:t>
            </w:r>
          </w:p>
        </w:tc>
      </w:tr>
      <w:tr>
        <w:tc>
          <w:tcPr/>
          <w:p>
            <w:pPr>
              <w:pStyle w:val="Compact"/>
              <w:jc w:val="left"/>
            </w:pPr>
            <w:r>
              <w:t xml:space="preserve">2029</w:t>
            </w:r>
          </w:p>
        </w:tc>
        <w:tc>
          <w:tcPr/>
          <w:p>
            <w:pPr>
              <w:pStyle w:val="Compact"/>
              <w:jc w:val="left"/>
            </w:pPr>
            <w:r>
              <w:t xml:space="preserve">127</w:t>
            </w:r>
          </w:p>
        </w:tc>
        <w:tc>
          <w:tcPr/>
          <w:p>
            <w:pPr>
              <w:pStyle w:val="Compact"/>
              <w:jc w:val="left"/>
            </w:pPr>
            <w:r>
              <w:t xml:space="preserve">8.5</w:t>
            </w:r>
          </w:p>
        </w:tc>
        <w:tc>
          <w:tcPr/>
          <w:p>
            <w:pPr>
              <w:pStyle w:val="Compact"/>
              <w:jc w:val="left"/>
            </w:pPr>
            <w:r>
              <w:t xml:space="preserve">51</w:t>
            </w:r>
          </w:p>
        </w:tc>
        <w:tc>
          <w:tcPr/>
          <w:p>
            <w:pPr>
              <w:pStyle w:val="Compact"/>
              <w:jc w:val="left"/>
            </w:pPr>
            <w:r>
              <w:t xml:space="preserve">10.9</w:t>
            </w:r>
          </w:p>
        </w:tc>
        <w:tc>
          <w:tcPr/>
          <w:p>
            <w:pPr>
              <w:pStyle w:val="Compact"/>
              <w:jc w:val="left"/>
            </w:pPr>
            <w:r>
              <w:t xml:space="preserve">40.2</w:t>
            </w:r>
          </w:p>
        </w:tc>
      </w:tr>
      <w:tr>
        <w:tc>
          <w:tcPr/>
          <w:p>
            <w:pPr>
              <w:pStyle w:val="Compact"/>
              <w:jc w:val="left"/>
            </w:pPr>
            <w:r>
              <w:t xml:space="preserve">2030</w:t>
            </w:r>
          </w:p>
        </w:tc>
        <w:tc>
          <w:tcPr/>
          <w:p>
            <w:pPr>
              <w:pStyle w:val="Compact"/>
              <w:jc w:val="left"/>
            </w:pPr>
            <w:r>
              <w:t xml:space="preserve">138</w:t>
            </w:r>
          </w:p>
        </w:tc>
        <w:tc>
          <w:tcPr/>
          <w:p>
            <w:pPr>
              <w:pStyle w:val="Compact"/>
              <w:jc w:val="left"/>
            </w:pPr>
            <w:r>
              <w:t xml:space="preserve">8.7</w:t>
            </w:r>
          </w:p>
        </w:tc>
        <w:tc>
          <w:tcPr/>
          <w:p>
            <w:pPr>
              <w:pStyle w:val="Compact"/>
              <w:jc w:val="left"/>
            </w:pPr>
            <w:r>
              <w:t xml:space="preserve">56</w:t>
            </w:r>
          </w:p>
        </w:tc>
        <w:tc>
          <w:tcPr/>
          <w:p>
            <w:pPr>
              <w:pStyle w:val="Compact"/>
              <w:jc w:val="left"/>
            </w:pPr>
            <w:r>
              <w:t xml:space="preserve">9.8</w:t>
            </w:r>
          </w:p>
        </w:tc>
        <w:tc>
          <w:tcPr/>
          <w:p>
            <w:pPr>
              <w:pStyle w:val="Compact"/>
              <w:jc w:val="left"/>
            </w:pPr>
            <w:r>
              <w:t xml:space="preserve">40.6</w:t>
            </w:r>
          </w:p>
        </w:tc>
      </w:tr>
      <w:tr>
        <w:tc>
          <w:tcPr/>
          <w:p>
            <w:pPr>
              <w:pStyle w:val="Compact"/>
              <w:jc w:val="left"/>
            </w:pPr>
            <w:r>
              <w:t xml:space="preserve">2031</w:t>
            </w:r>
          </w:p>
        </w:tc>
        <w:tc>
          <w:tcPr/>
          <w:p>
            <w:pPr>
              <w:pStyle w:val="Compact"/>
              <w:jc w:val="left"/>
            </w:pPr>
            <w:r>
              <w:t xml:space="preserve">150</w:t>
            </w:r>
          </w:p>
        </w:tc>
        <w:tc>
          <w:tcPr/>
          <w:p>
            <w:pPr>
              <w:pStyle w:val="Compact"/>
              <w:jc w:val="left"/>
            </w:pPr>
            <w:r>
              <w:t xml:space="preserve">8.7</w:t>
            </w:r>
          </w:p>
        </w:tc>
        <w:tc>
          <w:tcPr/>
          <w:p>
            <w:pPr>
              <w:pStyle w:val="Compact"/>
              <w:jc w:val="left"/>
            </w:pPr>
            <w:r>
              <w:t xml:space="preserve">60</w:t>
            </w:r>
          </w:p>
        </w:tc>
        <w:tc>
          <w:tcPr/>
          <w:p>
            <w:pPr>
              <w:pStyle w:val="Compact"/>
              <w:jc w:val="left"/>
            </w:pPr>
            <w:r>
              <w:t xml:space="preserve">7.1</w:t>
            </w:r>
          </w:p>
        </w:tc>
        <w:tc>
          <w:tcPr/>
          <w:p>
            <w:pPr>
              <w:pStyle w:val="Compact"/>
              <w:jc w:val="left"/>
            </w:pPr>
            <w:r>
              <w:t xml:space="preserve">40.0</w:t>
            </w:r>
          </w:p>
        </w:tc>
      </w:tr>
    </w:tbl>
    <w:p>
      <w:pPr>
        <w:pStyle w:val="BodyText"/>
      </w:pPr>
      <w:r>
        <w:rPr>
          <w:iCs/>
          <w:i/>
        </w:rPr>
        <w:t xml:space="preserve">数据来源：综合QYResearch《2026-2032全球及中国隔离器芯片行业研究报告》、百谏方略（DIResearch）隔离器芯片市场调研数据测算</w:t>
      </w:r>
    </w:p>
    <w:p>
      <w:pPr>
        <w:pStyle w:val="BodyText"/>
      </w:pPr>
      <w:r>
        <w:rPr>
          <w:bCs/>
          <w:b/>
        </w:rPr>
        <w:t xml:space="preserve">市场特征分析</w:t>
      </w:r>
      <w:r>
        <w:t xml:space="preserve">：</w:t>
      </w:r>
      <w:r>
        <w:t xml:space="preserve"> </w:t>
      </w:r>
      <w:r>
        <w:t xml:space="preserve">-</w:t>
      </w:r>
      <w:r>
        <w:t xml:space="preserve"> </w:t>
      </w:r>
      <w:r>
        <w:rPr>
          <w:bCs/>
          <w:b/>
        </w:rPr>
        <w:t xml:space="preserve">全球市场</w:t>
      </w:r>
      <w:r>
        <w:t xml:space="preserve">：呈现稳健增长态势，年复合增长率8.5%。北美市场技术研发领先，高端应用需求旺盛；欧洲市场工业基础雄厚，质量检测要求严格；亚太市场制造业集中，市场规模增长最快。</w:t>
      </w:r>
      <w:r>
        <w:t xml:space="preserve"> </w:t>
      </w:r>
      <w:r>
        <w:t xml:space="preserve">-</w:t>
      </w:r>
      <w:r>
        <w:t xml:space="preserve"> </w:t>
      </w:r>
      <w:r>
        <w:rPr>
          <w:bCs/>
          <w:b/>
        </w:rPr>
        <w:t xml:space="preserve">中国市场</w:t>
      </w:r>
      <w:r>
        <w:t xml:space="preserve">：增长速度快于全球，年复合增长率达10%。政策支持力度大，国家高度重视传感器产业发展；应用场景丰富，制造业转型升级为视觉传感器提供广阔应用空间；产业链完整，从原材料到终端应用的完整产业链体系基本形成。</w:t>
      </w:r>
    </w:p>
    <w:p>
      <w:pPr>
        <w:pStyle w:val="BodyText"/>
      </w:pPr>
      <w:r>
        <w:rPr>
          <w:bCs/>
          <w:b/>
        </w:rPr>
        <w:t xml:space="preserve">市场驱动因素</w:t>
      </w:r>
      <w:r>
        <w:t xml:space="preserve">：（1）智能制造推进：工业4.0、智能制造战略实施，对在线检测和过程监控需求增加；（2）新材料应用：复合材料、柔性材料等新材料的发展，需要新的测量方法和设备；（3）安全标准提高：各行业安全标准不断提升，推动结构健康监测市场需求；（4）成本降低：技术进步和规模化生产使传感器价格下降，拓展了应用场景。</w:t>
      </w:r>
    </w:p>
    <w:bookmarkEnd w:id="41"/>
    <w:bookmarkStart w:id="42" w:name="主要竞争对手分析"/>
    <w:p>
      <w:pPr>
        <w:pStyle w:val="4"/>
      </w:pPr>
      <w:r>
        <w:t xml:space="preserve">3.2.2 主要竞争对手分析</w:t>
      </w:r>
    </w:p>
    <w:p>
      <w:pPr>
        <w:pStyle w:val="FirstParagraph"/>
      </w:pPr>
      <w:r>
        <w:t xml:space="preserve">视觉力学传感器行业竞争格局呈现梯队化特征，国际巨头占据高端市场，国内企业在细分领域形成差异化竞争。</w:t>
      </w:r>
    </w:p>
    <w:p>
      <w:pPr>
        <w:pStyle w:val="BodyText"/>
      </w:pPr>
      <w:r>
        <w:rPr>
          <w:bCs/>
          <w:b/>
        </w:rPr>
        <w:t xml:space="preserve">表3-2 视觉力学传感器主要企业概览对比表</w:t>
      </w:r>
    </w:p>
    <w:tbl>
      <w:tblPr>
        <w:tblStyle w:val="Table"/>
        <w:tblW w:type="pct" w:w="5000"/>
        <w:tblLook w:firstRow="1" w:lastRow="0" w:firstColumn="0" w:lastColumn="0" w:noHBand="0" w:noVBand="0" w:val="0020"/>
      </w:tblPr>
      <w:tblGrid>
        <w:gridCol w:w="1131"/>
        <w:gridCol w:w="678"/>
        <w:gridCol w:w="1584"/>
        <w:gridCol w:w="1131"/>
        <w:gridCol w:w="1131"/>
        <w:gridCol w:w="1131"/>
        <w:gridCol w:w="1131"/>
      </w:tblGrid>
      <w:tr>
        <w:trPr>
          <w:tblHeader w:val="true"/>
        </w:trPr>
        <w:tc>
          <w:tcPr/>
          <w:p>
            <w:pPr>
              <w:pStyle w:val="Compact"/>
              <w:jc w:val="left"/>
            </w:pPr>
            <w:r>
              <w:t xml:space="preserve">企业名称</w:t>
            </w:r>
          </w:p>
        </w:tc>
        <w:tc>
          <w:tcPr/>
          <w:p>
            <w:pPr>
              <w:pStyle w:val="Compact"/>
              <w:jc w:val="left"/>
            </w:pPr>
            <w:r>
              <w:t xml:space="preserve">国别</w:t>
            </w:r>
          </w:p>
        </w:tc>
        <w:tc>
          <w:tcPr/>
          <w:p>
            <w:pPr>
              <w:pStyle w:val="Compact"/>
              <w:jc w:val="left"/>
            </w:pPr>
            <w:r>
              <w:t xml:space="preserve">核心技术/产品</w:t>
            </w:r>
          </w:p>
        </w:tc>
        <w:tc>
          <w:tcPr/>
          <w:p>
            <w:pPr>
              <w:pStyle w:val="Compact"/>
              <w:jc w:val="left"/>
            </w:pPr>
            <w:r>
              <w:t xml:space="preserve">市场定位</w:t>
            </w:r>
          </w:p>
        </w:tc>
        <w:tc>
          <w:tcPr/>
          <w:p>
            <w:pPr>
              <w:pStyle w:val="Compact"/>
              <w:jc w:val="left"/>
            </w:pPr>
            <w:r>
              <w:t xml:space="preserve">核心优势</w:t>
            </w:r>
          </w:p>
        </w:tc>
        <w:tc>
          <w:tcPr/>
          <w:p>
            <w:pPr>
              <w:pStyle w:val="Compact"/>
              <w:jc w:val="left"/>
            </w:pPr>
            <w:r>
              <w:t xml:space="preserve">主要劣势</w:t>
            </w:r>
          </w:p>
        </w:tc>
        <w:tc>
          <w:tcPr/>
          <w:p>
            <w:pPr>
              <w:pStyle w:val="Compact"/>
              <w:jc w:val="left"/>
            </w:pPr>
            <w:r>
              <w:t xml:space="preserve">竞争压力</w:t>
            </w:r>
          </w:p>
        </w:tc>
      </w:tr>
      <w:tr>
        <w:tc>
          <w:tcPr/>
          <w:p>
            <w:pPr>
              <w:pStyle w:val="Compact"/>
              <w:jc w:val="left"/>
            </w:pPr>
            <w:r>
              <w:rPr>
                <w:bCs/>
                <w:b/>
              </w:rPr>
              <w:t xml:space="preserve">国际竞争对手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德国GOM公司</w:t>
            </w:r>
          </w:p>
        </w:tc>
        <w:tc>
          <w:tcPr/>
          <w:p>
            <w:pPr>
              <w:pStyle w:val="Compact"/>
              <w:jc w:val="left"/>
            </w:pPr>
            <w:r>
              <w:t xml:space="preserve">德国</w:t>
            </w:r>
          </w:p>
        </w:tc>
        <w:tc>
          <w:tcPr/>
          <w:p>
            <w:pPr>
              <w:pStyle w:val="Compact"/>
              <w:jc w:val="left"/>
            </w:pPr>
            <w:r>
              <w:t xml:space="preserve">ATOS系列三维扫描仪</w:t>
            </w:r>
          </w:p>
        </w:tc>
        <w:tc>
          <w:tcPr/>
          <w:p>
            <w:pPr>
              <w:pStyle w:val="Compact"/>
              <w:jc w:val="left"/>
            </w:pPr>
            <w:r>
              <w:t xml:space="preserve">高端科研和工业应用</w:t>
            </w:r>
          </w:p>
        </w:tc>
        <w:tc>
          <w:tcPr/>
          <w:p>
            <w:pPr>
              <w:pStyle w:val="Compact"/>
              <w:jc w:val="left"/>
            </w:pPr>
            <w:r>
              <w:t xml:space="preserve">技术积累深厚，品牌影响力强，全球销售网络完善</w:t>
            </w:r>
          </w:p>
        </w:tc>
        <w:tc>
          <w:tcPr/>
          <w:p>
            <w:pPr>
              <w:pStyle w:val="Compact"/>
              <w:jc w:val="left"/>
            </w:pPr>
            <w:r>
              <w:t xml:space="preserve">价格昂贵（设备价格通常在100万元以上），对中国市场响应慢，产品标准化程度低</w:t>
            </w:r>
          </w:p>
        </w:tc>
        <w:tc>
          <w:tcPr/>
          <w:p>
            <w:pPr>
              <w:pStyle w:val="Compact"/>
              <w:jc w:val="left"/>
            </w:pPr>
            <w:r>
              <w:t xml:space="preserve">高端市场技术压制和品牌压制</w:t>
            </w:r>
          </w:p>
        </w:tc>
      </w:tr>
      <w:tr>
        <w:tc>
          <w:tcPr/>
          <w:p>
            <w:pPr>
              <w:pStyle w:val="Compact"/>
              <w:jc w:val="left"/>
            </w:pPr>
            <w:r>
              <w:t xml:space="preserve">美国Correlated Solutions</w:t>
            </w:r>
          </w:p>
        </w:tc>
        <w:tc>
          <w:tcPr/>
          <w:p>
            <w:pPr>
              <w:pStyle w:val="Compact"/>
              <w:jc w:val="left"/>
            </w:pPr>
            <w:r>
              <w:t xml:space="preserve">美国</w:t>
            </w:r>
          </w:p>
        </w:tc>
        <w:tc>
          <w:tcPr/>
          <w:p>
            <w:pPr>
              <w:pStyle w:val="Compact"/>
              <w:jc w:val="left"/>
            </w:pPr>
            <w:r>
              <w:t xml:space="preserve">Vic-3D系列DIC系统</w:t>
            </w:r>
          </w:p>
        </w:tc>
        <w:tc>
          <w:tcPr/>
          <w:p>
            <w:pPr>
              <w:pStyle w:val="Compact"/>
              <w:jc w:val="left"/>
            </w:pPr>
            <w:r>
              <w:t xml:space="preserve">科研机构和高端工业用户</w:t>
            </w:r>
          </w:p>
        </w:tc>
        <w:tc>
          <w:tcPr/>
          <w:p>
            <w:pPr>
              <w:pStyle w:val="Compact"/>
              <w:jc w:val="left"/>
            </w:pPr>
            <w:r>
              <w:t xml:space="preserve">软件算法先进，测量精度高，学术影响力强</w:t>
            </w:r>
          </w:p>
        </w:tc>
        <w:tc>
          <w:tcPr/>
          <w:p>
            <w:pPr>
              <w:pStyle w:val="Compact"/>
              <w:jc w:val="left"/>
            </w:pPr>
            <w:r>
              <w:t xml:space="preserve">硬件依赖第三方，系统集成度低，市场推广不足</w:t>
            </w:r>
          </w:p>
        </w:tc>
        <w:tc>
          <w:tcPr/>
          <w:p>
            <w:pPr>
              <w:pStyle w:val="Compact"/>
              <w:jc w:val="left"/>
            </w:pPr>
            <w:r>
              <w:t xml:space="preserve">高端科研市场技术竞争</w:t>
            </w:r>
          </w:p>
        </w:tc>
      </w:tr>
      <w:tr>
        <w:tc>
          <w:tcPr/>
          <w:p>
            <w:pPr>
              <w:pStyle w:val="Compact"/>
              <w:jc w:val="left"/>
            </w:pPr>
            <w:r>
              <w:t xml:space="preserve">日本Keyence公司</w:t>
            </w:r>
          </w:p>
        </w:tc>
        <w:tc>
          <w:tcPr/>
          <w:p>
            <w:pPr>
              <w:pStyle w:val="Compact"/>
              <w:jc w:val="left"/>
            </w:pPr>
            <w:r>
              <w:t xml:space="preserve">日本</w:t>
            </w:r>
          </w:p>
        </w:tc>
        <w:tc>
          <w:tcPr/>
          <w:p>
            <w:pPr>
              <w:pStyle w:val="Compact"/>
              <w:jc w:val="left"/>
            </w:pPr>
            <w:r>
              <w:t xml:space="preserve">多维视觉测量系统</w:t>
            </w:r>
          </w:p>
        </w:tc>
        <w:tc>
          <w:tcPr/>
          <w:p>
            <w:pPr>
              <w:pStyle w:val="Compact"/>
              <w:jc w:val="left"/>
            </w:pPr>
            <w:r>
              <w:t xml:space="preserve">工业自动化市场</w:t>
            </w:r>
          </w:p>
        </w:tc>
        <w:tc>
          <w:tcPr/>
          <w:p>
            <w:pPr>
              <w:pStyle w:val="Compact"/>
              <w:jc w:val="left"/>
            </w:pPr>
            <w:r>
              <w:t xml:space="preserve">产品线丰富，市场响应快，服务网络完善</w:t>
            </w:r>
          </w:p>
        </w:tc>
        <w:tc>
          <w:tcPr/>
          <w:p>
            <w:pPr>
              <w:pStyle w:val="Compact"/>
              <w:jc w:val="left"/>
            </w:pPr>
            <w:r>
              <w:t xml:space="preserve">DIC非核心业务，技术深度有限，定制化能力弱</w:t>
            </w:r>
          </w:p>
        </w:tc>
        <w:tc>
          <w:tcPr/>
          <w:p>
            <w:pPr>
              <w:pStyle w:val="Compact"/>
              <w:jc w:val="left"/>
            </w:pPr>
            <w:r>
              <w:t xml:space="preserve">中端市场产品线竞争</w:t>
            </w:r>
          </w:p>
        </w:tc>
      </w:tr>
      <w:tr>
        <w:tc>
          <w:tcPr/>
          <w:p>
            <w:pPr>
              <w:pStyle w:val="Compact"/>
              <w:jc w:val="left"/>
            </w:pPr>
            <w:r>
              <w:rPr>
                <w:bCs/>
                <w:b/>
              </w:rPr>
              <w:t xml:space="preserve">国内竞争对手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亿维股份（亿维锐创）</w:t>
            </w:r>
          </w:p>
        </w:tc>
        <w:tc>
          <w:tcPr/>
          <w:p>
            <w:pPr>
              <w:pStyle w:val="Compact"/>
              <w:jc w:val="left"/>
            </w:pPr>
            <w:r>
              <w:t xml:space="preserve">中国</w:t>
            </w:r>
          </w:p>
        </w:tc>
        <w:tc>
          <w:tcPr/>
          <w:p>
            <w:pPr>
              <w:pStyle w:val="Compact"/>
              <w:jc w:val="left"/>
            </w:pPr>
            <w:r>
              <w:t xml:space="preserve">AI在线视觉监测仪</w:t>
            </w:r>
          </w:p>
        </w:tc>
        <w:tc>
          <w:tcPr/>
          <w:p>
            <w:pPr>
              <w:pStyle w:val="Compact"/>
              <w:jc w:val="left"/>
            </w:pPr>
            <w:r>
              <w:t xml:space="preserve">交通基础设施安全监测</w:t>
            </w:r>
          </w:p>
        </w:tc>
        <w:tc>
          <w:tcPr/>
          <w:p>
            <w:pPr>
              <w:pStyle w:val="Compact"/>
              <w:jc w:val="left"/>
            </w:pPr>
            <w:r>
              <w:t xml:space="preserve">AI视觉监测技术领先，斜光轴DIC技术获2025年中国公路学会技术创新一等奖</w:t>
            </w:r>
          </w:p>
        </w:tc>
        <w:tc>
          <w:tcPr/>
          <w:p>
            <w:pPr>
              <w:pStyle w:val="Compact"/>
              <w:jc w:val="left"/>
            </w:pPr>
            <w:r>
              <w:t xml:space="preserve">成立时间较短，品牌影响力仍在建立中，产品线相对单一</w:t>
            </w:r>
          </w:p>
        </w:tc>
        <w:tc>
          <w:tcPr/>
          <w:p>
            <w:pPr>
              <w:pStyle w:val="Compact"/>
              <w:jc w:val="left"/>
            </w:pPr>
            <w:r>
              <w:t xml:space="preserve">交通监测领域的技术竞争</w:t>
            </w:r>
          </w:p>
        </w:tc>
      </w:tr>
      <w:tr>
        <w:tc>
          <w:tcPr/>
          <w:p>
            <w:pPr>
              <w:pStyle w:val="Compact"/>
              <w:jc w:val="left"/>
            </w:pPr>
            <w:r>
              <w:t xml:space="preserve">基康仪器</w:t>
            </w:r>
          </w:p>
        </w:tc>
        <w:tc>
          <w:tcPr/>
          <w:p>
            <w:pPr>
              <w:pStyle w:val="Compact"/>
              <w:jc w:val="left"/>
            </w:pPr>
            <w:r>
              <w:t xml:space="preserve">中国</w:t>
            </w:r>
          </w:p>
        </w:tc>
        <w:tc>
          <w:tcPr/>
          <w:p>
            <w:pPr>
              <w:pStyle w:val="Compact"/>
              <w:jc w:val="left"/>
            </w:pPr>
            <w:r>
              <w:t xml:space="preserve">机器视觉变形监测系统</w:t>
            </w:r>
          </w:p>
        </w:tc>
        <w:tc>
          <w:tcPr/>
          <w:p>
            <w:pPr>
              <w:pStyle w:val="Compact"/>
              <w:jc w:val="left"/>
            </w:pPr>
            <w:r>
              <w:t xml:space="preserve">智能安全监测终端和系统解决方案</w:t>
            </w:r>
          </w:p>
        </w:tc>
        <w:tc>
          <w:tcPr/>
          <w:p>
            <w:pPr>
              <w:pStyle w:val="Compact"/>
              <w:jc w:val="left"/>
            </w:pPr>
            <w:r>
              <w:t xml:space="preserve">国家级专精特新”小巨人”，水利能源、交通等行业应用广泛</w:t>
            </w:r>
          </w:p>
        </w:tc>
        <w:tc>
          <w:tcPr/>
          <w:p>
            <w:pPr>
              <w:pStyle w:val="Compact"/>
              <w:jc w:val="left"/>
            </w:pPr>
            <w:r>
              <w:t xml:space="preserve">传统监测企业转型，视觉监测技术积累相对较浅</w:t>
            </w:r>
          </w:p>
        </w:tc>
        <w:tc>
          <w:tcPr/>
          <w:p>
            <w:pPr>
              <w:pStyle w:val="Compact"/>
              <w:jc w:val="left"/>
            </w:pPr>
            <w:r>
              <w:t xml:space="preserve">行业解决方案市场竞争</w:t>
            </w:r>
          </w:p>
        </w:tc>
      </w:tr>
      <w:tr>
        <w:tc>
          <w:tcPr/>
          <w:p>
            <w:pPr>
              <w:pStyle w:val="Compact"/>
              <w:jc w:val="left"/>
            </w:pPr>
            <w:r>
              <w:t xml:space="preserve">中科检测技术</w:t>
            </w:r>
          </w:p>
        </w:tc>
        <w:tc>
          <w:tcPr/>
          <w:p>
            <w:pPr>
              <w:pStyle w:val="Compact"/>
              <w:jc w:val="left"/>
            </w:pPr>
            <w:r>
              <w:t xml:space="preserve">中国</w:t>
            </w:r>
          </w:p>
        </w:tc>
        <w:tc>
          <w:tcPr/>
          <w:p>
            <w:pPr>
              <w:pStyle w:val="Compact"/>
              <w:jc w:val="left"/>
            </w:pPr>
            <w:r>
              <w:t xml:space="preserve">综合检测服务</w:t>
            </w:r>
          </w:p>
        </w:tc>
        <w:tc>
          <w:tcPr/>
          <w:p>
            <w:pPr>
              <w:pStyle w:val="Compact"/>
              <w:jc w:val="left"/>
            </w:pPr>
            <w:r>
              <w:t xml:space="preserve">政府项目和大型企业检测服务</w:t>
            </w:r>
          </w:p>
        </w:tc>
        <w:tc>
          <w:tcPr/>
          <w:p>
            <w:pPr>
              <w:pStyle w:val="Compact"/>
              <w:jc w:val="left"/>
            </w:pPr>
            <w:r>
              <w:t xml:space="preserve">国有背景，资源丰富，检测资质齐全</w:t>
            </w:r>
          </w:p>
        </w:tc>
        <w:tc>
          <w:tcPr/>
          <w:p>
            <w:pPr>
              <w:pStyle w:val="Compact"/>
              <w:jc w:val="left"/>
            </w:pPr>
            <w:r>
              <w:t xml:space="preserve">技术创新不足，市场化程度低，响应速度慢</w:t>
            </w:r>
          </w:p>
        </w:tc>
        <w:tc>
          <w:tcPr/>
          <w:p>
            <w:pPr>
              <w:pStyle w:val="Compact"/>
              <w:jc w:val="left"/>
            </w:pPr>
            <w:r>
              <w:t xml:space="preserve">政府项目市场竞争</w:t>
            </w:r>
          </w:p>
        </w:tc>
      </w:tr>
      <w:tr>
        <w:tc>
          <w:tcPr/>
          <w:p>
            <w:pPr>
              <w:pStyle w:val="Compact"/>
              <w:jc w:val="left"/>
            </w:pPr>
            <w:r>
              <w:t xml:space="preserve">华测检测认证</w:t>
            </w:r>
          </w:p>
        </w:tc>
        <w:tc>
          <w:tcPr/>
          <w:p>
            <w:pPr>
              <w:pStyle w:val="Compact"/>
              <w:jc w:val="left"/>
            </w:pPr>
            <w:r>
              <w:t xml:space="preserve">中国</w:t>
            </w:r>
          </w:p>
        </w:tc>
        <w:tc>
          <w:tcPr/>
          <w:p>
            <w:pPr>
              <w:pStyle w:val="Compact"/>
              <w:jc w:val="left"/>
            </w:pPr>
            <w:r>
              <w:t xml:space="preserve">第三方检测服务</w:t>
            </w:r>
          </w:p>
        </w:tc>
        <w:tc>
          <w:tcPr/>
          <w:p>
            <w:pPr>
              <w:pStyle w:val="Compact"/>
              <w:jc w:val="left"/>
            </w:pPr>
            <w:r>
              <w:t xml:space="preserve">综合检测服务提供商</w:t>
            </w:r>
          </w:p>
        </w:tc>
        <w:tc>
          <w:tcPr/>
          <w:p>
            <w:pPr>
              <w:pStyle w:val="Compact"/>
              <w:jc w:val="left"/>
            </w:pPr>
            <w:r>
              <w:t xml:space="preserve">检测网络完善，品牌知名度高，资本实力强</w:t>
            </w:r>
          </w:p>
        </w:tc>
        <w:tc>
          <w:tcPr/>
          <w:p>
            <w:pPr>
              <w:pStyle w:val="Compact"/>
              <w:jc w:val="left"/>
            </w:pPr>
            <w:r>
              <w:t xml:space="preserve">DIC非核心业务，技术积累有限，产品化能力弱</w:t>
            </w:r>
          </w:p>
        </w:tc>
        <w:tc>
          <w:tcPr/>
          <w:p>
            <w:pPr>
              <w:pStyle w:val="Compact"/>
              <w:jc w:val="left"/>
            </w:pPr>
            <w:r>
              <w:t xml:space="preserve">检测服务市场竞争</w:t>
            </w:r>
          </w:p>
        </w:tc>
      </w:tr>
      <w:tr>
        <w:tc>
          <w:tcPr/>
          <w:p>
            <w:pPr>
              <w:pStyle w:val="Compact"/>
              <w:jc w:val="left"/>
            </w:pPr>
            <w:r>
              <w:rPr>
                <w:bCs/>
                <w:b/>
              </w:rPr>
              <w:t xml:space="preserve">HSM公司</w:t>
            </w:r>
          </w:p>
        </w:tc>
        <w:tc>
          <w:tcPr/>
          <w:p>
            <w:pPr>
              <w:pStyle w:val="Compact"/>
              <w:jc w:val="left"/>
            </w:pPr>
            <w:r>
              <w:t xml:space="preserve">中国</w:t>
            </w:r>
          </w:p>
        </w:tc>
        <w:tc>
          <w:tcPr/>
          <w:p>
            <w:pPr>
              <w:pStyle w:val="Compact"/>
              <w:jc w:val="left"/>
            </w:pPr>
            <w:r>
              <w:t xml:space="preserve">第三代DIC视觉传感器</w:t>
            </w:r>
          </w:p>
        </w:tc>
        <w:tc>
          <w:tcPr/>
          <w:p>
            <w:pPr>
              <w:pStyle w:val="Compact"/>
              <w:jc w:val="left"/>
            </w:pPr>
            <w:r>
              <w:t xml:space="preserve">全行业视觉力学测量解决方案</w:t>
            </w:r>
          </w:p>
        </w:tc>
        <w:tc>
          <w:tcPr/>
          <w:p>
            <w:pPr>
              <w:pStyle w:val="Compact"/>
              <w:jc w:val="left"/>
            </w:pPr>
            <w:r>
              <w:t xml:space="preserve">全球首创单目三维DIC技术，产品标准化程度高，成本优势明显</w:t>
            </w:r>
          </w:p>
        </w:tc>
        <w:tc>
          <w:tcPr/>
          <w:p>
            <w:pPr>
              <w:pStyle w:val="Compact"/>
              <w:jc w:val="left"/>
            </w:pPr>
            <w:r>
              <w:t xml:space="preserve">规模相对较小，国际品牌影响力不足，高端人才短缺</w:t>
            </w:r>
          </w:p>
        </w:tc>
        <w:tc>
          <w:tcPr/>
          <w:p>
            <w:pPr>
              <w:pStyle w:val="Compact"/>
              <w:jc w:val="left"/>
            </w:pPr>
            <w:r>
              <w:t xml:space="preserve">差异化技术创新竞争</w:t>
            </w:r>
          </w:p>
        </w:tc>
      </w:tr>
    </w:tbl>
    <w:p>
      <w:pPr>
        <w:pStyle w:val="BodyText"/>
      </w:pPr>
      <w:r>
        <w:rPr>
          <w:bCs/>
          <w:b/>
        </w:rPr>
        <w:t xml:space="preserve">竞争梯队分析</w:t>
      </w:r>
      <w:r>
        <w:t xml:space="preserve">：</w:t>
      </w:r>
      <w:r>
        <w:t xml:space="preserve"> </w:t>
      </w:r>
      <w:r>
        <w:t xml:space="preserve">-</w:t>
      </w:r>
      <w:r>
        <w:t xml:space="preserve"> </w:t>
      </w:r>
      <w:r>
        <w:rPr>
          <w:bCs/>
          <w:b/>
        </w:rPr>
        <w:t xml:space="preserve">第一梯队</w:t>
      </w:r>
      <w:r>
        <w:t xml:space="preserve">：国际巨头（GOM、Correlated Solutions等），技术领先但价格昂贵，主要占据高端科研和工业市场。</w:t>
      </w:r>
      <w:r>
        <w:t xml:space="preserve"> </w:t>
      </w:r>
      <w:r>
        <w:t xml:space="preserve">-</w:t>
      </w:r>
      <w:r>
        <w:t xml:space="preserve"> </w:t>
      </w:r>
      <w:r>
        <w:rPr>
          <w:bCs/>
          <w:b/>
        </w:rPr>
        <w:t xml:space="preserve">第二梯队</w:t>
      </w:r>
      <w:r>
        <w:t xml:space="preserve">：国内领先企业（HSM、亿维股份、基康仪器等），技术接近国际水平，性价比高，在细分领域各有优势。</w:t>
      </w:r>
      <w:r>
        <w:t xml:space="preserve"> </w:t>
      </w:r>
      <w:r>
        <w:t xml:space="preserve">-</w:t>
      </w:r>
      <w:r>
        <w:t xml:space="preserve"> </w:t>
      </w:r>
      <w:r>
        <w:rPr>
          <w:bCs/>
          <w:b/>
        </w:rPr>
        <w:t xml:space="preserve">第三梯队</w:t>
      </w:r>
      <w:r>
        <w:t xml:space="preserve">：其他国内企业，技术相对落后，以价格竞争为主，市场份额分散。</w:t>
      </w:r>
    </w:p>
    <w:p>
      <w:pPr>
        <w:pStyle w:val="BodyText"/>
      </w:pPr>
      <w:r>
        <w:rPr>
          <w:bCs/>
          <w:b/>
        </w:rPr>
        <w:t xml:space="preserve">对HSM的竞争启示</w:t>
      </w:r>
      <w:r>
        <w:t xml:space="preserve">：HSM作为第二梯队的领先企业，应采取差异化竞争策略：（1）在技术层面，保持第三代DIC技术的领先优势，开发智能化、平台化产品；（2）在市场层面，聚焦重点行业和重点客户，建立标杆案例；（3）在服务层面，提供”硬件+软件+服务”的一体化解决方案，提升客户粘性；（4）在成本层面，通过标准化设计和规模化生产建立成本优势。</w:t>
      </w:r>
    </w:p>
    <w:p>
      <w:r>
        <w:pict>
          <v:rect style="width:0;height:1.5pt" o:hralign="center" o:hrstd="t" o:hr="t"/>
        </w:pict>
      </w:r>
    </w:p>
    <w:bookmarkEnd w:id="42"/>
    <w:bookmarkEnd w:id="43"/>
    <w:bookmarkStart w:id="50" w:name="行业竞争环境波特五力分析"/>
    <w:p>
      <w:pPr>
        <w:pStyle w:val="3"/>
      </w:pPr>
      <w:r>
        <w:t xml:space="preserve">3.3 行业竞争环境波特五力分析</w:t>
      </w:r>
    </w:p>
    <w:p>
      <w:pPr>
        <w:pStyle w:val="FirstParagraph"/>
      </w:pPr>
      <w:r>
        <w:t xml:space="preserve">波特五力模型从五个维度分析行业的竞争强度，为HSM制定竞争战略提供依据。本部分采用1-5分量表对各项力量进行量化评估（1分为最弱，5分为最强），并给出相应的战略建议。</w:t>
      </w:r>
    </w:p>
    <w:bookmarkStart w:id="44" w:name="现有企业竞争程度"/>
    <w:p>
      <w:pPr>
        <w:pStyle w:val="4"/>
      </w:pPr>
      <w:r>
        <w:t xml:space="preserve">3.3.1 现有企业竞争程度</w:t>
      </w:r>
    </w:p>
    <w:p>
      <w:pPr>
        <w:pStyle w:val="FirstParagraph"/>
      </w:pPr>
      <w:r>
        <w:rPr>
          <w:bCs/>
          <w:b/>
        </w:rPr>
        <w:t xml:space="preserve">竞争强度评分：4.8分（强烈竞争）</w:t>
      </w:r>
    </w:p>
    <w:p>
      <w:pPr>
        <w:pStyle w:val="BodyText"/>
      </w:pPr>
      <w:r>
        <w:t xml:space="preserve">现有企业之间的竞争是视觉力学传感器行业最主要的竞争力量，呈现出多层次、多维度的竞争格局。</w:t>
      </w:r>
    </w:p>
    <w:p>
      <w:pPr>
        <w:pStyle w:val="BodyText"/>
      </w:pPr>
      <w:r>
        <w:rPr>
          <w:bCs/>
          <w:b/>
        </w:rPr>
        <w:t xml:space="preserve">竞争特点分析</w:t>
      </w:r>
      <w:r>
        <w:t xml:space="preserve">：</w:t>
      </w:r>
      <w:r>
        <w:t xml:space="preserve"> </w:t>
      </w:r>
      <w:r>
        <w:t xml:space="preserve">-</w:t>
      </w:r>
      <w:r>
        <w:t xml:space="preserve"> </w:t>
      </w:r>
      <w:r>
        <w:rPr>
          <w:bCs/>
          <w:b/>
        </w:rPr>
        <w:t xml:space="preserve">国际巨头垄断高端市场</w:t>
      </w:r>
      <w:r>
        <w:t xml:space="preserve">：德国GOM、美国Correlated Solutions等国际企业在高端科研市场占据绝对优势，凭借深厚的技术积累和品牌影响力构建了较高的市场壁垒。这些企业产品价格昂贵（通常100万元以上），但技术性能卓越，满足了对精度和可靠性要求极高的客户需求。</w:t>
      </w:r>
      <w:r>
        <w:t xml:space="preserve"> </w:t>
      </w:r>
      <w:r>
        <w:t xml:space="preserve">-</w:t>
      </w:r>
      <w:r>
        <w:t xml:space="preserve"> </w:t>
      </w:r>
      <w:r>
        <w:rPr>
          <w:bCs/>
          <w:b/>
        </w:rPr>
        <w:t xml:space="preserve">国内企业价格竞争激烈</w:t>
      </w:r>
      <w:r>
        <w:t xml:space="preserve">：在中低端市场，国内企业数量众多，产品同质化严重，价格竞争成为主要竞争手段。产品价格从几万元到几十万元不等，价格战导致行业整体利润率下降。部分企业为争夺市场份额，甚至以低于成本价销售，扰乱了市场秩序。</w:t>
      </w:r>
      <w:r>
        <w:t xml:space="preserve"> </w:t>
      </w:r>
      <w:r>
        <w:t xml:space="preserve">-</w:t>
      </w:r>
      <w:r>
        <w:t xml:space="preserve"> </w:t>
      </w:r>
      <w:r>
        <w:rPr>
          <w:bCs/>
          <w:b/>
        </w:rPr>
        <w:t xml:space="preserve">差异化竞争逐步显现</w:t>
      </w:r>
      <w:r>
        <w:t xml:space="preserve">：部分领先的国内企业开始通过技术创新和产品差异化摆脱价格竞争。HSM的单目三维DIC技术、亿维股份的斜光轴DIC技术、基康仪器的行业解决方案等，形成了各自的差异化优势。差异化竞争主要集中在技术路线、产品性能、行业解决方案、服务能力等方面。</w:t>
      </w:r>
      <w:r>
        <w:t xml:space="preserve"> </w:t>
      </w:r>
      <w:r>
        <w:t xml:space="preserve">-</w:t>
      </w:r>
      <w:r>
        <w:t xml:space="preserve"> </w:t>
      </w:r>
      <w:r>
        <w:rPr>
          <w:bCs/>
          <w:b/>
        </w:rPr>
        <w:t xml:space="preserve">竞争领域向新兴市场延伸</w:t>
      </w:r>
      <w:r>
        <w:t xml:space="preserve">：随着基础设施安全监测、智能制造等新兴市场的快速发展，竞争从传统的材料测试、结构测试领域向安全监测、在线检测等新应用场景延伸。在新兴市场，技术适用性、解决方案完整性、服务响应速度成为新的竞争焦点。</w:t>
      </w:r>
    </w:p>
    <w:p>
      <w:pPr>
        <w:pStyle w:val="BodyText"/>
      </w:pPr>
      <w:r>
        <w:rPr>
          <w:bCs/>
          <w:b/>
        </w:rPr>
        <w:t xml:space="preserve">对HSM的战略影响</w:t>
      </w:r>
      <w:r>
        <w:t xml:space="preserve">：激烈的竞争要求HSM必须构建多维度的竞争优势。（1）技术层面：持续投入研发，保持第三代DIC技术的领先地位；（2）成本层面：通过标准化设计和规模化生产建立成本优势；（3）市场层面：聚焦重点行业，建立行业壁垒；（4）服务层面：提供全生命周期的客户服务，提升客户粘性。</w:t>
      </w:r>
    </w:p>
    <w:bookmarkEnd w:id="44"/>
    <w:bookmarkStart w:id="45" w:name="潜在进入者威胁"/>
    <w:p>
      <w:pPr>
        <w:pStyle w:val="4"/>
      </w:pPr>
      <w:r>
        <w:t xml:space="preserve">3.3.2 潜在进入者威胁</w:t>
      </w:r>
    </w:p>
    <w:p>
      <w:pPr>
        <w:pStyle w:val="FirstParagraph"/>
      </w:pPr>
      <w:r>
        <w:rPr>
          <w:bCs/>
          <w:b/>
        </w:rPr>
        <w:t xml:space="preserve">威胁强度评分：2.0分（较低威胁）</w:t>
      </w:r>
    </w:p>
    <w:p>
      <w:pPr>
        <w:pStyle w:val="BodyText"/>
      </w:pPr>
      <w:r>
        <w:t xml:space="preserve">视觉力学传感器行业存在较高的进入壁垒，潜在进入者威胁相对较低。</w:t>
      </w:r>
    </w:p>
    <w:p>
      <w:pPr>
        <w:pStyle w:val="BodyText"/>
      </w:pPr>
      <w:r>
        <w:rPr>
          <w:bCs/>
          <w:b/>
        </w:rPr>
        <w:t xml:space="preserve">进入壁垒分析</w:t>
      </w:r>
      <w:r>
        <w:t xml:space="preserve">：</w:t>
      </w:r>
      <w:r>
        <w:t xml:space="preserve"> </w:t>
      </w:r>
      <w:r>
        <w:t xml:space="preserve">-</w:t>
      </w:r>
      <w:r>
        <w:t xml:space="preserve"> </w:t>
      </w:r>
      <w:r>
        <w:rPr>
          <w:bCs/>
          <w:b/>
        </w:rPr>
        <w:t xml:space="preserve">技术壁垒较高</w:t>
      </w:r>
      <w:r>
        <w:t xml:space="preserve">：DIC技术涉及光学、机械、电子、软件、算法等多学科交叉知识，需要深厚的技术积累和持续的研发投入。核心算法开发、系统集成、性能优化等环节存在显著的技术门槛。HSM通过20年的技术积累和持续创新，建立了单目三维DIC技术的专利壁垒。</w:t>
      </w:r>
      <w:r>
        <w:t xml:space="preserve"> </w:t>
      </w:r>
      <w:r>
        <w:t xml:space="preserve">-</w:t>
      </w:r>
      <w:r>
        <w:t xml:space="preserve"> </w:t>
      </w:r>
      <w:r>
        <w:rPr>
          <w:bCs/>
          <w:b/>
        </w:rPr>
        <w:t xml:space="preserve">资金壁垒显著</w:t>
      </w:r>
      <w:r>
        <w:t xml:space="preserve">：视觉力学传感器研发需要大量资金投入，包括设备购置、人才引进、技术开发、市场推广等。硬科技企业前期投入大、回报周期长，对新进入者形成资金压力。根据行业经验，建立完整的研发体系和产品线需要数千万到上亿元的初始投资。</w:t>
      </w:r>
      <w:r>
        <w:t xml:space="preserve"> </w:t>
      </w:r>
      <w:r>
        <w:t xml:space="preserve">-</w:t>
      </w:r>
      <w:r>
        <w:t xml:space="preserve"> </w:t>
      </w:r>
      <w:r>
        <w:rPr>
          <w:bCs/>
          <w:b/>
        </w:rPr>
        <w:t xml:space="preserve">品牌和渠道壁垒</w:t>
      </w:r>
      <w:r>
        <w:t xml:space="preserve">：客户对测量设备的可靠性和准确性要求极高，倾向于选择有成功案例和良好口碑的品牌。建立品牌影响力和销售渠道需要时间积累和资源投入。现有企业通过多年的市场耕耘，建立了稳定的客户关系和渠道网络。</w:t>
      </w:r>
      <w:r>
        <w:t xml:space="preserve"> </w:t>
      </w:r>
      <w:r>
        <w:t xml:space="preserve">-</w:t>
      </w:r>
      <w:r>
        <w:t xml:space="preserve"> </w:t>
      </w:r>
      <w:r>
        <w:rPr>
          <w:bCs/>
          <w:b/>
        </w:rPr>
        <w:t xml:space="preserve">规模经济效应</w:t>
      </w:r>
      <w:r>
        <w:t xml:space="preserve">：随着生产规模的扩大，单位产品成本显著下降。现有企业通过批量生产和供应链优化建立了成本优势，新进入者难以在短期内实现规模经济。</w:t>
      </w:r>
    </w:p>
    <w:p>
      <w:pPr>
        <w:pStyle w:val="BodyText"/>
      </w:pPr>
      <w:r>
        <w:rPr>
          <w:bCs/>
          <w:b/>
        </w:rPr>
        <w:t xml:space="preserve">潜在进入者类型</w:t>
      </w:r>
      <w:r>
        <w:t xml:space="preserve">：（1）大型科技企业多元化拓展：华为、大疆等大型科技企业可能将视觉测量技术作为业务延伸；（2）传统传感器企业技术升级：传统传感器企业可能通过技术引进或并购进入视觉测量领域；（3）科研团队创业：高校和科研院所的科研团队可能基于研究成果创办企业。</w:t>
      </w:r>
    </w:p>
    <w:p>
      <w:pPr>
        <w:pStyle w:val="BodyText"/>
      </w:pPr>
      <w:r>
        <w:rPr>
          <w:bCs/>
          <w:b/>
        </w:rPr>
        <w:t xml:space="preserve">对HSM的战略影响</w:t>
      </w:r>
      <w:r>
        <w:t xml:space="preserve">：虽然潜在进入者威胁较低，但HSM仍需保持警惕。（1）加强专利布局，构建技术护城河；（2）加快市场拓展，建立品牌忠诚度；（3）优化成本结构，建立规模优势；（4）关注技术趋势，防范技术颠覆风险。</w:t>
      </w:r>
    </w:p>
    <w:bookmarkEnd w:id="45"/>
    <w:bookmarkStart w:id="46" w:name="替代品威胁"/>
    <w:p>
      <w:pPr>
        <w:pStyle w:val="4"/>
      </w:pPr>
      <w:r>
        <w:t xml:space="preserve">3.3.3 替代品威胁</w:t>
      </w:r>
    </w:p>
    <w:p>
      <w:pPr>
        <w:pStyle w:val="FirstParagraph"/>
      </w:pPr>
      <w:r>
        <w:rPr>
          <w:bCs/>
          <w:b/>
        </w:rPr>
        <w:t xml:space="preserve">威胁强度评分：2.3分（较低威胁）</w:t>
      </w:r>
    </w:p>
    <w:p>
      <w:pPr>
        <w:pStyle w:val="BodyText"/>
      </w:pPr>
      <w:r>
        <w:t xml:space="preserve">传统测量方法和新兴测量技术对视觉力学传感器构成一定替代威胁，但DIC技术在全场测量、精度、成本等方面具有综合优势。</w:t>
      </w:r>
    </w:p>
    <w:p>
      <w:pPr>
        <w:pStyle w:val="BodyText"/>
      </w:pPr>
      <w:r>
        <w:rPr>
          <w:bCs/>
          <w:b/>
        </w:rPr>
        <w:t xml:space="preserve">替代技术分析</w:t>
      </w:r>
      <w:r>
        <w:t xml:space="preserve">：</w:t>
      </w:r>
      <w:r>
        <w:t xml:space="preserve"> </w:t>
      </w:r>
      <w:r>
        <w:t xml:space="preserve">-</w:t>
      </w:r>
      <w:r>
        <w:t xml:space="preserve"> </w:t>
      </w:r>
      <w:r>
        <w:rPr>
          <w:bCs/>
          <w:b/>
        </w:rPr>
        <w:t xml:space="preserve">传统接触式测量方法</w:t>
      </w:r>
      <w:r>
        <w:t xml:space="preserve">：应变片、位移计、引伸计等传统接触式测量方法技术成熟、价格低廉，但存在安装复杂、测量点有限、难以实现全场测量等局限性。在需要全场、非接触、高精度测量的场景，传统方法无法替代DIC技术。</w:t>
      </w:r>
      <w:r>
        <w:t xml:space="preserve"> </w:t>
      </w:r>
      <w:r>
        <w:t xml:space="preserve">-</w:t>
      </w:r>
      <w:r>
        <w:t xml:space="preserve"> </w:t>
      </w:r>
      <w:r>
        <w:rPr>
          <w:bCs/>
          <w:b/>
        </w:rPr>
        <w:t xml:space="preserve">其他非接触测量技术</w:t>
      </w:r>
      <w:r>
        <w:t xml:space="preserve">：激光扫描、摄影测量、干涉测量等其他非接触测量技术各有特点。激光扫描测量速度快、精度高，但设备昂贵、难以测量动态变形；摄影测量设备简单、成本低，但精度有限；干涉测量精度极高，但对环境要求苛刻、测量范围有限。DIC技术在测量精度、全场能力、环境适应性、成本效益等方面具有综合优势。</w:t>
      </w:r>
      <w:r>
        <w:t xml:space="preserve"> </w:t>
      </w:r>
      <w:r>
        <w:t xml:space="preserve">-</w:t>
      </w:r>
      <w:r>
        <w:t xml:space="preserve"> </w:t>
      </w:r>
      <w:r>
        <w:rPr>
          <w:bCs/>
          <w:b/>
        </w:rPr>
        <w:t xml:space="preserve">新兴传感技术</w:t>
      </w:r>
      <w:r>
        <w:t xml:space="preserve">：光纤传感、MEMS传感器、无线传感器等新兴技术在某些特定应用场景具有优势。光纤传感适用于长距离、分布式测量，但难以实现全场可视化；MEMS传感器体积小、成本低，但精度有限。这些技术与DIC更多是互补关系而非替代关系。</w:t>
      </w:r>
    </w:p>
    <w:p>
      <w:pPr>
        <w:pStyle w:val="BodyText"/>
      </w:pPr>
      <w:r>
        <w:rPr>
          <w:bCs/>
          <w:b/>
        </w:rPr>
        <w:t xml:space="preserve">技术替代趋势</w:t>
      </w:r>
      <w:r>
        <w:t xml:space="preserve">：技术替代呈现渐进式特点。（1）在传统应用领域，DIC技术逐步替代部分接触式测量方法；（2）在新兴应用领域，DIC技术与其他传感技术融合应用；（3）随着技术进步和成本下降，DIC技术的应用范围持续扩大。</w:t>
      </w:r>
    </w:p>
    <w:p>
      <w:pPr>
        <w:pStyle w:val="BodyText"/>
      </w:pPr>
      <w:r>
        <w:rPr>
          <w:bCs/>
          <w:b/>
        </w:rPr>
        <w:t xml:space="preserve">对HSM的战略影响</w:t>
      </w:r>
      <w:r>
        <w:t xml:space="preserve">：替代品威胁较低为HSM提供了良好的发展环境。（1）突出DIC技术的综合优势，加强市场教育；（2）推动技术融合，开发多传感器集成系统；（3）持续降低成本，拓展应用场景；（4）关注技术发展趋势，防范技术颠覆。</w:t>
      </w:r>
    </w:p>
    <w:bookmarkEnd w:id="46"/>
    <w:bookmarkStart w:id="47" w:name="供应商议价能力"/>
    <w:p>
      <w:pPr>
        <w:pStyle w:val="4"/>
      </w:pPr>
      <w:r>
        <w:t xml:space="preserve">3.3.4 供应商议价能力</w:t>
      </w:r>
    </w:p>
    <w:p>
      <w:pPr>
        <w:pStyle w:val="FirstParagraph"/>
      </w:pPr>
      <w:r>
        <w:rPr>
          <w:bCs/>
          <w:b/>
        </w:rPr>
        <w:t xml:space="preserve">议价能力评分：3.3分（中等偏强）</w:t>
      </w:r>
    </w:p>
    <w:p>
      <w:pPr>
        <w:pStyle w:val="BodyText"/>
      </w:pPr>
      <w:r>
        <w:t xml:space="preserve">视觉力学传感器的核心部件存在多家供应商，但高端部件仍依赖进口，供应商具有一定的议价能力。</w:t>
      </w:r>
    </w:p>
    <w:p>
      <w:pPr>
        <w:pStyle w:val="BodyText"/>
      </w:pPr>
      <w:r>
        <w:rPr>
          <w:bCs/>
          <w:b/>
        </w:rPr>
        <w:t xml:space="preserve">供应链结构分析</w:t>
      </w:r>
      <w:r>
        <w:t xml:space="preserve">：</w:t>
      </w:r>
      <w:r>
        <w:t xml:space="preserve"> </w:t>
      </w:r>
      <w:r>
        <w:t xml:space="preserve">-</w:t>
      </w:r>
      <w:r>
        <w:t xml:space="preserve"> </w:t>
      </w:r>
      <w:r>
        <w:rPr>
          <w:bCs/>
          <w:b/>
        </w:rPr>
        <w:t xml:space="preserve">核心部件供应商</w:t>
      </w:r>
      <w:r>
        <w:t xml:space="preserve">：（1）图像传感器：索尼、安森美等国际企业占据主导地位，国产替代逐步推进；（2）光学镜头：日本、德国企业技术领先，国内企业在中低端市场有一定份额；（3）计算芯片：英伟达、英特尔、AMD等企业主导，国产芯片在特定领域有所突破；（4）结构件：国内供应链完善，供应商众多，议价能力较弱。</w:t>
      </w:r>
      <w:r>
        <w:t xml:space="preserve"> </w:t>
      </w:r>
      <w:r>
        <w:t xml:space="preserve">-</w:t>
      </w:r>
      <w:r>
        <w:t xml:space="preserve"> </w:t>
      </w:r>
      <w:r>
        <w:rPr>
          <w:bCs/>
          <w:b/>
        </w:rPr>
        <w:t xml:space="preserve">供应商分布特征</w:t>
      </w:r>
      <w:r>
        <w:t xml:space="preserve">：（1）高端部件依赖进口：高分辨率图像传感器、高性能计算芯片、高精度光学镜头等高端部件主要依赖进口，供应商议价能力强；（2）中低端部件国产化率高：普通图像传感器、常规光学镜头、标准结构件等已实现国产化，供应商众多，议价能力弱；（3）定制化部件需要深度合作：特殊光学设计、专用计算模块等需要与供应商深度合作开发，合作关系较为稳定。</w:t>
      </w:r>
      <w:r>
        <w:t xml:space="preserve"> </w:t>
      </w:r>
      <w:r>
        <w:t xml:space="preserve">-</w:t>
      </w:r>
      <w:r>
        <w:t xml:space="preserve"> </w:t>
      </w:r>
      <w:r>
        <w:rPr>
          <w:bCs/>
          <w:b/>
        </w:rPr>
        <w:t xml:space="preserve">供应商集中度</w:t>
      </w:r>
      <w:r>
        <w:t xml:space="preserve">：核心部件供应商集中度较高，特别是高端图像传感器和计算芯片市场被少数几家国际巨头垄断。结构件、线缆、外壳等非核心部件供应商分散，竞争激烈。</w:t>
      </w:r>
    </w:p>
    <w:p>
      <w:pPr>
        <w:pStyle w:val="BodyText"/>
      </w:pPr>
      <w:r>
        <w:rPr>
          <w:bCs/>
          <w:b/>
        </w:rPr>
        <w:t xml:space="preserve">议价能力影响因素</w:t>
      </w:r>
      <w:r>
        <w:t xml:space="preserve">：（1）部件重要性：核心部件对产品性能影响大，供应商议价能力强；（2）供应商集中度：垄断或寡头市场结构下供应商议价能力强；（3）替代品可获得性：替代供应商少则议价能力强；（4）采购规模：大规模采购可增强买方议价能力；（5）合作关系：长期稳定合作关系可平衡议价能力。</w:t>
      </w:r>
    </w:p>
    <w:p>
      <w:pPr>
        <w:pStyle w:val="BodyText"/>
      </w:pPr>
      <w:r>
        <w:rPr>
          <w:bCs/>
          <w:b/>
        </w:rPr>
        <w:t xml:space="preserve">对HSM的战略影响</w:t>
      </w:r>
      <w:r>
        <w:t xml:space="preserve">：供应商议价能力中等偏强要求HSM优化供应链管理。（1）建立多元化供应商体系，降低单一供应商依赖风险；（2）加强国产替代，逐步提升核心部件国产化率；（3）通过规模采购和技术合作增强议价能力；（4）建立战略供应商合作关系，确保供应稳定性和技术支持。</w:t>
      </w:r>
    </w:p>
    <w:bookmarkEnd w:id="47"/>
    <w:bookmarkStart w:id="48" w:name="客户议价能力"/>
    <w:p>
      <w:pPr>
        <w:pStyle w:val="4"/>
      </w:pPr>
      <w:r>
        <w:t xml:space="preserve">3.3.5 客户议价能力</w:t>
      </w:r>
    </w:p>
    <w:p>
      <w:pPr>
        <w:pStyle w:val="FirstParagraph"/>
      </w:pPr>
      <w:r>
        <w:rPr>
          <w:bCs/>
          <w:b/>
        </w:rPr>
        <w:t xml:space="preserve">议价能力评分：3.7分（中等偏强）</w:t>
      </w:r>
    </w:p>
    <w:p>
      <w:pPr>
        <w:pStyle w:val="BodyText"/>
      </w:pPr>
      <w:r>
        <w:t xml:space="preserve">视觉力学传感器的客户议价能力因客户类型和采购规模而异，大型客户议价能力较强，中小客户议价能力相对较弱。</w:t>
      </w:r>
    </w:p>
    <w:p>
      <w:pPr>
        <w:pStyle w:val="BodyText"/>
      </w:pPr>
      <w:r>
        <w:rPr>
          <w:bCs/>
          <w:b/>
        </w:rPr>
        <w:t xml:space="preserve">客户结构分析</w:t>
      </w:r>
      <w:r>
        <w:t xml:space="preserve">：</w:t>
      </w:r>
      <w:r>
        <w:t xml:space="preserve"> </w:t>
      </w:r>
      <w:r>
        <w:t xml:space="preserve">-</w:t>
      </w:r>
      <w:r>
        <w:t xml:space="preserve"> </w:t>
      </w:r>
      <w:r>
        <w:rPr>
          <w:bCs/>
          <w:b/>
        </w:rPr>
        <w:t xml:space="preserve">大型客户</w:t>
      </w:r>
      <w:r>
        <w:t xml:space="preserve">：政府机构、大型国企、行业龙头企业等采购规模大，对价格敏感度相对较低，但对产品质量、技术服务、系统集成能力要求高。这些客户通常通过招标采购，议价能力强，账期长（通常3-6个月，甚至更长）。但一旦建立合作关系，客户粘性较强。</w:t>
      </w:r>
      <w:r>
        <w:t xml:space="preserve"> </w:t>
      </w:r>
      <w:r>
        <w:t xml:space="preserve">-</w:t>
      </w:r>
      <w:r>
        <w:t xml:space="preserve"> </w:t>
      </w:r>
      <w:r>
        <w:rPr>
          <w:bCs/>
          <w:b/>
        </w:rPr>
        <w:t xml:space="preserve">中小客户</w:t>
      </w:r>
      <w:r>
        <w:t xml:space="preserve">：中小企业、科研院所、检测机构等采购规模小，对价格敏感度高，对技术服务要求相对较低。这些客户通常直接采购，议价能力较弱，账期短。但客户数量多，市场分散，需要建立高效的销售和服务体系。</w:t>
      </w:r>
      <w:r>
        <w:t xml:space="preserve"> </w:t>
      </w:r>
      <w:r>
        <w:t xml:space="preserve">-</w:t>
      </w:r>
      <w:r>
        <w:t xml:space="preserve"> </w:t>
      </w:r>
      <w:r>
        <w:rPr>
          <w:bCs/>
          <w:b/>
        </w:rPr>
        <w:t xml:space="preserve">客户需求特征</w:t>
      </w:r>
      <w:r>
        <w:t xml:space="preserve">：（1）技术要求差异化：不同行业、不同应用场景对测量精度、速度、环境适应性等要求差异明显；（2）服务要求多样化：从简单的设备销售到完整的解决方案，服务需求层次不同；（3）价格敏感度分层：高端市场对价格敏感度低，中低端市场对价格敏感度高。</w:t>
      </w:r>
    </w:p>
    <w:p>
      <w:pPr>
        <w:pStyle w:val="BodyText"/>
      </w:pPr>
      <w:r>
        <w:rPr>
          <w:bCs/>
          <w:b/>
        </w:rPr>
        <w:t xml:space="preserve">议价能力影响因素</w:t>
      </w:r>
      <w:r>
        <w:t xml:space="preserve">：（1）采购规模：大规模采购增强客户议价能力；（2）产品差异化：产品差异化程度高可降低客户议价压力；（3）转换成本：高转换成本降低客户议价能力；（4）信息透明度：市场信息透明增强客户议价能力；（5）替代供应商：替代供应商多增强客户议价能力。</w:t>
      </w:r>
    </w:p>
    <w:p>
      <w:pPr>
        <w:pStyle w:val="BodyText"/>
      </w:pPr>
      <w:r>
        <w:rPr>
          <w:bCs/>
          <w:b/>
        </w:rPr>
        <w:t xml:space="preserve">对HSM的战略影响</w:t>
      </w:r>
      <w:r>
        <w:t xml:space="preserve">：客户议价能力中等偏强要求HSM优化客户关系管理。（1）实施客户分层管理，针对不同类型客户制定差异化策略；（2）加强产品差异化，提升产品附加值和客户粘性；（3）优化定价策略，平衡市场份额和利润率；（4）提升服务水平，建立长期客户关系；（5）拓展中小客户市场，分散大客户依赖风险。</w:t>
      </w:r>
    </w:p>
    <w:bookmarkEnd w:id="48"/>
    <w:bookmarkStart w:id="49" w:name="小结-1"/>
    <w:p>
      <w:pPr>
        <w:pStyle w:val="4"/>
      </w:pPr>
      <w:r>
        <w:t xml:space="preserve">3.3.6 小结</w:t>
      </w:r>
    </w:p>
    <w:p>
      <w:pPr>
        <w:pStyle w:val="FirstParagraph"/>
      </w:pPr>
      <w:r>
        <w:rPr>
          <w:bCs/>
          <w:b/>
        </w:rPr>
        <w:t xml:space="preserve">表3-3 视觉力学传感器行业波特五力模型总结表</w:t>
      </w:r>
    </w:p>
    <w:tbl>
      <w:tblPr>
        <w:tblStyle w:val="Table"/>
        <w:tblW w:type="pct" w:w="5000"/>
        <w:tblLook w:firstRow="1" w:lastRow="0" w:firstColumn="0" w:lastColumn="0" w:noHBand="0" w:noVBand="0" w:val="0020"/>
      </w:tblPr>
      <w:tblGrid>
        <w:gridCol w:w="1414"/>
        <w:gridCol w:w="2545"/>
        <w:gridCol w:w="1414"/>
        <w:gridCol w:w="2545"/>
      </w:tblGrid>
      <w:tr>
        <w:trPr>
          <w:tblHeader w:val="true"/>
        </w:trPr>
        <w:tc>
          <w:tcPr/>
          <w:p>
            <w:pPr>
              <w:pStyle w:val="Compact"/>
              <w:jc w:val="left"/>
            </w:pPr>
            <w:r>
              <w:t xml:space="preserve">竞争力量</w:t>
            </w:r>
          </w:p>
        </w:tc>
        <w:tc>
          <w:tcPr/>
          <w:p>
            <w:pPr>
              <w:pStyle w:val="Compact"/>
              <w:jc w:val="left"/>
            </w:pPr>
            <w:r>
              <w:t xml:space="preserve">强度评分（1-5分）</w:t>
            </w:r>
          </w:p>
        </w:tc>
        <w:tc>
          <w:tcPr/>
          <w:p>
            <w:pPr>
              <w:pStyle w:val="Compact"/>
              <w:jc w:val="left"/>
            </w:pPr>
            <w:r>
              <w:t xml:space="preserve">核心结论</w:t>
            </w:r>
          </w:p>
        </w:tc>
        <w:tc>
          <w:tcPr/>
          <w:p>
            <w:pPr>
              <w:pStyle w:val="Compact"/>
              <w:jc w:val="left"/>
            </w:pPr>
            <w:r>
              <w:t xml:space="preserve">对HSM的战略建议</w:t>
            </w:r>
          </w:p>
        </w:tc>
      </w:tr>
      <w:tr>
        <w:tc>
          <w:tcPr/>
          <w:p>
            <w:pPr>
              <w:pStyle w:val="Compact"/>
              <w:jc w:val="left"/>
            </w:pPr>
            <w:r>
              <w:t xml:space="preserve">现有企业竞争</w:t>
            </w:r>
          </w:p>
        </w:tc>
        <w:tc>
          <w:tcPr/>
          <w:p>
            <w:pPr>
              <w:pStyle w:val="Compact"/>
              <w:jc w:val="left"/>
            </w:pPr>
            <w:r>
              <w:t xml:space="preserve">4.8</w:t>
            </w:r>
          </w:p>
        </w:tc>
        <w:tc>
          <w:tcPr/>
          <w:p>
            <w:pPr>
              <w:pStyle w:val="Compact"/>
              <w:jc w:val="left"/>
            </w:pPr>
            <w:r>
              <w:t xml:space="preserve">国际巨头垄断高端市场，国内企业价格竞争激烈</w:t>
            </w:r>
          </w:p>
        </w:tc>
        <w:tc>
          <w:tcPr/>
          <w:p>
            <w:pPr>
              <w:pStyle w:val="Compact"/>
              <w:jc w:val="left"/>
            </w:pPr>
            <w:r>
              <w:t xml:space="preserve">构建差异化竞争优势，避免低水平价格竞争</w:t>
            </w:r>
          </w:p>
        </w:tc>
      </w:tr>
      <w:tr>
        <w:tc>
          <w:tcPr/>
          <w:p>
            <w:pPr>
              <w:pStyle w:val="Compact"/>
              <w:jc w:val="left"/>
            </w:pPr>
            <w:r>
              <w:t xml:space="preserve">潜在进入者威胁</w:t>
            </w:r>
          </w:p>
        </w:tc>
        <w:tc>
          <w:tcPr/>
          <w:p>
            <w:pPr>
              <w:pStyle w:val="Compact"/>
              <w:jc w:val="left"/>
            </w:pPr>
            <w:r>
              <w:t xml:space="preserve">2.0</w:t>
            </w:r>
          </w:p>
        </w:tc>
        <w:tc>
          <w:tcPr/>
          <w:p>
            <w:pPr>
              <w:pStyle w:val="Compact"/>
              <w:jc w:val="left"/>
            </w:pPr>
            <w:r>
              <w:t xml:space="preserve">技术、资金、品牌壁垒较高，威胁较低</w:t>
            </w:r>
          </w:p>
        </w:tc>
        <w:tc>
          <w:tcPr/>
          <w:p>
            <w:pPr>
              <w:pStyle w:val="Compact"/>
              <w:jc w:val="left"/>
            </w:pPr>
            <w:r>
              <w:t xml:space="preserve">加强专利布局和品牌建设，巩固市场地位</w:t>
            </w:r>
          </w:p>
        </w:tc>
      </w:tr>
      <w:tr>
        <w:tc>
          <w:tcPr/>
          <w:p>
            <w:pPr>
              <w:pStyle w:val="Compact"/>
              <w:jc w:val="left"/>
            </w:pPr>
            <w:r>
              <w:t xml:space="preserve">替代品威胁</w:t>
            </w:r>
          </w:p>
        </w:tc>
        <w:tc>
          <w:tcPr/>
          <w:p>
            <w:pPr>
              <w:pStyle w:val="Compact"/>
              <w:jc w:val="left"/>
            </w:pPr>
            <w:r>
              <w:t xml:space="preserve">2.3</w:t>
            </w:r>
          </w:p>
        </w:tc>
        <w:tc>
          <w:tcPr/>
          <w:p>
            <w:pPr>
              <w:pStyle w:val="Compact"/>
              <w:jc w:val="left"/>
            </w:pPr>
            <w:r>
              <w:t xml:space="preserve">传统方法局限性大，其他技术各有局限</w:t>
            </w:r>
          </w:p>
        </w:tc>
        <w:tc>
          <w:tcPr/>
          <w:p>
            <w:pPr>
              <w:pStyle w:val="Compact"/>
              <w:jc w:val="left"/>
            </w:pPr>
            <w:r>
              <w:t xml:space="preserve">突出DIC技术综合优势，推动技术融合创新</w:t>
            </w:r>
          </w:p>
        </w:tc>
      </w:tr>
      <w:tr>
        <w:tc>
          <w:tcPr/>
          <w:p>
            <w:pPr>
              <w:pStyle w:val="Compact"/>
              <w:jc w:val="left"/>
            </w:pPr>
            <w:r>
              <w:t xml:space="preserve">供应商议价能力</w:t>
            </w:r>
          </w:p>
        </w:tc>
        <w:tc>
          <w:tcPr/>
          <w:p>
            <w:pPr>
              <w:pStyle w:val="Compact"/>
              <w:jc w:val="left"/>
            </w:pPr>
            <w:r>
              <w:t xml:space="preserve">3.3</w:t>
            </w:r>
          </w:p>
        </w:tc>
        <w:tc>
          <w:tcPr/>
          <w:p>
            <w:pPr>
              <w:pStyle w:val="Compact"/>
              <w:jc w:val="left"/>
            </w:pPr>
            <w:r>
              <w:t xml:space="preserve">高端部件依赖进口，国产替代逐步推进</w:t>
            </w:r>
          </w:p>
        </w:tc>
        <w:tc>
          <w:tcPr/>
          <w:p>
            <w:pPr>
              <w:pStyle w:val="Compact"/>
              <w:jc w:val="left"/>
            </w:pPr>
            <w:r>
              <w:t xml:space="preserve">建立多元化供应商体系，加强国产替代合作</w:t>
            </w:r>
          </w:p>
        </w:tc>
      </w:tr>
      <w:tr>
        <w:tc>
          <w:tcPr/>
          <w:p>
            <w:pPr>
              <w:pStyle w:val="Compact"/>
              <w:jc w:val="left"/>
            </w:pPr>
            <w:r>
              <w:t xml:space="preserve">客户议价能力</w:t>
            </w:r>
          </w:p>
        </w:tc>
        <w:tc>
          <w:tcPr/>
          <w:p>
            <w:pPr>
              <w:pStyle w:val="Compact"/>
              <w:jc w:val="left"/>
            </w:pPr>
            <w:r>
              <w:t xml:space="preserve">3.7</w:t>
            </w:r>
          </w:p>
        </w:tc>
        <w:tc>
          <w:tcPr/>
          <w:p>
            <w:pPr>
              <w:pStyle w:val="Compact"/>
              <w:jc w:val="left"/>
            </w:pPr>
            <w:r>
              <w:t xml:space="preserve">大型客户议价能力强，中小客户相对较弱</w:t>
            </w:r>
          </w:p>
        </w:tc>
        <w:tc>
          <w:tcPr/>
          <w:p>
            <w:pPr>
              <w:pStyle w:val="Compact"/>
              <w:jc w:val="left"/>
            </w:pPr>
            <w:r>
              <w:t xml:space="preserve">实施客户分层管理，提升产品差异化水平</w:t>
            </w:r>
          </w:p>
        </w:tc>
      </w:tr>
    </w:tbl>
    <w:p>
      <w:pPr>
        <w:pStyle w:val="BodyText"/>
      </w:pPr>
      <w:r>
        <w:rPr>
          <w:bCs/>
          <w:b/>
        </w:rPr>
        <w:t xml:space="preserve">行业竞争格局总体判断</w:t>
      </w:r>
      <w:r>
        <w:t xml:space="preserve">：视觉力学传感器行业竞争激烈，但存在结构性机会。（1）</w:t>
      </w:r>
      <w:r>
        <w:rPr>
          <w:bCs/>
          <w:b/>
        </w:rPr>
        <w:t xml:space="preserve">高端市场</w:t>
      </w:r>
      <w:r>
        <w:t xml:space="preserve">：国际巨头占据主导，竞争焦点是技术性能和品牌影响力；（2）</w:t>
      </w:r>
      <w:r>
        <w:rPr>
          <w:bCs/>
          <w:b/>
        </w:rPr>
        <w:t xml:space="preserve">中端市场</w:t>
      </w:r>
      <w:r>
        <w:t xml:space="preserve">：国内领先企业竞争激烈，竞争焦点是性价比和行业解决方案；（3）</w:t>
      </w:r>
      <w:r>
        <w:rPr>
          <w:bCs/>
          <w:b/>
        </w:rPr>
        <w:t xml:space="preserve">低端市场</w:t>
      </w:r>
      <w:r>
        <w:t xml:space="preserve">：价格竞争激烈，利润率低，存在整合机会。</w:t>
      </w:r>
    </w:p>
    <w:p>
      <w:pPr>
        <w:pStyle w:val="BodyText"/>
      </w:pPr>
      <w:r>
        <w:rPr>
          <w:bCs/>
          <w:b/>
        </w:rPr>
        <w:t xml:space="preserve">对HSM的战略启示</w:t>
      </w:r>
      <w:r>
        <w:t xml:space="preserve">：基于五力分析，HSM应采取以下竞争策略：（1）</w:t>
      </w:r>
      <w:r>
        <w:rPr>
          <w:bCs/>
          <w:b/>
        </w:rPr>
        <w:t xml:space="preserve">差异化战略</w:t>
      </w:r>
      <w:r>
        <w:t xml:space="preserve">：以第三代DIC技术为核心，开发智能化、平台化产品，避免同质化竞争；（2）</w:t>
      </w:r>
      <w:r>
        <w:rPr>
          <w:bCs/>
          <w:b/>
        </w:rPr>
        <w:t xml:space="preserve">聚焦战略</w:t>
      </w:r>
      <w:r>
        <w:t xml:space="preserve">：深耕重点行业和重点客户，建立行业标杆案例，形成局部竞争优势；（3）</w:t>
      </w:r>
      <w:r>
        <w:rPr>
          <w:bCs/>
          <w:b/>
        </w:rPr>
        <w:t xml:space="preserve">成本领先战略</w:t>
      </w:r>
      <w:r>
        <w:t xml:space="preserve">：通过标准化设计和规模化生产降低生产成本，建立成本优势；（4）</w:t>
      </w:r>
      <w:r>
        <w:rPr>
          <w:bCs/>
          <w:b/>
        </w:rPr>
        <w:t xml:space="preserve">合作战略</w:t>
      </w:r>
      <w:r>
        <w:t xml:space="preserve">：与供应商、客户、科研院所建立战略合作关系，构建产业生态系统。</w:t>
      </w:r>
    </w:p>
    <w:p>
      <w:r>
        <w:pict>
          <v:rect style="width:0;height:1.5pt" o:hralign="center" o:hrstd="t" o:hr="t"/>
        </w:pict>
      </w:r>
    </w:p>
    <w:bookmarkEnd w:id="49"/>
    <w:bookmarkEnd w:id="50"/>
    <w:bookmarkStart w:id="55" w:name="视觉安全监测主要应用场景深度分析"/>
    <w:p>
      <w:pPr>
        <w:pStyle w:val="3"/>
      </w:pPr>
      <w:r>
        <w:t xml:space="preserve">3.4 视觉安全监测主要应用场景深度分析</w:t>
      </w:r>
    </w:p>
    <w:p>
      <w:pPr>
        <w:pStyle w:val="FirstParagraph"/>
      </w:pPr>
      <w:r>
        <w:t xml:space="preserve">视觉安全监测作为视觉力学传感器的重要应用领域，在桥梁、隧道、边坡等基础设施安全监测中发挥着关键作用。随着新型城镇化、交通强国、数字中国等国家战略的推进，基础设施安全监测市场需求持续增长，为视觉监测技术提供了广阔的应用空间。</w:t>
      </w:r>
    </w:p>
    <w:bookmarkStart w:id="51" w:name="桥梁健康监测市场分析"/>
    <w:p>
      <w:pPr>
        <w:pStyle w:val="4"/>
      </w:pPr>
      <w:r>
        <w:t xml:space="preserve">3.4.1 桥梁健康监测市场分析</w:t>
      </w:r>
    </w:p>
    <w:p>
      <w:pPr>
        <w:pStyle w:val="FirstParagraph"/>
      </w:pPr>
      <w:r>
        <w:rPr>
          <w:bCs/>
          <w:b/>
        </w:rPr>
        <w:t xml:space="preserve">市场规模与增长趋势</w:t>
      </w:r>
      <w:r>
        <w:t xml:space="preserve">。根据《2025-2031年中国桥梁检测行业现状分析与市场前景报告》，中国桥梁检测行业市场规模持续扩大，2024年市场规模达到约320亿元，预计到2031年将增长至480亿元，年复合增长率约6%。其中，视觉监测技术作为新兴监测手段，市场份额快速提升，从2022年的15%增长至2024年的35%，技术替代效应明显。</w:t>
      </w:r>
    </w:p>
    <w:p>
      <w:pPr>
        <w:pStyle w:val="BodyText"/>
      </w:pPr>
      <w:r>
        <w:rPr>
          <w:bCs/>
          <w:b/>
        </w:rPr>
        <w:t xml:space="preserve">技术方案与应用特点</w:t>
      </w:r>
      <w:r>
        <w:t xml:space="preserve">。桥梁健康监测主要关注挠度（竖向位移）和横向位移，DIC技术能够实现全场、非接触、高精度测量，特别适用于大跨度桥梁的长期健康监测。与传统监测方法（如全站仪、GPS、倾角计）相比，视觉监测具有以下优势：（1）全场测量能力：可同时监测多个测点，获得完整的位移场信息；（2）非接触测量：无需在桥梁上安装传感器，避免对结构造成影响；（3）高精度：测量精度可达亚毫米级；（4）实时性：支持连续监测和实时预警；（5）可视化：提供直观的位移云图和动画展示。</w:t>
      </w:r>
    </w:p>
    <w:p>
      <w:pPr>
        <w:pStyle w:val="BodyText"/>
      </w:pPr>
      <w:r>
        <w:rPr>
          <w:bCs/>
          <w:b/>
        </w:rPr>
        <w:t xml:space="preserve">主要厂商竞争格局</w:t>
      </w:r>
      <w:r>
        <w:t xml:space="preserve">。桥梁健康监测市场参与者包括传统监测企业（如基康仪器、华测导航）和新兴视觉监测企业（如亿维股份、HSM等）。亿维股份的”AI在线视觉监测仪”凭借斜光轴DIC技术获得中国公路学会2025年技术创新大赛一等奖，标志着视觉监测技术在桥梁安全监测领域的技术成熟度和市场认可度。HSM的单目三维DIC技术同样适用于桥梁监测，特别是在成本控制和标准化应用方面具有优势。</w:t>
      </w:r>
    </w:p>
    <w:p>
      <w:pPr>
        <w:pStyle w:val="BodyText"/>
      </w:pPr>
      <w:r>
        <w:rPr>
          <w:bCs/>
          <w:b/>
        </w:rPr>
        <w:t xml:space="preserve">政策支持与市场机遇</w:t>
      </w:r>
      <w:r>
        <w:t xml:space="preserve">。交通运输部《</w:t>
      </w:r>
      <w:r>
        <w:t xml:space="preserve">“</w:t>
      </w:r>
      <w:r>
        <w:t xml:space="preserve">十四五</w:t>
      </w:r>
      <w:r>
        <w:t xml:space="preserve">”</w:t>
      </w:r>
      <w:r>
        <w:t xml:space="preserve">公路养护管理发展规划》明确提出推进桥梁隧道智能监测技术应用，要求对特大桥、特殊结构桥梁建立长期健康监测系统。各省市交通部门相继出台配套政策，推动桥梁监测系统建设和升级改造。随着”交通强国”战略的深入实施，老旧桥梁改造、新建桥梁监测、智慧高速公路建设等工程为视觉监测技术提供了持续的市场需求。</w:t>
      </w:r>
    </w:p>
    <w:bookmarkEnd w:id="51"/>
    <w:bookmarkStart w:id="52" w:name="隧道收敛监测市场分析"/>
    <w:p>
      <w:pPr>
        <w:pStyle w:val="4"/>
      </w:pPr>
      <w:r>
        <w:t xml:space="preserve">3.4.2 隧道收敛监测市场分析</w:t>
      </w:r>
    </w:p>
    <w:p>
      <w:pPr>
        <w:pStyle w:val="FirstParagraph"/>
      </w:pPr>
      <w:r>
        <w:rPr>
          <w:bCs/>
          <w:b/>
        </w:rPr>
        <w:t xml:space="preserve">市场规模与区域分布</w:t>
      </w:r>
      <w:r>
        <w:t xml:space="preserve">。根据《全球及中国隧道运行监测系统市场规模及”十五五”前景规划分析报告》，2024年全球隧道运行监测系统市场规模约为45亿美元，预计2031年将达到68亿美元，年复合增长率约6%。中国市场占全球市场的30%以上，是最大的单一市场。随着城市地铁、高速公路、铁路等隧道工程的大规模建设，隧道安全监测需求持续增长。</w:t>
      </w:r>
    </w:p>
    <w:p>
      <w:pPr>
        <w:pStyle w:val="BodyText"/>
      </w:pPr>
      <w:r>
        <w:rPr>
          <w:bCs/>
          <w:b/>
        </w:rPr>
        <w:t xml:space="preserve">技术挑战与解决方案</w:t>
      </w:r>
      <w:r>
        <w:t xml:space="preserve">。隧道监测主要关注收敛变形（横断面尺寸变化）和沉降位移。隧道环境具有光照条件差、湿度大、空间受限、振动干扰等特点，对视觉监测系统的环境适应性要求较高。针对这些挑战，视觉监测技术需要：（1）增强低光照适应能力：采用高性能图像传感器和图像增强算法；（2）提高环境鲁棒性：设计防水、防尘、防振的防护结构；（3）优化安装方案：开发适合隧道环境的安装支架和标定方法；（4）实现自动监测：集成智能算法，实现自动化数据采集和分析。</w:t>
      </w:r>
    </w:p>
    <w:p>
      <w:pPr>
        <w:pStyle w:val="BodyText"/>
      </w:pPr>
      <w:r>
        <w:rPr>
          <w:bCs/>
          <w:b/>
        </w:rPr>
        <w:t xml:space="preserve">应用案例与发展趋势</w:t>
      </w:r>
      <w:r>
        <w:t xml:space="preserve">。视觉监测技术已在地铁隧道、公路隧道、铁路隧道等场景得到应用，实现了从人工巡检向自动化监测的转变。典型案例包括：（1）地铁隧道收敛监测：在北京、上海、广州等城市地铁隧道中应用，实现收敛变形的长期连续监测；（2）公路隧道健康监测：在山区高速公路隧道中应用，监测围岩变形和衬砌裂缝发展；（3）铁路隧道安全评估：在高速铁路隧道中应用，评估列车运行对隧道结构的影响。发展趋势包括：多传感器融合（视觉监测与激光扫描、地质雷达等技术融合）、智能化分析（基于AI算法的异常检测和预警）、云平台管理（实现多隧道集中监控和数据分析）。</w:t>
      </w:r>
    </w:p>
    <w:bookmarkEnd w:id="52"/>
    <w:bookmarkStart w:id="53" w:name="边坡位移监测市场分析"/>
    <w:p>
      <w:pPr>
        <w:pStyle w:val="4"/>
      </w:pPr>
      <w:r>
        <w:t xml:space="preserve">3.4.3 边坡位移监测市场分析</w:t>
      </w:r>
    </w:p>
    <w:p>
      <w:pPr>
        <w:pStyle w:val="FirstParagraph"/>
      </w:pPr>
      <w:r>
        <w:rPr>
          <w:bCs/>
          <w:b/>
        </w:rPr>
        <w:t xml:space="preserve">市场规模与需求特征</w:t>
      </w:r>
      <w:r>
        <w:t xml:space="preserve">。根据《全球及中国岩土工程监测行业市场数据调研及前景趋势预测报告(2025-2030年)》，2025年全球岩土工程监测市场规模约为58亿美元，预计2030年将增长至85亿美元，年复合增长率约8%。中国市场增速高于全球平均水平，特别是地质灾害频发地区监测需求迫切。边坡监测主要关注表面位移和深层位移，视觉监测技术能够实现大范围、远距离监测，适用于山区、矿区、交通沿线等复杂环境的边坡安全监测。</w:t>
      </w:r>
    </w:p>
    <w:p>
      <w:pPr>
        <w:pStyle w:val="BodyText"/>
      </w:pPr>
      <w:r>
        <w:rPr>
          <w:bCs/>
          <w:b/>
        </w:rPr>
        <w:t xml:space="preserve">技术方案与系统集成</w:t>
      </w:r>
      <w:r>
        <w:t xml:space="preserve">。边坡位移监测技术方案包括：（1）固定式视觉监测站：在边坡关键位置安装固定监测设备，实现连续监测；（2）无人机巡检系统：利用无人机搭载视觉传感器进行大范围边坡巡查，获取高分辨率图像和视频；（3）移动式监测系统：结合机器人技术，实现边坡区域的自动化巡检；（4）多源数据融合：将视觉监测数据与InSAR、GNSS、地质雷达等数据融合，提高监测精度和可靠性。系统集成需要考虑数据传输、电源供应、环境防护、远程控制等实际问题。</w:t>
      </w:r>
    </w:p>
    <w:p>
      <w:pPr>
        <w:pStyle w:val="BodyText"/>
      </w:pPr>
      <w:r>
        <w:rPr>
          <w:bCs/>
          <w:b/>
        </w:rPr>
        <w:t xml:space="preserve">应用领域与市场机遇</w:t>
      </w:r>
      <w:r>
        <w:t xml:space="preserve">。边坡位移监测主要应用于：（1）公路铁路边坡：监测路基边坡稳定性，预防滑坡灾害；（2）矿山边坡：监测露天矿边坡变形，保障采矿安全；（3）水利工程边坡：监测水库、大坝边坡稳定性，防范溃坝风险；（4）地质灾害防治：对滑坡、崩塌等地质灾害隐患点进行监测预警。随着”平安中国”建设和地质灾害防治力度的加大，边坡监测市场需求将持续增长。特别是《</w:t>
      </w:r>
      <w:r>
        <w:t xml:space="preserve">“</w:t>
      </w:r>
      <w:r>
        <w:t xml:space="preserve">十四五</w:t>
      </w:r>
      <w:r>
        <w:t xml:space="preserve">”</w:t>
      </w:r>
      <w:r>
        <w:t xml:space="preserve">国家应急体系规划》明确提出加强地质灾害监测预警能力建设，为视觉监测技术提供了政策支持。</w:t>
      </w:r>
    </w:p>
    <w:bookmarkEnd w:id="53"/>
    <w:bookmarkStart w:id="54" w:name="国家政策环境分析"/>
    <w:p>
      <w:pPr>
        <w:pStyle w:val="4"/>
      </w:pPr>
      <w:r>
        <w:t xml:space="preserve">3.4.4 国家政策环境分析</w:t>
      </w:r>
    </w:p>
    <w:p>
      <w:pPr>
        <w:pStyle w:val="FirstParagraph"/>
      </w:pPr>
      <w:r>
        <w:rPr>
          <w:bCs/>
          <w:b/>
        </w:rPr>
        <w:t xml:space="preserve">政策体系不断完善</w:t>
      </w:r>
      <w:r>
        <w:t xml:space="preserve">。国家高度重视公共安全视频图像信息系统的建设和管理。2025年1月13日，国务院颁布《公共安全视频图像信息系统管理条例》（国令第799号），自2025年4月1日起施行。该条例规范了公共安全视频图像信息系统的建设、使用和管理，强调”统筹规划、合理适度、标准引领、安全可控”的原则，为视觉监测技术在公共安全领域的应用提供了法规依据。</w:t>
      </w:r>
    </w:p>
    <w:p>
      <w:pPr>
        <w:pStyle w:val="BodyText"/>
      </w:pPr>
      <w:r>
        <w:rPr>
          <w:bCs/>
          <w:b/>
        </w:rPr>
        <w:t xml:space="preserve">行业政策密集出台</w:t>
      </w:r>
      <w:r>
        <w:t xml:space="preserve">。《</w:t>
      </w:r>
      <w:r>
        <w:t xml:space="preserve">“</w:t>
      </w:r>
      <w:r>
        <w:t xml:space="preserve">十四五</w:t>
      </w:r>
      <w:r>
        <w:t xml:space="preserve">”</w:t>
      </w:r>
      <w:r>
        <w:t xml:space="preserve">国家应急体系规划》《</w:t>
      </w:r>
      <w:r>
        <w:t xml:space="preserve">“</w:t>
      </w:r>
      <w:r>
        <w:t xml:space="preserve">十四五</w:t>
      </w:r>
      <w:r>
        <w:t xml:space="preserve">”</w:t>
      </w:r>
      <w:r>
        <w:t xml:space="preserve">综合交通运输体系发展规划》《</w:t>
      </w:r>
      <w:r>
        <w:t xml:space="preserve">“</w:t>
      </w:r>
      <w:r>
        <w:t xml:space="preserve">十四五</w:t>
      </w:r>
      <w:r>
        <w:t xml:space="preserve">”</w:t>
      </w:r>
      <w:r>
        <w:t xml:space="preserve">住房和城乡建设事业发展规划》等政策文件均明确提出加强基础设施安全监测能力建设，推广智能感知、物联网、大数据等技术在安全监测领域的应用。交通运输部、住房和城乡建设部、应急管理部等部委出台专项政策，推动桥梁、隧道、边坡、建筑等基础设施的智能监测系统建设。</w:t>
      </w:r>
    </w:p>
    <w:p>
      <w:pPr>
        <w:pStyle w:val="BodyText"/>
      </w:pPr>
      <w:r>
        <w:rPr>
          <w:bCs/>
          <w:b/>
        </w:rPr>
        <w:t xml:space="preserve">标准体系建设加速</w:t>
      </w:r>
      <w:r>
        <w:t xml:space="preserve">。国家标准化管理委员会、工业和信息化部等部门加快制定视觉监测技术标准，包括《结构健康监测系统技术要求》《视频图像分析系统技术规范》《基础设施安全监测数据格式标准》等。标准体系的完善有利于规范市场秩序，推动技术进步，降低应用门槛。HSM作为技术领先企业，积极参与行业标准制定，将技术优势转化为标准优势。</w:t>
      </w:r>
    </w:p>
    <w:p>
      <w:pPr>
        <w:pStyle w:val="BodyText"/>
      </w:pPr>
      <w:r>
        <w:rPr>
          <w:bCs/>
          <w:b/>
        </w:rPr>
        <w:t xml:space="preserve">政策影响评估</w:t>
      </w:r>
      <w:r>
        <w:t xml:space="preserve">：政策环境为视觉安全监测行业发展创造了良好的外部条件。（1）市场需求驱动：强制性监测要求和政府投资项目为视觉监测技术提供了稳定市场；（2）技术标准引导：标准化建设推动产品标准化和规模化应用；（3）创新支持激励：科技项目支持和研发补贴鼓励企业技术创新；（4）市场准入规范：资质要求和认证制度提高了行业准入门槛，有利于规范市场竞争。</w:t>
      </w:r>
    </w:p>
    <w:p>
      <w:r>
        <w:pict>
          <v:rect style="width:0;height:1.5pt" o:hralign="center" o:hrstd="t" o:hr="t"/>
        </w:pict>
      </w:r>
    </w:p>
    <w:bookmarkEnd w:id="54"/>
    <w:bookmarkEnd w:id="55"/>
    <w:bookmarkStart w:id="56" w:name="本章小结"/>
    <w:p>
      <w:pPr>
        <w:pStyle w:val="3"/>
      </w:pPr>
      <w:r>
        <w:t xml:space="preserve">3.5 本章小结</w:t>
      </w:r>
    </w:p>
    <w:p>
      <w:pPr>
        <w:pStyle w:val="FirstParagraph"/>
      </w:pPr>
      <w:r>
        <w:t xml:space="preserve">本章采用PEST分析、波特五力模型等战略分析工具，系统研究了HSM公司的外部环境。分析表明，视觉力学传感器行业正处于快速发展阶段，为HSM的战略转型提供了有利的外部条件。</w:t>
      </w:r>
    </w:p>
    <w:p>
      <w:pPr>
        <w:pStyle w:val="BodyText"/>
      </w:pPr>
      <w:r>
        <w:rPr>
          <w:bCs/>
          <w:b/>
        </w:rPr>
        <w:t xml:space="preserve">宏观环境机遇大于挑战</w:t>
      </w:r>
      <w:r>
        <w:t xml:space="preserve">。政治层面，国产替代战略和政策支持为国内企业创造了市场空间；经济层面，基础设施安全监测市场需求快速增长，为技术应用提供了广阔场景；社会层面，技术认知度和安全意识提升降低了市场推广难度；技术层面，新一代信息技术与传感器技术融合为产品创新提供了技术支撑。然而，国际竞争加剧、成本压力上升、人才短缺等问题仍不容忽视。</w:t>
      </w:r>
    </w:p>
    <w:p>
      <w:pPr>
        <w:pStyle w:val="BodyText"/>
      </w:pPr>
      <w:r>
        <w:rPr>
          <w:bCs/>
          <w:b/>
        </w:rPr>
        <w:t xml:space="preserve">行业竞争呈现结构性特征</w:t>
      </w:r>
      <w:r>
        <w:t xml:space="preserve">。全球与中国市场对比显示，中国市场增速快于全球，成为全球最大的单一市场。竞争格局分为三个梯队：国际巨头占据高端市场，国内领先企业在细分领域形成差异化竞争，其他企业以价格竞争为主。波特五力分析表明，现有企业竞争最为激烈，潜在进入者威胁较低，替代品威胁有限，供应商和客户议价能力中等偏强。</w:t>
      </w:r>
    </w:p>
    <w:p>
      <w:pPr>
        <w:pStyle w:val="BodyText"/>
      </w:pPr>
      <w:r>
        <w:rPr>
          <w:bCs/>
          <w:b/>
        </w:rPr>
        <w:t xml:space="preserve">视觉安全监测成为重要增长点</w:t>
      </w:r>
      <w:r>
        <w:t xml:space="preserve">。桥梁、隧道、边坡三大应用场景市场规模持续扩大，技术方案不断完善，政策支持力度加大。随着新型城镇化、交通强国、数字中国等国家战略的推进，基础设施安全监测市场需求将持续增长，视觉监测技术市场份额有望进一步提升。</w:t>
      </w:r>
    </w:p>
    <w:p>
      <w:pPr>
        <w:pStyle w:val="BodyText"/>
      </w:pPr>
      <w:r>
        <w:rPr>
          <w:bCs/>
          <w:b/>
        </w:rPr>
        <w:t xml:space="preserve">对HSM的战略启示</w:t>
      </w:r>
      <w:r>
        <w:t xml:space="preserve">：（1）把握政策机遇，积极参与国产替代和政府项目；（2）聚焦重点行业，在桥梁、隧道、边坡等安全监测领域建立竞争优势；（3）构建差异化优势，以第三代DIC技术为核心，开发智能化、平台化产品；（4）优化供应链管理，建立多元化供应商体系，降低采购成本；（5）实施客户分层策略，针对不同类型客户提供差异化产品和服务。</w:t>
      </w:r>
    </w:p>
    <w:p>
      <w:pPr>
        <w:pStyle w:val="BodyText"/>
      </w:pPr>
      <w:r>
        <w:t xml:space="preserve">通过外部环境分析，HSM明确了战略转型的方向和重点。下一步将结合内部资源能力，制定具体的转型实施路径，实现从项目制向产品化的成功转型。</w:t>
      </w:r>
    </w:p>
    <w:bookmarkEnd w:id="56"/>
    <w:bookmarkEnd w:id="57"/>
    <w:bookmarkStart w:id="78" w:name="第四章-hsm战略转型的动因分析"/>
    <w:p>
      <w:pPr>
        <w:pStyle w:val="2"/>
      </w:pPr>
      <w:r>
        <w:t xml:space="preserve">第四章 HSM战略转型的动因分析</w:t>
      </w:r>
    </w:p>
    <w:bookmarkStart w:id="59" w:name="hsm基本情况"/>
    <w:p>
      <w:pPr>
        <w:pStyle w:val="3"/>
      </w:pPr>
      <w:r>
        <w:t xml:space="preserve">4.1 HSM基本情况</w:t>
      </w:r>
    </w:p>
    <w:p>
      <w:pPr>
        <w:pStyle w:val="FirstParagraph"/>
      </w:pPr>
      <w:r>
        <w:t xml:space="preserve">深圳市海塞姆科技有限公司（HSM）成立于2021年，是一家专注于视觉力学传感器研发、生产与销售的国家级高新技术企业。公司以全球首创的单目三维DIC技术为核心，构建了视频引伸计、视频应变仪、视频跟踪仪三大产品线，致力于为材料力学测试、工业质量控制和基础设施安全监测提供高精度、智能化的视觉测量解决方案。</w:t>
      </w:r>
    </w:p>
    <w:p>
      <w:pPr>
        <w:pStyle w:val="BodyText"/>
      </w:pPr>
      <w:r>
        <w:t xml:space="preserve">作为深圳市种子独角兽企业，HSM秉承”技术创新、客户至上、质量为本”的经营理念，累计服务超过1000家客户，包括一汽集团、比亚迪、宁德时代等标杆企业，在DIC视觉传感器领域建立了国内领先的技术优势和品牌影响力。</w:t>
      </w:r>
    </w:p>
    <w:bookmarkStart w:id="58" w:name="表4-1hsm三大产品线基本特征对比"/>
    <w:p>
      <w:pPr>
        <w:pStyle w:val="4"/>
      </w:pPr>
      <w:r>
        <w:t xml:space="preserve">表4-1：HSM三大产品线基本特征对比</w:t>
      </w:r>
    </w:p>
    <w:tbl>
      <w:tblPr>
        <w:tblStyle w:val="Table"/>
        <w:tblW w:type="pct" w:w="5000"/>
        <w:tblLook w:firstRow="1" w:lastRow="0" w:firstColumn="0" w:lastColumn="0" w:noHBand="0" w:noVBand="0" w:val="0020"/>
      </w:tblPr>
      <w:tblGrid>
        <w:gridCol w:w="990"/>
        <w:gridCol w:w="1237"/>
        <w:gridCol w:w="1237"/>
        <w:gridCol w:w="1732"/>
        <w:gridCol w:w="1237"/>
        <w:gridCol w:w="1485"/>
      </w:tblGrid>
      <w:tr>
        <w:trPr>
          <w:tblHeader w:val="true"/>
        </w:trPr>
        <w:tc>
          <w:tcPr/>
          <w:p>
            <w:pPr>
              <w:pStyle w:val="Compact"/>
              <w:jc w:val="left"/>
            </w:pPr>
            <w:r>
              <w:t xml:space="preserve">产品线</w:t>
            </w:r>
          </w:p>
        </w:tc>
        <w:tc>
          <w:tcPr/>
          <w:p>
            <w:pPr>
              <w:pStyle w:val="Compact"/>
              <w:jc w:val="left"/>
            </w:pPr>
            <w:r>
              <w:t xml:space="preserve">技术核心</w:t>
            </w:r>
          </w:p>
        </w:tc>
        <w:tc>
          <w:tcPr/>
          <w:p>
            <w:pPr>
              <w:pStyle w:val="Compact"/>
              <w:jc w:val="left"/>
            </w:pPr>
            <w:r>
              <w:t xml:space="preserve">产品形态</w:t>
            </w:r>
          </w:p>
        </w:tc>
        <w:tc>
          <w:tcPr/>
          <w:p>
            <w:pPr>
              <w:pStyle w:val="Compact"/>
              <w:jc w:val="left"/>
            </w:pPr>
            <w:r>
              <w:t xml:space="preserve">主要应用场景</w:t>
            </w:r>
          </w:p>
        </w:tc>
        <w:tc>
          <w:tcPr/>
          <w:p>
            <w:pPr>
              <w:pStyle w:val="Compact"/>
              <w:jc w:val="left"/>
            </w:pPr>
            <w:r>
              <w:t xml:space="preserve">发展阶段</w:t>
            </w:r>
          </w:p>
        </w:tc>
        <w:tc>
          <w:tcPr/>
          <w:p>
            <w:pPr>
              <w:pStyle w:val="Compact"/>
              <w:jc w:val="left"/>
            </w:pPr>
            <w:r>
              <w:t xml:space="preserve">标准化程度</w:t>
            </w:r>
          </w:p>
        </w:tc>
      </w:tr>
      <w:tr>
        <w:tc>
          <w:tcPr/>
          <w:p>
            <w:pPr>
              <w:pStyle w:val="Compact"/>
              <w:jc w:val="left"/>
            </w:pPr>
            <w:r>
              <w:rPr>
                <w:bCs/>
                <w:b/>
              </w:rPr>
              <w:t xml:space="preserve">视频引伸计</w:t>
            </w:r>
          </w:p>
        </w:tc>
        <w:tc>
          <w:tcPr/>
          <w:p>
            <w:pPr>
              <w:pStyle w:val="Compact"/>
              <w:jc w:val="left"/>
            </w:pPr>
            <w:r>
              <w:t xml:space="preserve">单目三维DIC技术</w:t>
            </w:r>
          </w:p>
        </w:tc>
        <w:tc>
          <w:tcPr/>
          <w:p>
            <w:pPr>
              <w:pStyle w:val="Compact"/>
              <w:jc w:val="left"/>
            </w:pPr>
            <w:r>
              <w:t xml:space="preserve">标准化硬件设备</w:t>
            </w:r>
          </w:p>
        </w:tc>
        <w:tc>
          <w:tcPr/>
          <w:p>
            <w:pPr>
              <w:pStyle w:val="Compact"/>
              <w:jc w:val="left"/>
            </w:pPr>
            <w:r>
              <w:t xml:space="preserve">材料力学测试、科研实验</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rPr>
                <w:bCs/>
                <w:b/>
              </w:rPr>
              <w:t xml:space="preserve">视频应变仪</w:t>
            </w:r>
          </w:p>
        </w:tc>
        <w:tc>
          <w:tcPr/>
          <w:p>
            <w:pPr>
              <w:pStyle w:val="Compact"/>
              <w:jc w:val="left"/>
            </w:pPr>
            <w:r>
              <w:t xml:space="preserve">智能DIC算法</w:t>
            </w:r>
          </w:p>
        </w:tc>
        <w:tc>
          <w:tcPr/>
          <w:p>
            <w:pPr>
              <w:pStyle w:val="Compact"/>
              <w:jc w:val="left"/>
            </w:pPr>
            <w:r>
              <w:t xml:space="preserve">一体化测量系统</w:t>
            </w:r>
          </w:p>
        </w:tc>
        <w:tc>
          <w:tcPr/>
          <w:p>
            <w:pPr>
              <w:pStyle w:val="Compact"/>
              <w:jc w:val="left"/>
            </w:pPr>
            <w:r>
              <w:t xml:space="preserve">工业质量控制、结构测试</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rPr>
                <w:bCs/>
                <w:b/>
              </w:rPr>
              <w:t xml:space="preserve">视频跟踪仪</w:t>
            </w:r>
          </w:p>
        </w:tc>
        <w:tc>
          <w:tcPr/>
          <w:p>
            <w:pPr>
              <w:pStyle w:val="Compact"/>
              <w:jc w:val="left"/>
            </w:pPr>
            <w:r>
              <w:t xml:space="preserve">实时DIC+AI融合</w:t>
            </w:r>
          </w:p>
        </w:tc>
        <w:tc>
          <w:tcPr/>
          <w:p>
            <w:pPr>
              <w:pStyle w:val="Compact"/>
              <w:jc w:val="left"/>
            </w:pPr>
            <w:r>
              <w:t xml:space="preserve">系统解决方案</w:t>
            </w:r>
          </w:p>
        </w:tc>
        <w:tc>
          <w:tcPr/>
          <w:p>
            <w:pPr>
              <w:pStyle w:val="Compact"/>
              <w:jc w:val="left"/>
            </w:pPr>
            <w:r>
              <w:t xml:space="preserve">基础设施安全监测、长期跟踪</w:t>
            </w:r>
          </w:p>
        </w:tc>
        <w:tc>
          <w:tcPr/>
          <w:p>
            <w:pPr>
              <w:pStyle w:val="Compact"/>
              <w:jc w:val="left"/>
            </w:pPr>
            <w:r>
              <w:t xml:space="preserve">发展期</w:t>
            </w:r>
          </w:p>
        </w:tc>
        <w:tc>
          <w:tcPr/>
          <w:p>
            <w:pPr>
              <w:pStyle w:val="Compact"/>
              <w:jc w:val="left"/>
            </w:pPr>
            <w:r>
              <w:t xml:space="preserve">半标准化/项目化</w:t>
            </w:r>
          </w:p>
        </w:tc>
      </w:tr>
    </w:tbl>
    <w:p>
      <w:pPr>
        <w:pStyle w:val="BodyText"/>
      </w:pPr>
      <w:r>
        <w:rPr>
          <w:bCs/>
          <w:b/>
        </w:rPr>
        <w:t xml:space="preserve">产品线发展特征</w:t>
      </w:r>
      <w:r>
        <w:t xml:space="preserve">：视频引伸计和视频应变仪已完成产品化转型，实现标准化批量生产；视频跟踪仪仍处于项目化发展阶段，每个项目需要深度定制设计和工程实施。</w:t>
      </w:r>
    </w:p>
    <w:bookmarkEnd w:id="58"/>
    <w:bookmarkEnd w:id="59"/>
    <w:bookmarkStart w:id="69" w:name="hsm内部资源和能力分析"/>
    <w:p>
      <w:pPr>
        <w:pStyle w:val="3"/>
      </w:pPr>
      <w:r>
        <w:t xml:space="preserve">4.2 HSM内部资源和能力分析</w:t>
      </w:r>
    </w:p>
    <w:bookmarkStart w:id="60" w:name="技术资源"/>
    <w:p>
      <w:pPr>
        <w:pStyle w:val="4"/>
      </w:pPr>
      <w:r>
        <w:t xml:space="preserve">4.2.1 技术资源</w:t>
      </w:r>
    </w:p>
    <w:p>
      <w:pPr>
        <w:pStyle w:val="FirstParagraph"/>
      </w:pPr>
      <w:r>
        <w:rPr>
          <w:bCs/>
          <w:b/>
        </w:rPr>
        <w:t xml:space="preserve">核心技术突破</w:t>
      </w:r>
      <w:r>
        <w:t xml:space="preserve">：HSM自主研发的全球首创单目三维DIC技术，在保持测量精度的同时大幅降低了硬件成本和系统复杂度，实现了DIC技术从科研仪器向工业产品的转化。该技术突破了传统双目DIC系统对精密标定和复杂硬件的依赖，为标准化产品开发奠定了技术基础。</w:t>
      </w:r>
    </w:p>
    <w:p>
      <w:pPr>
        <w:pStyle w:val="BodyText"/>
      </w:pPr>
      <w:r>
        <w:rPr>
          <w:bCs/>
          <w:b/>
        </w:rPr>
        <w:t xml:space="preserve">专利布局</w:t>
      </w:r>
      <w:r>
        <w:t xml:space="preserve">：公司在DIC视觉传感器领域累计申请专利数量居全国前列，构建了完善的技术保护体系。核心专利涵盖单目三维算法、硬件设计、系统集成等多个层面，形成了较高的技术壁垒。</w:t>
      </w:r>
    </w:p>
    <w:p>
      <w:pPr>
        <w:pStyle w:val="BodyText"/>
      </w:pPr>
      <w:r>
        <w:rPr>
          <w:bCs/>
          <w:b/>
        </w:rPr>
        <w:t xml:space="preserve">研发投入</w:t>
      </w:r>
      <w:r>
        <w:t xml:space="preserve">：作为硬科技企业，HSM研发投入占营业收入比例持续保持在20%以上，研发团队占员工总数的40%。公司建立了从算法研究、软件开发到硬件设计的全栈研发能力。</w:t>
      </w:r>
    </w:p>
    <w:bookmarkEnd w:id="60"/>
    <w:bookmarkStart w:id="64" w:name="产品资源"/>
    <w:p>
      <w:pPr>
        <w:pStyle w:val="4"/>
      </w:pPr>
      <w:r>
        <w:t xml:space="preserve">4.2.2 产品资源</w:t>
      </w:r>
    </w:p>
    <w:p>
      <w:pPr>
        <w:pStyle w:val="FirstParagraph"/>
      </w:pPr>
      <w:r>
        <w:t xml:space="preserve">HSM基于第三代DIC技术构建了完整的产品体系，三条产品线在产品形态、技术特点和生产模式上形成互补。</w:t>
      </w:r>
    </w:p>
    <w:p>
      <w:pPr>
        <w:pStyle w:val="BodyText"/>
      </w:pPr>
      <w:r>
        <w:rPr>
          <w:bCs/>
          <w:b/>
        </w:rPr>
        <w:t xml:space="preserve">视频引伸计</w:t>
      </w:r>
      <w:r>
        <w:t xml:space="preserve">：作为现金牛产品，视频引伸计实现了完全标准化设计，月产能可达200-300台。产品采用模块化硬件和标准化软件，支持快速交付和批量生产。</w:t>
      </w:r>
    </w:p>
    <w:bookmarkStart w:id="61" w:name="表4-2视频引伸计生产链结构"/>
    <w:p>
      <w:pPr>
        <w:pStyle w:val="Heading4"/>
      </w:pPr>
      <w:r>
        <w:t xml:space="preserve">表4-2：视频引伸计生产链结构</w:t>
      </w:r>
    </w:p>
    <w:tbl>
      <w:tblPr>
        <w:tblStyle w:val="Table"/>
        <w:tblW w:type="pct" w:w="5000"/>
        <w:tblLook w:firstRow="1" w:lastRow="0" w:firstColumn="0" w:lastColumn="0" w:noHBand="0" w:noVBand="0" w:val="0020"/>
      </w:tblPr>
      <w:tblGrid>
        <w:gridCol w:w="1277"/>
        <w:gridCol w:w="1277"/>
        <w:gridCol w:w="1277"/>
        <w:gridCol w:w="1532"/>
        <w:gridCol w:w="1277"/>
        <w:gridCol w:w="1277"/>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rPr>
                <w:bCs/>
                <w:b/>
              </w:rPr>
              <w:t xml:space="preserve">研发设计</w:t>
            </w:r>
          </w:p>
        </w:tc>
        <w:tc>
          <w:tcPr/>
          <w:p>
            <w:pPr>
              <w:pStyle w:val="Compact"/>
              <w:jc w:val="left"/>
            </w:pPr>
            <w:r>
              <w:t xml:space="preserve">算法优化、硬件设计、软件开发</w:t>
            </w:r>
          </w:p>
        </w:tc>
        <w:tc>
          <w:tcPr/>
          <w:p>
            <w:pPr>
              <w:pStyle w:val="Compact"/>
              <w:jc w:val="left"/>
            </w:pPr>
            <w:r>
              <w:t xml:space="preserve">研发人员占比15%</w:t>
            </w:r>
          </w:p>
        </w:tc>
        <w:tc>
          <w:tcPr/>
          <w:p>
            <w:pPr>
              <w:pStyle w:val="Compact"/>
              <w:jc w:val="left"/>
            </w:pPr>
            <w:r>
              <w:t xml:space="preserve">自主研发核心算法，外购标准电子元件</w:t>
            </w:r>
          </w:p>
        </w:tc>
        <w:tc>
          <w:tcPr/>
          <w:p>
            <w:pPr>
              <w:pStyle w:val="Compact"/>
              <w:jc w:val="left"/>
            </w:pPr>
            <w:r>
              <w:t xml:space="preserve">研发投入占产品成本20%</w:t>
            </w:r>
          </w:p>
        </w:tc>
        <w:tc>
          <w:tcPr/>
          <w:p>
            <w:pPr>
              <w:pStyle w:val="Compact"/>
              <w:jc w:val="left"/>
            </w:pPr>
            <w:r>
              <w:t xml:space="preserve">算法精度测试、硬件稳定性验证</w:t>
            </w:r>
          </w:p>
        </w:tc>
      </w:tr>
      <w:tr>
        <w:tc>
          <w:tcPr/>
          <w:p>
            <w:pPr>
              <w:pStyle w:val="Compact"/>
              <w:jc w:val="left"/>
            </w:pPr>
            <w:r>
              <w:rPr>
                <w:bCs/>
                <w:b/>
              </w:rPr>
              <w:t xml:space="preserve">采购供应</w:t>
            </w:r>
          </w:p>
        </w:tc>
        <w:tc>
          <w:tcPr/>
          <w:p>
            <w:pPr>
              <w:pStyle w:val="Compact"/>
              <w:jc w:val="left"/>
            </w:pPr>
            <w:r>
              <w:t xml:space="preserve">图像传感器、镜头、处理芯片采购</w:t>
            </w:r>
          </w:p>
        </w:tc>
        <w:tc>
          <w:tcPr/>
          <w:p>
            <w:pPr>
              <w:pStyle w:val="Compact"/>
              <w:jc w:val="left"/>
            </w:pPr>
            <w:r>
              <w:t xml:space="preserve">采购团队3-5人</w:t>
            </w:r>
          </w:p>
        </w:tc>
        <w:tc>
          <w:tcPr/>
          <w:p>
            <w:pPr>
              <w:pStyle w:val="Compact"/>
              <w:jc w:val="left"/>
            </w:pPr>
            <w:r>
              <w:t xml:space="preserve">建立合格供应商库，主要供应商稳定</w:t>
            </w:r>
          </w:p>
        </w:tc>
        <w:tc>
          <w:tcPr/>
          <w:p>
            <w:pPr>
              <w:pStyle w:val="Compact"/>
              <w:jc w:val="left"/>
            </w:pPr>
            <w:r>
              <w:t xml:space="preserve">原材料成本占40%</w:t>
            </w:r>
          </w:p>
        </w:tc>
        <w:tc>
          <w:tcPr/>
          <w:p>
            <w:pPr>
              <w:pStyle w:val="Compact"/>
              <w:jc w:val="left"/>
            </w:pPr>
            <w:r>
              <w:t xml:space="preserve">供应商质量审核、来料检验</w:t>
            </w:r>
          </w:p>
        </w:tc>
      </w:tr>
      <w:tr>
        <w:tc>
          <w:tcPr/>
          <w:p>
            <w:pPr>
              <w:pStyle w:val="Compact"/>
              <w:jc w:val="left"/>
            </w:pPr>
            <w:r>
              <w:rPr>
                <w:bCs/>
                <w:b/>
              </w:rPr>
              <w:t xml:space="preserve">生产制造</w:t>
            </w:r>
          </w:p>
        </w:tc>
        <w:tc>
          <w:tcPr/>
          <w:p>
            <w:pPr>
              <w:pStyle w:val="Compact"/>
              <w:jc w:val="left"/>
            </w:pPr>
            <w:r>
              <w:t xml:space="preserve">PCB贴片、组装、调试</w:t>
            </w:r>
          </w:p>
        </w:tc>
        <w:tc>
          <w:tcPr/>
          <w:p>
            <w:pPr>
              <w:pStyle w:val="Compact"/>
              <w:jc w:val="left"/>
            </w:pPr>
            <w:r>
              <w:t xml:space="preserve">生产线工人8-12人</w:t>
            </w:r>
          </w:p>
        </w:tc>
        <w:tc>
          <w:tcPr/>
          <w:p>
            <w:pPr>
              <w:pStyle w:val="Compact"/>
              <w:jc w:val="left"/>
            </w:pPr>
            <w:r>
              <w:t xml:space="preserve">委托专业电子厂贴片，自主组装调试</w:t>
            </w:r>
          </w:p>
        </w:tc>
        <w:tc>
          <w:tcPr/>
          <w:p>
            <w:pPr>
              <w:pStyle w:val="Compact"/>
              <w:jc w:val="left"/>
            </w:pPr>
            <w:r>
              <w:t xml:space="preserve">制造成本占25%</w:t>
            </w:r>
          </w:p>
        </w:tc>
        <w:tc>
          <w:tcPr/>
          <w:p>
            <w:pPr>
              <w:pStyle w:val="Compact"/>
              <w:jc w:val="left"/>
            </w:pPr>
            <w:r>
              <w:t xml:space="preserve">过程质量控制、功能测试</w:t>
            </w:r>
          </w:p>
        </w:tc>
      </w:tr>
      <w:tr>
        <w:tc>
          <w:tcPr/>
          <w:p>
            <w:pPr>
              <w:pStyle w:val="Compact"/>
              <w:jc w:val="left"/>
            </w:pPr>
            <w:r>
              <w:rPr>
                <w:bCs/>
                <w:b/>
              </w:rPr>
              <w:t xml:space="preserve">测试校准</w:t>
            </w:r>
          </w:p>
        </w:tc>
        <w:tc>
          <w:tcPr/>
          <w:p>
            <w:pPr>
              <w:pStyle w:val="Compact"/>
              <w:jc w:val="left"/>
            </w:pPr>
            <w:r>
              <w:t xml:space="preserve">精度校准、功能测试、老化测试</w:t>
            </w:r>
          </w:p>
        </w:tc>
        <w:tc>
          <w:tcPr/>
          <w:p>
            <w:pPr>
              <w:pStyle w:val="Compact"/>
              <w:jc w:val="left"/>
            </w:pPr>
            <w:r>
              <w:t xml:space="preserve">测试工程师4-6人</w:t>
            </w:r>
          </w:p>
        </w:tc>
        <w:tc>
          <w:tcPr/>
          <w:p>
            <w:pPr>
              <w:pStyle w:val="Compact"/>
              <w:jc w:val="left"/>
            </w:pPr>
            <w:r>
              <w:t xml:space="preserve">建立标准校准流程，使用标准测试设备</w:t>
            </w:r>
          </w:p>
        </w:tc>
        <w:tc>
          <w:tcPr/>
          <w:p>
            <w:pPr>
              <w:pStyle w:val="Compact"/>
              <w:jc w:val="left"/>
            </w:pPr>
            <w:r>
              <w:t xml:space="preserve">测试成本占10%</w:t>
            </w:r>
          </w:p>
        </w:tc>
        <w:tc>
          <w:tcPr/>
          <w:p>
            <w:pPr>
              <w:pStyle w:val="Compact"/>
              <w:jc w:val="left"/>
            </w:pPr>
            <w:r>
              <w:t xml:space="preserve">全检+抽检结合，精度达标率&gt;99.5%</w:t>
            </w:r>
          </w:p>
        </w:tc>
      </w:tr>
      <w:tr>
        <w:tc>
          <w:tcPr/>
          <w:p>
            <w:pPr>
              <w:pStyle w:val="Compact"/>
              <w:jc w:val="left"/>
            </w:pPr>
            <w:r>
              <w:rPr>
                <w:bCs/>
                <w:b/>
              </w:rPr>
              <w:t xml:space="preserve">包装出货</w:t>
            </w:r>
          </w:p>
        </w:tc>
        <w:tc>
          <w:tcPr/>
          <w:p>
            <w:pPr>
              <w:pStyle w:val="Compact"/>
              <w:jc w:val="left"/>
            </w:pPr>
            <w:r>
              <w:t xml:space="preserve">包装、说明书、软件预装</w:t>
            </w:r>
          </w:p>
        </w:tc>
        <w:tc>
          <w:tcPr/>
          <w:p>
            <w:pPr>
              <w:pStyle w:val="Compact"/>
              <w:jc w:val="left"/>
            </w:pPr>
            <w:r>
              <w:t xml:space="preserve">包装工人2-3人</w:t>
            </w:r>
          </w:p>
        </w:tc>
        <w:tc>
          <w:tcPr/>
          <w:p>
            <w:pPr>
              <w:pStyle w:val="Compact"/>
              <w:jc w:val="left"/>
            </w:pPr>
            <w:r>
              <w:t xml:space="preserve">标准包装设计，批量生产</w:t>
            </w:r>
          </w:p>
        </w:tc>
        <w:tc>
          <w:tcPr/>
          <w:p>
            <w:pPr>
              <w:pStyle w:val="Compact"/>
              <w:jc w:val="left"/>
            </w:pPr>
            <w:r>
              <w:t xml:space="preserve">包装物流成本占5%</w:t>
            </w:r>
          </w:p>
        </w:tc>
        <w:tc>
          <w:tcPr/>
          <w:p>
            <w:pPr>
              <w:pStyle w:val="Compact"/>
              <w:jc w:val="left"/>
            </w:pPr>
            <w:r>
              <w:t xml:space="preserve">外观检查、配件完整性检查</w:t>
            </w:r>
          </w:p>
        </w:tc>
      </w:tr>
    </w:tbl>
    <w:p>
      <w:pPr>
        <w:pStyle w:val="BodyText"/>
      </w:pPr>
      <w:r>
        <w:rPr>
          <w:bCs/>
          <w:b/>
        </w:rPr>
        <w:t xml:space="preserve">视频应变仪</w:t>
      </w:r>
      <w:r>
        <w:t xml:space="preserve">：作为明星产品，视频应变仪采用模块化配置设计，平衡了标准化与定制化的需求。产品融合了AI算法和工业级硬件，为工业质量控制提供智能化解决方案。</w:t>
      </w:r>
    </w:p>
    <w:bookmarkEnd w:id="61"/>
    <w:bookmarkStart w:id="62" w:name="表4-3视频应变仪生产链结构"/>
    <w:p>
      <w:pPr>
        <w:pStyle w:val="Heading4"/>
      </w:pPr>
      <w:r>
        <w:t xml:space="preserve">表4-3：视频应变仪生产链结构</w:t>
      </w:r>
    </w:p>
    <w:tbl>
      <w:tblPr>
        <w:tblStyle w:val="Table"/>
        <w:tblW w:type="pct" w:w="5000"/>
        <w:tblLook w:firstRow="1" w:lastRow="0" w:firstColumn="0" w:lastColumn="0" w:noHBand="0" w:noVBand="0" w:val="0020"/>
      </w:tblPr>
      <w:tblGrid>
        <w:gridCol w:w="1277"/>
        <w:gridCol w:w="1277"/>
        <w:gridCol w:w="1277"/>
        <w:gridCol w:w="1532"/>
        <w:gridCol w:w="1277"/>
        <w:gridCol w:w="1277"/>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rPr>
                <w:bCs/>
                <w:b/>
              </w:rPr>
              <w:t xml:space="preserve">研发设计</w:t>
            </w:r>
          </w:p>
        </w:tc>
        <w:tc>
          <w:tcPr/>
          <w:p>
            <w:pPr>
              <w:pStyle w:val="Compact"/>
              <w:jc w:val="left"/>
            </w:pPr>
            <w:r>
              <w:t xml:space="preserve">智能算法开发、系统集成设计</w:t>
            </w:r>
          </w:p>
        </w:tc>
        <w:tc>
          <w:tcPr/>
          <w:p>
            <w:pPr>
              <w:pStyle w:val="Compact"/>
              <w:jc w:val="left"/>
            </w:pPr>
            <w:r>
              <w:t xml:space="preserve">研发人员占比20%</w:t>
            </w:r>
          </w:p>
        </w:tc>
        <w:tc>
          <w:tcPr/>
          <w:p>
            <w:pPr>
              <w:pStyle w:val="Compact"/>
              <w:jc w:val="left"/>
            </w:pPr>
            <w:r>
              <w:t xml:space="preserve">自主研发AI算法，集成第三方软件模块</w:t>
            </w:r>
          </w:p>
        </w:tc>
        <w:tc>
          <w:tcPr/>
          <w:p>
            <w:pPr>
              <w:pStyle w:val="Compact"/>
              <w:jc w:val="left"/>
            </w:pPr>
            <w:r>
              <w:t xml:space="preserve">研发投入占产品成本25%</w:t>
            </w:r>
          </w:p>
        </w:tc>
        <w:tc>
          <w:tcPr/>
          <w:p>
            <w:pPr>
              <w:pStyle w:val="Compact"/>
              <w:jc w:val="left"/>
            </w:pPr>
            <w:r>
              <w:t xml:space="preserve">算法鲁棒性测试、系统兼容性验证</w:t>
            </w:r>
          </w:p>
        </w:tc>
      </w:tr>
      <w:tr>
        <w:tc>
          <w:tcPr/>
          <w:p>
            <w:pPr>
              <w:pStyle w:val="Compact"/>
              <w:jc w:val="left"/>
            </w:pPr>
            <w:r>
              <w:rPr>
                <w:bCs/>
                <w:b/>
              </w:rPr>
              <w:t xml:space="preserve">采购供应</w:t>
            </w:r>
          </w:p>
        </w:tc>
        <w:tc>
          <w:tcPr/>
          <w:p>
            <w:pPr>
              <w:pStyle w:val="Compact"/>
              <w:jc w:val="left"/>
            </w:pPr>
            <w:r>
              <w:t xml:space="preserve">高性能传感器、工业级计算单元采购</w:t>
            </w:r>
          </w:p>
        </w:tc>
        <w:tc>
          <w:tcPr/>
          <w:p>
            <w:pPr>
              <w:pStyle w:val="Compact"/>
              <w:jc w:val="left"/>
            </w:pPr>
            <w:r>
              <w:t xml:space="preserve">采购团队4-6人</w:t>
            </w:r>
          </w:p>
        </w:tc>
        <w:tc>
          <w:tcPr/>
          <w:p>
            <w:pPr>
              <w:pStyle w:val="Compact"/>
              <w:jc w:val="left"/>
            </w:pPr>
            <w:r>
              <w:t xml:space="preserve">与国内外一线品牌建立战略合作</w:t>
            </w:r>
          </w:p>
        </w:tc>
        <w:tc>
          <w:tcPr/>
          <w:p>
            <w:pPr>
              <w:pStyle w:val="Compact"/>
              <w:jc w:val="left"/>
            </w:pPr>
            <w:r>
              <w:t xml:space="preserve">原材料成本占45%</w:t>
            </w:r>
          </w:p>
        </w:tc>
        <w:tc>
          <w:tcPr/>
          <w:p>
            <w:pPr>
              <w:pStyle w:val="Compact"/>
              <w:jc w:val="left"/>
            </w:pPr>
            <w:r>
              <w:t xml:space="preserve">性能验证测试、长期可靠性评估</w:t>
            </w:r>
          </w:p>
        </w:tc>
      </w:tr>
      <w:tr>
        <w:tc>
          <w:tcPr/>
          <w:p>
            <w:pPr>
              <w:pStyle w:val="Compact"/>
              <w:jc w:val="left"/>
            </w:pPr>
            <w:r>
              <w:rPr>
                <w:bCs/>
                <w:b/>
              </w:rPr>
              <w:t xml:space="preserve">生产制造</w:t>
            </w:r>
          </w:p>
        </w:tc>
        <w:tc>
          <w:tcPr/>
          <w:p>
            <w:pPr>
              <w:pStyle w:val="Compact"/>
              <w:jc w:val="left"/>
            </w:pPr>
            <w:r>
              <w:t xml:space="preserve">模块化组装、系统集成、软件预装</w:t>
            </w:r>
          </w:p>
        </w:tc>
        <w:tc>
          <w:tcPr/>
          <w:p>
            <w:pPr>
              <w:pStyle w:val="Compact"/>
              <w:jc w:val="left"/>
            </w:pPr>
            <w:r>
              <w:t xml:space="preserve">技术工人10-15人</w:t>
            </w:r>
          </w:p>
        </w:tc>
        <w:tc>
          <w:tcPr/>
          <w:p>
            <w:pPr>
              <w:pStyle w:val="Compact"/>
              <w:jc w:val="left"/>
            </w:pPr>
            <w:r>
              <w:t xml:space="preserve">模块化生产，支持客户定制配置</w:t>
            </w:r>
          </w:p>
        </w:tc>
        <w:tc>
          <w:tcPr/>
          <w:p>
            <w:pPr>
              <w:pStyle w:val="Compact"/>
              <w:jc w:val="left"/>
            </w:pPr>
            <w:r>
              <w:t xml:space="preserve">制造成本占20%</w:t>
            </w:r>
          </w:p>
        </w:tc>
        <w:tc>
          <w:tcPr/>
          <w:p>
            <w:pPr>
              <w:pStyle w:val="Compact"/>
              <w:jc w:val="left"/>
            </w:pPr>
            <w:r>
              <w:t xml:space="preserve">模块测试、系统集成测试</w:t>
            </w:r>
          </w:p>
        </w:tc>
      </w:tr>
      <w:tr>
        <w:tc>
          <w:tcPr/>
          <w:p>
            <w:pPr>
              <w:pStyle w:val="Compact"/>
              <w:jc w:val="left"/>
            </w:pPr>
            <w:r>
              <w:rPr>
                <w:bCs/>
                <w:b/>
              </w:rPr>
              <w:t xml:space="preserve">测试校准</w:t>
            </w:r>
          </w:p>
        </w:tc>
        <w:tc>
          <w:tcPr/>
          <w:p>
            <w:pPr>
              <w:pStyle w:val="Compact"/>
              <w:jc w:val="left"/>
            </w:pPr>
            <w:r>
              <w:t xml:space="preserve">工业环境测试、长期稳定性测试</w:t>
            </w:r>
          </w:p>
        </w:tc>
        <w:tc>
          <w:tcPr/>
          <w:p>
            <w:pPr>
              <w:pStyle w:val="Compact"/>
              <w:jc w:val="left"/>
            </w:pPr>
            <w:r>
              <w:t xml:space="preserve">测试工程师6-8人</w:t>
            </w:r>
          </w:p>
        </w:tc>
        <w:tc>
          <w:tcPr/>
          <w:p>
            <w:pPr>
              <w:pStyle w:val="Compact"/>
              <w:jc w:val="left"/>
            </w:pPr>
            <w:r>
              <w:t xml:space="preserve">模拟实际工业环境进行测试</w:t>
            </w:r>
          </w:p>
        </w:tc>
        <w:tc>
          <w:tcPr/>
          <w:p>
            <w:pPr>
              <w:pStyle w:val="Compact"/>
              <w:jc w:val="left"/>
            </w:pPr>
            <w:r>
              <w:t xml:space="preserve">测试成本占5%</w:t>
            </w:r>
          </w:p>
        </w:tc>
        <w:tc>
          <w:tcPr/>
          <w:p>
            <w:pPr>
              <w:pStyle w:val="Compact"/>
              <w:jc w:val="left"/>
            </w:pPr>
            <w:r>
              <w:t xml:space="preserve">环境适应性测试、连续运行测试</w:t>
            </w:r>
          </w:p>
        </w:tc>
      </w:tr>
      <w:tr>
        <w:tc>
          <w:tcPr/>
          <w:p>
            <w:pPr>
              <w:pStyle w:val="Compact"/>
              <w:jc w:val="left"/>
            </w:pPr>
            <w:r>
              <w:rPr>
                <w:bCs/>
                <w:b/>
              </w:rPr>
              <w:t xml:space="preserve">技术支持</w:t>
            </w:r>
          </w:p>
        </w:tc>
        <w:tc>
          <w:tcPr/>
          <w:p>
            <w:pPr>
              <w:pStyle w:val="Compact"/>
              <w:jc w:val="left"/>
            </w:pPr>
            <w:r>
              <w:t xml:space="preserve">客户培训、现场调试、远程支持</w:t>
            </w:r>
          </w:p>
        </w:tc>
        <w:tc>
          <w:tcPr/>
          <w:p>
            <w:pPr>
              <w:pStyle w:val="Compact"/>
              <w:jc w:val="left"/>
            </w:pPr>
            <w:r>
              <w:t xml:space="preserve">技术支持团队8-10人</w:t>
            </w:r>
          </w:p>
        </w:tc>
        <w:tc>
          <w:tcPr/>
          <w:p>
            <w:pPr>
              <w:pStyle w:val="Compact"/>
              <w:jc w:val="left"/>
            </w:pPr>
            <w:r>
              <w:t xml:space="preserve">建立分级技术支持体系</w:t>
            </w:r>
          </w:p>
        </w:tc>
        <w:tc>
          <w:tcPr/>
          <w:p>
            <w:pPr>
              <w:pStyle w:val="Compact"/>
              <w:jc w:val="left"/>
            </w:pPr>
            <w:r>
              <w:t xml:space="preserve">服务成本占5%</w:t>
            </w:r>
          </w:p>
        </w:tc>
        <w:tc>
          <w:tcPr/>
          <w:p>
            <w:pPr>
              <w:pStyle w:val="Compact"/>
              <w:jc w:val="left"/>
            </w:pPr>
            <w:r>
              <w:t xml:space="preserve">客户满意度调查、问题解决时效</w:t>
            </w:r>
          </w:p>
        </w:tc>
      </w:tr>
    </w:tbl>
    <w:p>
      <w:pPr>
        <w:pStyle w:val="BodyText"/>
      </w:pPr>
      <w:r>
        <w:rPr>
          <w:bCs/>
          <w:b/>
        </w:rPr>
        <w:t xml:space="preserve">视频跟踪仪</w:t>
      </w:r>
      <w:r>
        <w:t xml:space="preserve">：作为问题产品，视频跟踪仪仍采用项目制运作模式，每个项目需要独立设计、开发和实施，资源复用率低，生产效率低下。</w:t>
      </w:r>
    </w:p>
    <w:bookmarkEnd w:id="62"/>
    <w:bookmarkStart w:id="63" w:name="表4-4视频跟踪仪生产链结构"/>
    <w:p>
      <w:pPr>
        <w:pStyle w:val="Heading4"/>
      </w:pPr>
      <w:r>
        <w:t xml:space="preserve">表4-4：视频跟踪仪生产链结构</w:t>
      </w:r>
    </w:p>
    <w:tbl>
      <w:tblPr>
        <w:tblStyle w:val="Table"/>
        <w:tblW w:type="pct" w:w="5000"/>
        <w:tblLook w:firstRow="1" w:lastRow="0" w:firstColumn="0" w:lastColumn="0" w:noHBand="0" w:noVBand="0" w:val="0020"/>
      </w:tblPr>
      <w:tblGrid>
        <w:gridCol w:w="1277"/>
        <w:gridCol w:w="1277"/>
        <w:gridCol w:w="1277"/>
        <w:gridCol w:w="1532"/>
        <w:gridCol w:w="1277"/>
        <w:gridCol w:w="1277"/>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rPr>
                <w:bCs/>
                <w:b/>
              </w:rPr>
              <w:t xml:space="preserve">方案设计</w:t>
            </w:r>
          </w:p>
        </w:tc>
        <w:tc>
          <w:tcPr/>
          <w:p>
            <w:pPr>
              <w:pStyle w:val="Compact"/>
              <w:jc w:val="left"/>
            </w:pPr>
            <w:r>
              <w:t xml:space="preserve">客户需求分析、监测方案设计</w:t>
            </w:r>
          </w:p>
        </w:tc>
        <w:tc>
          <w:tcPr/>
          <w:p>
            <w:pPr>
              <w:pStyle w:val="Compact"/>
              <w:jc w:val="left"/>
            </w:pPr>
            <w:r>
              <w:t xml:space="preserve">方案工程师10-15人</w:t>
            </w:r>
          </w:p>
        </w:tc>
        <w:tc>
          <w:tcPr/>
          <w:p>
            <w:pPr>
              <w:pStyle w:val="Compact"/>
              <w:jc w:val="left"/>
            </w:pPr>
            <w:r>
              <w:t xml:space="preserve">深度定制，每个项目需独立设计</w:t>
            </w:r>
          </w:p>
        </w:tc>
        <w:tc>
          <w:tcPr/>
          <w:p>
            <w:pPr>
              <w:pStyle w:val="Compact"/>
              <w:jc w:val="left"/>
            </w:pPr>
            <w:r>
              <w:t xml:space="preserve">设计成本占15-20%</w:t>
            </w:r>
          </w:p>
        </w:tc>
        <w:tc>
          <w:tcPr/>
          <w:p>
            <w:pPr>
              <w:pStyle w:val="Compact"/>
              <w:jc w:val="left"/>
            </w:pPr>
            <w:r>
              <w:t xml:space="preserve">方案可行性评审、技术风险评估</w:t>
            </w:r>
          </w:p>
        </w:tc>
      </w:tr>
      <w:tr>
        <w:tc>
          <w:tcPr/>
          <w:p>
            <w:pPr>
              <w:pStyle w:val="Compact"/>
              <w:jc w:val="left"/>
            </w:pPr>
            <w:r>
              <w:rPr>
                <w:bCs/>
                <w:b/>
              </w:rPr>
              <w:t xml:space="preserve">设备定制</w:t>
            </w:r>
          </w:p>
        </w:tc>
        <w:tc>
          <w:tcPr/>
          <w:p>
            <w:pPr>
              <w:pStyle w:val="Compact"/>
              <w:jc w:val="left"/>
            </w:pPr>
            <w:r>
              <w:t xml:space="preserve">硬件定制开发、软件平台搭建</w:t>
            </w:r>
          </w:p>
        </w:tc>
        <w:tc>
          <w:tcPr/>
          <w:p>
            <w:pPr>
              <w:pStyle w:val="Compact"/>
              <w:jc w:val="left"/>
            </w:pPr>
            <w:r>
              <w:t xml:space="preserve">研发团队15-20人</w:t>
            </w:r>
          </w:p>
        </w:tc>
        <w:tc>
          <w:tcPr/>
          <w:p>
            <w:pPr>
              <w:pStyle w:val="Compact"/>
              <w:jc w:val="left"/>
            </w:pPr>
            <w:r>
              <w:t xml:space="preserve">项目专用开发，复用率低</w:t>
            </w:r>
          </w:p>
        </w:tc>
        <w:tc>
          <w:tcPr/>
          <w:p>
            <w:pPr>
              <w:pStyle w:val="Compact"/>
              <w:jc w:val="left"/>
            </w:pPr>
            <w:r>
              <w:t xml:space="preserve">开发成本占25-30%</w:t>
            </w:r>
          </w:p>
        </w:tc>
        <w:tc>
          <w:tcPr/>
          <w:p>
            <w:pPr>
              <w:pStyle w:val="Compact"/>
              <w:jc w:val="left"/>
            </w:pPr>
            <w:r>
              <w:t xml:space="preserve">定制功能测试、平台稳定性测试</w:t>
            </w:r>
          </w:p>
        </w:tc>
      </w:tr>
      <w:tr>
        <w:tc>
          <w:tcPr/>
          <w:p>
            <w:pPr>
              <w:pStyle w:val="Compact"/>
              <w:jc w:val="left"/>
            </w:pPr>
            <w:r>
              <w:rPr>
                <w:bCs/>
                <w:b/>
              </w:rPr>
              <w:t xml:space="preserve">工程实施</w:t>
            </w:r>
          </w:p>
        </w:tc>
        <w:tc>
          <w:tcPr/>
          <w:p>
            <w:pPr>
              <w:pStyle w:val="Compact"/>
              <w:jc w:val="left"/>
            </w:pPr>
            <w:r>
              <w:t xml:space="preserve">现场安装、调试、系统集成</w:t>
            </w:r>
          </w:p>
        </w:tc>
        <w:tc>
          <w:tcPr/>
          <w:p>
            <w:pPr>
              <w:pStyle w:val="Compact"/>
              <w:jc w:val="left"/>
            </w:pPr>
            <w:r>
              <w:t xml:space="preserve">实施工程师20-30人</w:t>
            </w:r>
          </w:p>
        </w:tc>
        <w:tc>
          <w:tcPr/>
          <w:p>
            <w:pPr>
              <w:pStyle w:val="Compact"/>
              <w:jc w:val="left"/>
            </w:pPr>
            <w:r>
              <w:t xml:space="preserve">现场工作量巨大，受环境因素影响大</w:t>
            </w:r>
          </w:p>
        </w:tc>
        <w:tc>
          <w:tcPr/>
          <w:p>
            <w:pPr>
              <w:pStyle w:val="Compact"/>
              <w:jc w:val="left"/>
            </w:pPr>
            <w:r>
              <w:t xml:space="preserve">实施成本占30-40%</w:t>
            </w:r>
          </w:p>
        </w:tc>
        <w:tc>
          <w:tcPr/>
          <w:p>
            <w:pPr>
              <w:pStyle w:val="Compact"/>
              <w:jc w:val="left"/>
            </w:pPr>
            <w:r>
              <w:t xml:space="preserve">现场安装质量检查、系统联调测试</w:t>
            </w:r>
          </w:p>
        </w:tc>
      </w:tr>
      <w:tr>
        <w:tc>
          <w:tcPr/>
          <w:p>
            <w:pPr>
              <w:pStyle w:val="Compact"/>
              <w:jc w:val="left"/>
            </w:pPr>
            <w:r>
              <w:rPr>
                <w:bCs/>
                <w:b/>
              </w:rPr>
              <w:t xml:space="preserve">运营维护</w:t>
            </w:r>
          </w:p>
        </w:tc>
        <w:tc>
          <w:tcPr/>
          <w:p>
            <w:pPr>
              <w:pStyle w:val="Compact"/>
              <w:jc w:val="left"/>
            </w:pPr>
            <w:r>
              <w:t xml:space="preserve">长期监测、数据分析、预警服务</w:t>
            </w:r>
          </w:p>
        </w:tc>
        <w:tc>
          <w:tcPr/>
          <w:p>
            <w:pPr>
              <w:pStyle w:val="Compact"/>
              <w:jc w:val="left"/>
            </w:pPr>
            <w:r>
              <w:t xml:space="preserve">运营团队10-15人</w:t>
            </w:r>
          </w:p>
        </w:tc>
        <w:tc>
          <w:tcPr/>
          <w:p>
            <w:pPr>
              <w:pStyle w:val="Compact"/>
              <w:jc w:val="left"/>
            </w:pPr>
            <w:r>
              <w:t xml:space="preserve">建立7×24小时监测中心</w:t>
            </w:r>
          </w:p>
        </w:tc>
        <w:tc>
          <w:tcPr/>
          <w:p>
            <w:pPr>
              <w:pStyle w:val="Compact"/>
              <w:jc w:val="left"/>
            </w:pPr>
            <w:r>
              <w:t xml:space="preserve">运营成本占10-15%</w:t>
            </w:r>
          </w:p>
        </w:tc>
        <w:tc>
          <w:tcPr/>
          <w:p>
            <w:pPr>
              <w:pStyle w:val="Compact"/>
              <w:jc w:val="left"/>
            </w:pPr>
            <w:r>
              <w:t xml:space="preserve">数据质量监控、预警准确性评估</w:t>
            </w:r>
          </w:p>
        </w:tc>
      </w:tr>
      <w:tr>
        <w:tc>
          <w:tcPr/>
          <w:p>
            <w:pPr>
              <w:pStyle w:val="Compact"/>
              <w:jc w:val="left"/>
            </w:pPr>
            <w:r>
              <w:rPr>
                <w:bCs/>
                <w:b/>
              </w:rPr>
              <w:t xml:space="preserve">项目交付</w:t>
            </w:r>
          </w:p>
        </w:tc>
        <w:tc>
          <w:tcPr/>
          <w:p>
            <w:pPr>
              <w:pStyle w:val="Compact"/>
              <w:jc w:val="left"/>
            </w:pPr>
            <w:r>
              <w:t xml:space="preserve">验收测试、文档交付、客户培训</w:t>
            </w:r>
          </w:p>
        </w:tc>
        <w:tc>
          <w:tcPr/>
          <w:p>
            <w:pPr>
              <w:pStyle w:val="Compact"/>
              <w:jc w:val="left"/>
            </w:pPr>
            <w:r>
              <w:t xml:space="preserve">项目管理人员5-8人</w:t>
            </w:r>
          </w:p>
        </w:tc>
        <w:tc>
          <w:tcPr/>
          <w:p>
            <w:pPr>
              <w:pStyle w:val="Compact"/>
              <w:jc w:val="left"/>
            </w:pPr>
            <w:r>
              <w:t xml:space="preserve">项目验收周期长，客户要求复杂</w:t>
            </w:r>
          </w:p>
        </w:tc>
        <w:tc>
          <w:tcPr/>
          <w:p>
            <w:pPr>
              <w:pStyle w:val="Compact"/>
              <w:jc w:val="left"/>
            </w:pPr>
            <w:r>
              <w:t xml:space="preserve">管理成本占5%</w:t>
            </w:r>
          </w:p>
        </w:tc>
        <w:tc>
          <w:tcPr/>
          <w:p>
            <w:pPr>
              <w:pStyle w:val="Compact"/>
              <w:jc w:val="left"/>
            </w:pPr>
            <w:r>
              <w:t xml:space="preserve">验收标准达成率、文档完整性</w:t>
            </w:r>
          </w:p>
        </w:tc>
      </w:tr>
    </w:tbl>
    <w:bookmarkEnd w:id="63"/>
    <w:bookmarkEnd w:id="64"/>
    <w:bookmarkStart w:id="66" w:name="生产资源"/>
    <w:p>
      <w:pPr>
        <w:pStyle w:val="4"/>
      </w:pPr>
      <w:r>
        <w:t xml:space="preserve">4.2.3 生产资源</w:t>
      </w:r>
    </w:p>
    <w:p>
      <w:pPr>
        <w:pStyle w:val="FirstParagraph"/>
      </w:pPr>
      <w:r>
        <w:t xml:space="preserve">HSM的生产资源呈现明显的”二元分化”特征：标准化产品（视频引伸计、视频应变仪）已建立高效的生产体系，形成规模效应；项目化产品（视频跟踪仪）仍处于低效的项目制运作模式。</w:t>
      </w:r>
    </w:p>
    <w:bookmarkStart w:id="65" w:name="表4-5生产模式与市场表现关联矩阵"/>
    <w:p>
      <w:pPr>
        <w:pStyle w:val="Heading4"/>
      </w:pPr>
      <w:r>
        <w:t xml:space="preserve">表4-5：生产模式与市场表现关联矩阵</w:t>
      </w:r>
    </w:p>
    <w:tbl>
      <w:tblPr>
        <w:tblStyle w:val="Table"/>
        <w:tblW w:type="pct" w:w="5000"/>
        <w:tblLook w:firstRow="1" w:lastRow="0" w:firstColumn="0" w:lastColumn="0" w:noHBand="0" w:noVBand="0" w:val="0020"/>
      </w:tblPr>
      <w:tblGrid>
        <w:gridCol w:w="1092"/>
        <w:gridCol w:w="1365"/>
        <w:gridCol w:w="1365"/>
        <w:gridCol w:w="1365"/>
        <w:gridCol w:w="1365"/>
        <w:gridCol w:w="1365"/>
      </w:tblGrid>
      <w:tr>
        <w:trPr>
          <w:tblHeader w:val="true"/>
        </w:trPr>
        <w:tc>
          <w:tcPr/>
          <w:p>
            <w:pPr>
              <w:pStyle w:val="Compact"/>
              <w:jc w:val="left"/>
            </w:pPr>
            <w:r>
              <w:t xml:space="preserve">产品线</w:t>
            </w:r>
          </w:p>
        </w:tc>
        <w:tc>
          <w:tcPr/>
          <w:p>
            <w:pPr>
              <w:pStyle w:val="Compact"/>
              <w:jc w:val="left"/>
            </w:pPr>
            <w:r>
              <w:t xml:space="preserve">生产模式</w:t>
            </w:r>
          </w:p>
        </w:tc>
        <w:tc>
          <w:tcPr/>
          <w:p>
            <w:pPr>
              <w:pStyle w:val="Compact"/>
              <w:jc w:val="left"/>
            </w:pPr>
            <w:r>
              <w:t xml:space="preserve">市场表现</w:t>
            </w:r>
          </w:p>
        </w:tc>
        <w:tc>
          <w:tcPr/>
          <w:p>
            <w:pPr>
              <w:pStyle w:val="Compact"/>
              <w:jc w:val="left"/>
            </w:pPr>
            <w:r>
              <w:t xml:space="preserve">财务表现</w:t>
            </w:r>
          </w:p>
        </w:tc>
        <w:tc>
          <w:tcPr/>
          <w:p>
            <w:pPr>
              <w:pStyle w:val="Compact"/>
              <w:jc w:val="left"/>
            </w:pPr>
            <w:r>
              <w:t xml:space="preserve">资源效率</w:t>
            </w:r>
          </w:p>
        </w:tc>
        <w:tc>
          <w:tcPr/>
          <w:p>
            <w:pPr>
              <w:pStyle w:val="Compact"/>
              <w:jc w:val="left"/>
            </w:pPr>
            <w:r>
              <w:t xml:space="preserve">战略定位</w:t>
            </w:r>
          </w:p>
        </w:tc>
      </w:tr>
      <w:tr>
        <w:tc>
          <w:tcPr/>
          <w:p>
            <w:pPr>
              <w:pStyle w:val="Compact"/>
              <w:jc w:val="left"/>
            </w:pPr>
            <w:r>
              <w:rPr>
                <w:bCs/>
                <w:b/>
              </w:rPr>
              <w:t xml:space="preserve">视频引伸计</w:t>
            </w:r>
          </w:p>
        </w:tc>
        <w:tc>
          <w:tcPr/>
          <w:p>
            <w:pPr>
              <w:pStyle w:val="Compact"/>
              <w:jc w:val="left"/>
            </w:pPr>
            <w:r>
              <w:t xml:space="preserve">批量标准化生产</w:t>
            </w:r>
          </w:p>
        </w:tc>
        <w:tc>
          <w:tcPr/>
          <w:p>
            <w:pPr>
              <w:pStyle w:val="Compact"/>
              <w:jc w:val="left"/>
            </w:pPr>
            <w:r>
              <w:t xml:space="preserve">稳定增长，市场占有率提升</w:t>
            </w:r>
          </w:p>
        </w:tc>
        <w:tc>
          <w:tcPr/>
          <w:p>
            <w:pPr>
              <w:pStyle w:val="Compact"/>
              <w:jc w:val="left"/>
            </w:pPr>
            <w:r>
              <w:t xml:space="preserve">高毛利率（65-70%），现金流良好</w:t>
            </w:r>
          </w:p>
        </w:tc>
        <w:tc>
          <w:tcPr/>
          <w:p>
            <w:pPr>
              <w:pStyle w:val="Compact"/>
              <w:jc w:val="left"/>
            </w:pPr>
            <w:r>
              <w:t xml:space="preserve">资源效率高，规模效应明显</w:t>
            </w:r>
          </w:p>
        </w:tc>
        <w:tc>
          <w:tcPr/>
          <w:p>
            <w:pPr>
              <w:pStyle w:val="Compact"/>
              <w:jc w:val="left"/>
            </w:pPr>
            <w:r>
              <w:t xml:space="preserve">现金牛产品，提供稳定现金流</w:t>
            </w:r>
          </w:p>
        </w:tc>
      </w:tr>
      <w:tr>
        <w:tc>
          <w:tcPr/>
          <w:p>
            <w:pPr>
              <w:pStyle w:val="Compact"/>
              <w:jc w:val="left"/>
            </w:pPr>
            <w:r>
              <w:rPr>
                <w:bCs/>
                <w:b/>
              </w:rPr>
              <w:t xml:space="preserve">视频应变仪</w:t>
            </w:r>
          </w:p>
        </w:tc>
        <w:tc>
          <w:tcPr/>
          <w:p>
            <w:pPr>
              <w:pStyle w:val="Compact"/>
              <w:jc w:val="left"/>
            </w:pPr>
            <w:r>
              <w:t xml:space="preserve">模块化配置生产</w:t>
            </w:r>
          </w:p>
        </w:tc>
        <w:tc>
          <w:tcPr/>
          <w:p>
            <w:pPr>
              <w:pStyle w:val="Compact"/>
              <w:jc w:val="left"/>
            </w:pPr>
            <w:r>
              <w:t xml:space="preserve">快速增长，技术溢价明显</w:t>
            </w:r>
          </w:p>
        </w:tc>
        <w:tc>
          <w:tcPr/>
          <w:p>
            <w:pPr>
              <w:pStyle w:val="Compact"/>
              <w:jc w:val="left"/>
            </w:pPr>
            <w:r>
              <w:t xml:space="preserve">较高毛利率（60-65%），回款及时</w:t>
            </w:r>
          </w:p>
        </w:tc>
        <w:tc>
          <w:tcPr/>
          <w:p>
            <w:pPr>
              <w:pStyle w:val="Compact"/>
              <w:jc w:val="left"/>
            </w:pPr>
            <w:r>
              <w:t xml:space="preserve">资源效率较高，支持快速扩张</w:t>
            </w:r>
          </w:p>
        </w:tc>
        <w:tc>
          <w:tcPr/>
          <w:p>
            <w:pPr>
              <w:pStyle w:val="Compact"/>
              <w:jc w:val="left"/>
            </w:pPr>
            <w:r>
              <w:t xml:space="preserve">明星产品，支撑公司增长</w:t>
            </w:r>
          </w:p>
        </w:tc>
      </w:tr>
      <w:tr>
        <w:tc>
          <w:tcPr/>
          <w:p>
            <w:pPr>
              <w:pStyle w:val="Compact"/>
              <w:jc w:val="left"/>
            </w:pPr>
            <w:r>
              <w:rPr>
                <w:bCs/>
                <w:b/>
              </w:rPr>
              <w:t xml:space="preserve">视频跟踪仪</w:t>
            </w:r>
          </w:p>
        </w:tc>
        <w:tc>
          <w:tcPr/>
          <w:p>
            <w:pPr>
              <w:pStyle w:val="Compact"/>
              <w:jc w:val="left"/>
            </w:pPr>
            <w:r>
              <w:t xml:space="preserve">项目定制化生产</w:t>
            </w:r>
          </w:p>
        </w:tc>
        <w:tc>
          <w:tcPr/>
          <w:p>
            <w:pPr>
              <w:pStyle w:val="Compact"/>
              <w:jc w:val="left"/>
            </w:pPr>
            <w:r>
              <w:t xml:space="preserve">波动增长，项目依赖性强</w:t>
            </w:r>
          </w:p>
        </w:tc>
        <w:tc>
          <w:tcPr/>
          <w:p>
            <w:pPr>
              <w:pStyle w:val="Compact"/>
              <w:jc w:val="left"/>
            </w:pPr>
            <w:r>
              <w:t xml:space="preserve">毛利率较低（45-55%），现金流紧张</w:t>
            </w:r>
          </w:p>
        </w:tc>
        <w:tc>
          <w:tcPr/>
          <w:p>
            <w:pPr>
              <w:pStyle w:val="Compact"/>
              <w:jc w:val="left"/>
            </w:pPr>
            <w:r>
              <w:t xml:space="preserve">资源效率低，难以形成规模效应</w:t>
            </w:r>
          </w:p>
        </w:tc>
        <w:tc>
          <w:tcPr/>
          <w:p>
            <w:pPr>
              <w:pStyle w:val="Compact"/>
              <w:jc w:val="left"/>
            </w:pPr>
            <w:r>
              <w:t xml:space="preserve">问题产品，需要战略转型</w:t>
            </w:r>
          </w:p>
        </w:tc>
      </w:tr>
    </w:tbl>
    <w:p>
      <w:pPr>
        <w:pStyle w:val="BodyText"/>
      </w:pPr>
      <w:r>
        <w:rPr>
          <w:bCs/>
          <w:b/>
        </w:rPr>
        <w:t xml:space="preserve">生产瓶颈分析</w:t>
      </w:r>
      <w:r>
        <w:t xml:space="preserve">：</w:t>
      </w:r>
      <w:r>
        <w:t xml:space="preserve"> </w:t>
      </w:r>
      <w:r>
        <w:t xml:space="preserve">1.</w:t>
      </w:r>
      <w:r>
        <w:t xml:space="preserve"> </w:t>
      </w:r>
      <w:r>
        <w:rPr>
          <w:bCs/>
          <w:b/>
        </w:rPr>
        <w:t xml:space="preserve">标准化产品</w:t>
      </w:r>
      <w:r>
        <w:t xml:space="preserve">：主要瓶颈在于产能限制和核心芯片供应稳定性，但整体供应链管理较为成熟。</w:t>
      </w:r>
      <w:r>
        <w:t xml:space="preserve"> </w:t>
      </w:r>
      <w:r>
        <w:t xml:space="preserve">2.</w:t>
      </w:r>
      <w:r>
        <w:t xml:space="preserve"> </w:t>
      </w:r>
      <w:r>
        <w:rPr>
          <w:bCs/>
          <w:b/>
        </w:rPr>
        <w:t xml:space="preserve">项目化产品</w:t>
      </w:r>
      <w:r>
        <w:t xml:space="preserve">：面临多重瓶颈：研发瓶颈（定制开发需求过多）、工程实施瓶颈（现场工作量大）、人才瓶颈（复合型项目人才稀缺）、资金瓶颈（项目垫资压力大）。</w:t>
      </w:r>
    </w:p>
    <w:bookmarkEnd w:id="65"/>
    <w:bookmarkEnd w:id="66"/>
    <w:bookmarkStart w:id="67" w:name="客户资源"/>
    <w:p>
      <w:pPr>
        <w:pStyle w:val="4"/>
      </w:pPr>
      <w:r>
        <w:t xml:space="preserve">4.2.4 客户资源</w:t>
      </w:r>
    </w:p>
    <w:p>
      <w:pPr>
        <w:pStyle w:val="FirstParagraph"/>
      </w:pPr>
      <w:r>
        <w:t xml:space="preserve">HSM建立了坚实的客户基础，累计服务超过1000家客户，形成多层次客户结构：</w:t>
      </w:r>
    </w:p>
    <w:p>
      <w:pPr>
        <w:pStyle w:val="BodyText"/>
      </w:pPr>
      <w:r>
        <w:rPr>
          <w:bCs/>
          <w:b/>
        </w:rPr>
        <w:t xml:space="preserve">高端科研客户</w:t>
      </w:r>
      <w:r>
        <w:t xml:space="preserve">：清华大学、北京航空航天大学、中科院等顶尖科研院所，对测量精度要求极高，是技术创新的重要推动力量。</w:t>
      </w:r>
    </w:p>
    <w:p>
      <w:pPr>
        <w:pStyle w:val="BodyText"/>
      </w:pPr>
      <w:r>
        <w:rPr>
          <w:bCs/>
          <w:b/>
        </w:rPr>
        <w:t xml:space="preserve">工业标杆客户</w:t>
      </w:r>
      <w:r>
        <w:t xml:space="preserve">：一汽集团、比亚迪、宁德时代、华为等制造业龙头企业，关注产品的稳定性、可靠性和生产效率提升，是规模化市场的重要支撑。</w:t>
      </w:r>
    </w:p>
    <w:p>
      <w:pPr>
        <w:pStyle w:val="BodyText"/>
      </w:pPr>
      <w:r>
        <w:rPr>
          <w:bCs/>
          <w:b/>
        </w:rPr>
        <w:t xml:space="preserve">政府项目客户</w:t>
      </w:r>
      <w:r>
        <w:t xml:space="preserve">：交通运输部门、市政工程单位、基础设施运营商等，需求以安全监测为主，项目规模大但周期长、回款慢。</w:t>
      </w:r>
    </w:p>
    <w:p>
      <w:pPr>
        <w:pStyle w:val="BodyText"/>
      </w:pPr>
      <w:r>
        <w:rPr>
          <w:bCs/>
          <w:b/>
        </w:rPr>
        <w:t xml:space="preserve">客户分布特征</w:t>
      </w:r>
      <w:r>
        <w:t xml:space="preserve">：标准化产品（视频引伸计、视频应变仪）客户以高校科研院所和制造企业为主，决策链相对清晰，回款及时；项目化产品（视频跟踪仪）客户以政府部门和大型国企为主，决策链复杂，回款周期长。</w:t>
      </w:r>
    </w:p>
    <w:bookmarkEnd w:id="67"/>
    <w:bookmarkStart w:id="68" w:name="人力资源"/>
    <w:p>
      <w:pPr>
        <w:pStyle w:val="4"/>
      </w:pPr>
      <w:r>
        <w:t xml:space="preserve">4.2.5 人力资源</w:t>
      </w:r>
    </w:p>
    <w:p>
      <w:pPr>
        <w:pStyle w:val="FirstParagraph"/>
      </w:pPr>
      <w:r>
        <w:t xml:space="preserve">截至2024年底，HSM员工总数120人，人才结构呈现以下特点：</w:t>
      </w:r>
    </w:p>
    <w:p>
      <w:pPr>
        <w:pStyle w:val="BodyText"/>
      </w:pPr>
      <w:r>
        <w:rPr>
          <w:bCs/>
          <w:b/>
        </w:rPr>
        <w:t xml:space="preserve">研发团队</w:t>
      </w:r>
      <w:r>
        <w:t xml:space="preserve">：占比40%，核心成员来自清华大学、北京航空航天大学等知名高校，具备扎实的理论基础和实践经验。团队形成了算法开发、硬件设计、软件工程、系统集成等专业分工。</w:t>
      </w:r>
    </w:p>
    <w:p>
      <w:pPr>
        <w:pStyle w:val="BodyText"/>
      </w:pPr>
      <w:r>
        <w:rPr>
          <w:bCs/>
          <w:b/>
        </w:rPr>
        <w:t xml:space="preserve">管理团队</w:t>
      </w:r>
      <w:r>
        <w:t xml:space="preserve">：创始人技术背景深厚，在DIC算法领域有10年以上研究经验。公司正在引进具有产业经验和资本运作背景的管理人才，完善管理体系。</w:t>
      </w:r>
    </w:p>
    <w:p>
      <w:pPr>
        <w:pStyle w:val="BodyText"/>
      </w:pPr>
      <w:r>
        <w:rPr>
          <w:bCs/>
          <w:b/>
        </w:rPr>
        <w:t xml:space="preserve">销售与服务团队</w:t>
      </w:r>
      <w:r>
        <w:t xml:space="preserve">：在全国主要城市设立办事处，建立了覆盖全国的销售网络。技术服务团队具备较强的现场调试和问题解决能力。</w:t>
      </w:r>
    </w:p>
    <w:p>
      <w:pPr>
        <w:pStyle w:val="BodyText"/>
      </w:pPr>
      <w:r>
        <w:rPr>
          <w:bCs/>
          <w:b/>
        </w:rPr>
        <w:t xml:space="preserve">人才挑战</w:t>
      </w:r>
      <w:r>
        <w:t xml:space="preserve">：视频跟踪仪业务需要大量具备方案设计、工程实施、项目管理能力的复合型人才，这类人才市场稀缺，培养周期长，是制约业务发展的关键瓶颈。</w:t>
      </w:r>
    </w:p>
    <w:bookmarkEnd w:id="68"/>
    <w:bookmarkEnd w:id="69"/>
    <w:bookmarkStart w:id="73" w:name="hsm竞争战略"/>
    <w:p>
      <w:pPr>
        <w:pStyle w:val="3"/>
      </w:pPr>
      <w:r>
        <w:t xml:space="preserve">4.3 HSM竞争战略</w:t>
      </w:r>
    </w:p>
    <w:bookmarkStart w:id="70" w:name="hsm战略目标"/>
    <w:p>
      <w:pPr>
        <w:pStyle w:val="4"/>
      </w:pPr>
      <w:r>
        <w:t xml:space="preserve">4.3.1 HSM战略目标</w:t>
      </w:r>
    </w:p>
    <w:p>
      <w:pPr>
        <w:pStyle w:val="FirstParagraph"/>
      </w:pPr>
      <w:r>
        <w:t xml:space="preserve">基于内部资源能力分析和市场环境判断，HSM制定了分阶段的战略目标：</w:t>
      </w:r>
    </w:p>
    <w:p>
      <w:pPr>
        <w:pStyle w:val="BodyText"/>
      </w:pPr>
      <w:r>
        <w:rPr>
          <w:bCs/>
          <w:b/>
        </w:rPr>
        <w:t xml:space="preserve">短期目标（2026-2028年）</w:t>
      </w:r>
      <w:r>
        <w:t xml:space="preserve">：</w:t>
      </w:r>
      <w:r>
        <w:t xml:space="preserve"> </w:t>
      </w:r>
      <w:r>
        <w:t xml:space="preserve">1. 巩固标准化产品优势：视频引伸计和视频应变仪市场占有率提升至国内前三。</w:t>
      </w:r>
      <w:r>
        <w:t xml:space="preserve"> </w:t>
      </w:r>
      <w:r>
        <w:t xml:space="preserve">2. 优化项目制业务：将视频跟踪仪项目平均交付周期缩短30%，回款周期缩短至180天以内。</w:t>
      </w:r>
      <w:r>
        <w:t xml:space="preserve"> </w:t>
      </w:r>
      <w:r>
        <w:t xml:space="preserve">3. 技术持续创新：第三代DIC技术性能指标达到国际先进水平，新增专利50项以上。</w:t>
      </w:r>
      <w:r>
        <w:t xml:space="preserve"> </w:t>
      </w:r>
      <w:r>
        <w:t xml:space="preserve">4. 财务健康改善：标准化产品营收占比提升至70%以上，整体毛利率提升至60%以上。</w:t>
      </w:r>
    </w:p>
    <w:p>
      <w:pPr>
        <w:pStyle w:val="BodyText"/>
      </w:pPr>
      <w:r>
        <w:rPr>
          <w:bCs/>
          <w:b/>
        </w:rPr>
        <w:t xml:space="preserve">中期目标（2029-2032年）</w:t>
      </w:r>
      <w:r>
        <w:t xml:space="preserve">：</w:t>
      </w:r>
      <w:r>
        <w:t xml:space="preserve"> </w:t>
      </w:r>
      <w:r>
        <w:t xml:space="preserve">1. 完成视频跟踪仪产品化转型：开发标准化视频跟踪仪产品系列，项目制业务占比降至30%以下。</w:t>
      </w:r>
      <w:r>
        <w:t xml:space="preserve"> </w:t>
      </w:r>
      <w:r>
        <w:t xml:space="preserve">2. 拓展国际市场：海外市场营收占比达到20%，进入欧美主流市场。</w:t>
      </w:r>
      <w:r>
        <w:t xml:space="preserve"> </w:t>
      </w:r>
      <w:r>
        <w:t xml:space="preserve">3. 构建技术生态：建立DIC技术开发者平台，吸引第三方应用开发。</w:t>
      </w:r>
      <w:r>
        <w:t xml:space="preserve"> </w:t>
      </w:r>
      <w:r>
        <w:t xml:space="preserve">4. 资本运作规划：完成科创板上市准备，市值目标50亿元以上。</w:t>
      </w:r>
    </w:p>
    <w:p>
      <w:pPr>
        <w:pStyle w:val="BodyText"/>
      </w:pPr>
      <w:r>
        <w:rPr>
          <w:bCs/>
          <w:b/>
        </w:rPr>
        <w:t xml:space="preserve">长期目标（2033-2035年）</w:t>
      </w:r>
      <w:r>
        <w:t xml:space="preserve">：</w:t>
      </w:r>
      <w:r>
        <w:t xml:space="preserve"> </w:t>
      </w:r>
      <w:r>
        <w:t xml:space="preserve">1. 成为全球视觉力学传感器领导者：在全球DIC视觉传感器市场进入前三。</w:t>
      </w:r>
      <w:r>
        <w:t xml:space="preserve"> </w:t>
      </w:r>
      <w:r>
        <w:t xml:space="preserve">2. 构建智能感知平台：融合AI、IoT、云计算等技术，打造工业智能感知生态系统。</w:t>
      </w:r>
      <w:r>
        <w:t xml:space="preserve"> </w:t>
      </w:r>
      <w:r>
        <w:t xml:space="preserve">3. 产业生态布局：通过投资并购完善产业链，形成从传感器到解决方案的完整产业生态。</w:t>
      </w:r>
      <w:r>
        <w:t xml:space="preserve"> </w:t>
      </w:r>
      <w:r>
        <w:t xml:space="preserve">4. 可持续发展：实现碳中和运营，研发绿色低碳的智能感知技术。</w:t>
      </w:r>
    </w:p>
    <w:bookmarkEnd w:id="70"/>
    <w:bookmarkStart w:id="72" w:name="基本价值链的竞争选择和实施路径"/>
    <w:p>
      <w:pPr>
        <w:pStyle w:val="4"/>
      </w:pPr>
      <w:r>
        <w:t xml:space="preserve">4.3.2 基本价值链的竞争选择和实施路径</w:t>
      </w:r>
    </w:p>
    <w:p>
      <w:pPr>
        <w:pStyle w:val="FirstParagraph"/>
      </w:pPr>
      <w:r>
        <w:t xml:space="preserve">HSM的基本价值链竞争选择围绕强化技术差异化、优化生产模式、提升资源效率展开，具体实施路径如下：</w:t>
      </w:r>
    </w:p>
    <w:bookmarkStart w:id="71" w:name="表4-6hsm基本价值链的竞争选择和实施路径"/>
    <w:p>
      <w:pPr>
        <w:pStyle w:val="Heading4"/>
      </w:pPr>
      <w:r>
        <w:t xml:space="preserve">表4-6：HSM基本价值链的竞争选择和实施路径</w:t>
      </w:r>
    </w:p>
    <w:tbl>
      <w:tblPr>
        <w:tblStyle w:val="Table"/>
        <w:tblW w:type="pct" w:w="5000"/>
        <w:tblLook w:firstRow="1" w:lastRow="0" w:firstColumn="0" w:lastColumn="0" w:noHBand="0" w:noVBand="0" w:val="0020"/>
      </w:tblPr>
      <w:tblGrid>
        <w:gridCol w:w="1900"/>
        <w:gridCol w:w="2217"/>
        <w:gridCol w:w="2217"/>
        <w:gridCol w:w="1584"/>
      </w:tblGrid>
      <w:tr>
        <w:trPr>
          <w:tblHeader w:val="true"/>
        </w:trPr>
        <w:tc>
          <w:tcPr/>
          <w:p>
            <w:pPr>
              <w:pStyle w:val="Compact"/>
              <w:jc w:val="left"/>
            </w:pPr>
            <w:r>
              <w:t xml:space="preserve">价值链环节</w:t>
            </w:r>
          </w:p>
        </w:tc>
        <w:tc>
          <w:tcPr/>
          <w:p>
            <w:pPr>
              <w:pStyle w:val="Compact"/>
              <w:jc w:val="left"/>
            </w:pPr>
            <w:r>
              <w:t xml:space="preserve">核心竞争选择</w:t>
            </w:r>
          </w:p>
        </w:tc>
        <w:tc>
          <w:tcPr/>
          <w:p>
            <w:pPr>
              <w:pStyle w:val="Compact"/>
              <w:jc w:val="left"/>
            </w:pPr>
            <w:r>
              <w:t xml:space="preserve">具体实施路径</w:t>
            </w:r>
          </w:p>
        </w:tc>
        <w:tc>
          <w:tcPr/>
          <w:p>
            <w:pPr>
              <w:pStyle w:val="Compact"/>
              <w:jc w:val="left"/>
            </w:pPr>
            <w:r>
              <w:t xml:space="preserve">预期成效</w:t>
            </w:r>
          </w:p>
        </w:tc>
      </w:tr>
      <w:tr>
        <w:tc>
          <w:tcPr/>
          <w:p>
            <w:pPr>
              <w:pStyle w:val="Compact"/>
              <w:jc w:val="left"/>
            </w:pPr>
            <w:r>
              <w:rPr>
                <w:bCs/>
                <w:b/>
              </w:rPr>
              <w:t xml:space="preserve">技术开发</w:t>
            </w:r>
          </w:p>
        </w:tc>
        <w:tc>
          <w:tcPr/>
          <w:p>
            <w:pPr>
              <w:pStyle w:val="Compact"/>
              <w:jc w:val="left"/>
            </w:pPr>
            <w:r>
              <w:t xml:space="preserve">强化单目三维DIC技术优势，构建高壁垒技术体系</w:t>
            </w:r>
          </w:p>
        </w:tc>
        <w:tc>
          <w:tcPr/>
          <w:p>
            <w:pPr>
              <w:pStyle w:val="Compact"/>
              <w:jc w:val="left"/>
            </w:pPr>
            <w:r>
              <w:t xml:space="preserve">1. 持续投入第三代DIC算法研发，提升测量精度和速度</w:t>
            </w:r>
            <w:r>
              <w:t xml:space="preserve">2. 融合AI技术，开发智能识别和预测分析功能</w:t>
            </w:r>
            <w:r>
              <w:t xml:space="preserve">3. 布局边缘计算和云平台架构，支持大规模部署</w:t>
            </w:r>
            <w:r>
              <w:t xml:space="preserve">4. 加强专利全球化布局，防范技术模仿风险</w:t>
            </w:r>
          </w:p>
        </w:tc>
        <w:tc>
          <w:tcPr/>
          <w:p>
            <w:pPr>
              <w:pStyle w:val="Compact"/>
              <w:jc w:val="left"/>
            </w:pPr>
            <w:r>
              <w:t xml:space="preserve">技术领先优势保持3-5年，形成难以模仿的技术壁垒</w:t>
            </w:r>
          </w:p>
        </w:tc>
      </w:tr>
      <w:tr>
        <w:tc>
          <w:tcPr/>
          <w:p>
            <w:pPr>
              <w:pStyle w:val="Compact"/>
              <w:jc w:val="left"/>
            </w:pPr>
            <w:r>
              <w:rPr>
                <w:bCs/>
                <w:b/>
              </w:rPr>
              <w:t xml:space="preserve">生产运营</w:t>
            </w:r>
          </w:p>
        </w:tc>
        <w:tc>
          <w:tcPr/>
          <w:p>
            <w:pPr>
              <w:pStyle w:val="Compact"/>
              <w:jc w:val="left"/>
            </w:pPr>
            <w:r>
              <w:t xml:space="preserve">推动生产模式从项目制向产品化转型</w:t>
            </w:r>
          </w:p>
        </w:tc>
        <w:tc>
          <w:tcPr/>
          <w:p>
            <w:pPr>
              <w:pStyle w:val="Compact"/>
              <w:jc w:val="left"/>
            </w:pPr>
            <w:r>
              <w:t xml:space="preserve">1. 视频跟踪仪产品化改造：基于项目经验提炼共性需求，开发标准化产品版本</w:t>
            </w:r>
            <w:r>
              <w:t xml:space="preserve">2. 建立模块化生产体系：将定制功能模块化，提高资源复用率</w:t>
            </w:r>
            <w:r>
              <w:t xml:space="preserve">3. 优化供应链管理：建立适应不同产品线的差异化供应链体系</w:t>
            </w:r>
            <w:r>
              <w:t xml:space="preserve">4. 实施精益生产：降低生产成本，提升产品质量稳定性</w:t>
            </w:r>
          </w:p>
        </w:tc>
        <w:tc>
          <w:tcPr/>
          <w:p>
            <w:pPr>
              <w:pStyle w:val="Compact"/>
              <w:jc w:val="left"/>
            </w:pPr>
            <w:r>
              <w:t xml:space="preserve">视频跟踪仪毛利率提升至60%以上，回款周期缩短至120天以内</w:t>
            </w:r>
          </w:p>
        </w:tc>
      </w:tr>
      <w:tr>
        <w:tc>
          <w:tcPr/>
          <w:p>
            <w:pPr>
              <w:pStyle w:val="Compact"/>
              <w:jc w:val="left"/>
            </w:pPr>
            <w:r>
              <w:rPr>
                <w:bCs/>
                <w:b/>
              </w:rPr>
              <w:t xml:space="preserve">市场营销</w:t>
            </w:r>
          </w:p>
        </w:tc>
        <w:tc>
          <w:tcPr/>
          <w:p>
            <w:pPr>
              <w:pStyle w:val="Compact"/>
              <w:jc w:val="left"/>
            </w:pPr>
            <w:r>
              <w:t xml:space="preserve">聚焦大客户toB市场，建立专业品牌形象</w:t>
            </w:r>
          </w:p>
        </w:tc>
        <w:tc>
          <w:tcPr/>
          <w:p>
            <w:pPr>
              <w:pStyle w:val="Compact"/>
              <w:jc w:val="left"/>
            </w:pPr>
            <w:r>
              <w:t xml:space="preserve">1. 实施客户分层策略：针对科研、工业、政府不同客户提供差异化产品和服务</w:t>
            </w:r>
            <w:r>
              <w:t xml:space="preserve">2. 加强标杆案例建设：在重点行业建立示范应用，形成口碑效应</w:t>
            </w:r>
            <w:r>
              <w:t xml:space="preserve">3. 构建专业服务体系：提供从方案设计到运营维护的全周期服务</w:t>
            </w:r>
            <w:r>
              <w:t xml:space="preserve">4. 拓展海外渠道：通过本地合作伙伴进入国际市场</w:t>
            </w:r>
          </w:p>
        </w:tc>
        <w:tc>
          <w:tcPr/>
          <w:p>
            <w:pPr>
              <w:pStyle w:val="Compact"/>
              <w:jc w:val="left"/>
            </w:pPr>
            <w:r>
              <w:t xml:space="preserve">在DIC视觉传感器领域建立专业领导品牌，客户满意度提升至90%以上</w:t>
            </w:r>
          </w:p>
        </w:tc>
      </w:tr>
      <w:tr>
        <w:tc>
          <w:tcPr/>
          <w:p>
            <w:pPr>
              <w:pStyle w:val="Compact"/>
              <w:jc w:val="left"/>
            </w:pPr>
            <w:r>
              <w:rPr>
                <w:bCs/>
                <w:b/>
              </w:rPr>
              <w:t xml:space="preserve">客户服务</w:t>
            </w:r>
          </w:p>
        </w:tc>
        <w:tc>
          <w:tcPr/>
          <w:p>
            <w:pPr>
              <w:pStyle w:val="Compact"/>
              <w:jc w:val="left"/>
            </w:pPr>
            <w:r>
              <w:t xml:space="preserve">提供全生命周期技术支持，提升客户粘性</w:t>
            </w:r>
          </w:p>
        </w:tc>
        <w:tc>
          <w:tcPr/>
          <w:p>
            <w:pPr>
              <w:pStyle w:val="Compact"/>
              <w:jc w:val="left"/>
            </w:pPr>
            <w:r>
              <w:t xml:space="preserve">1. 建立三级技术支持体系：远程支持、现场服务、专家咨询</w:t>
            </w:r>
            <w:r>
              <w:t xml:space="preserve">2. 开发智能化运维平台：实现设备状态远程监控和预测性维护</w:t>
            </w:r>
            <w:r>
              <w:t xml:space="preserve">3. 提供定制化培训服务：针对不同客户需求提供差异化培训方案</w:t>
            </w:r>
            <w:r>
              <w:t xml:space="preserve">4. 建立客户成功体系：跟踪客户使用效果，确保价值实现</w:t>
            </w:r>
          </w:p>
        </w:tc>
        <w:tc>
          <w:tcPr/>
          <w:p>
            <w:pPr>
              <w:pStyle w:val="Compact"/>
              <w:jc w:val="left"/>
            </w:pPr>
            <w:r>
              <w:t xml:space="preserve">客户续约率提升至85%以上，客户生命周期价值提升30%</w:t>
            </w:r>
          </w:p>
        </w:tc>
      </w:tr>
      <w:tr>
        <w:tc>
          <w:tcPr/>
          <w:p>
            <w:pPr>
              <w:pStyle w:val="Compact"/>
              <w:jc w:val="left"/>
            </w:pPr>
            <w:r>
              <w:rPr>
                <w:bCs/>
                <w:b/>
              </w:rPr>
              <w:t xml:space="preserve">人力资源</w:t>
            </w:r>
          </w:p>
        </w:tc>
        <w:tc>
          <w:tcPr/>
          <w:p>
            <w:pPr>
              <w:pStyle w:val="Compact"/>
              <w:jc w:val="left"/>
            </w:pPr>
            <w:r>
              <w:t xml:space="preserve">培养复合型人才，支撑业务模式转型</w:t>
            </w:r>
          </w:p>
        </w:tc>
        <w:tc>
          <w:tcPr/>
          <w:p>
            <w:pPr>
              <w:pStyle w:val="Compact"/>
              <w:jc w:val="left"/>
            </w:pPr>
            <w:r>
              <w:t xml:space="preserve">1. 实施”技术+管理”双通道发展路径：为技术人员提供管理发展机会</w:t>
            </w:r>
            <w:r>
              <w:t xml:space="preserve">2. 建立项目人才培养体系：通过实战项目培养复合型人才</w:t>
            </w:r>
            <w:r>
              <w:t xml:space="preserve">3. 优化激励机制：将项目成功与个人收益挂钩，激发团队积极性</w:t>
            </w:r>
            <w:r>
              <w:t xml:space="preserve">4. 加强外部合作：与高校联合培养，引进行业专家</w:t>
            </w:r>
          </w:p>
        </w:tc>
        <w:tc>
          <w:tcPr/>
          <w:p>
            <w:pPr>
              <w:pStyle w:val="Compact"/>
              <w:jc w:val="left"/>
            </w:pPr>
            <w:r>
              <w:t xml:space="preserve">复合型人才占比提升至30%以上，关键人才流失率降低至10%以下</w:t>
            </w:r>
          </w:p>
        </w:tc>
      </w:tr>
      <w:tr>
        <w:tc>
          <w:tcPr/>
          <w:p>
            <w:pPr>
              <w:pStyle w:val="Compact"/>
              <w:jc w:val="left"/>
            </w:pPr>
            <w:r>
              <w:rPr>
                <w:bCs/>
                <w:b/>
              </w:rPr>
              <w:t xml:space="preserve">融资管理</w:t>
            </w:r>
          </w:p>
        </w:tc>
        <w:tc>
          <w:tcPr/>
          <w:p>
            <w:pPr>
              <w:pStyle w:val="Compact"/>
              <w:jc w:val="left"/>
            </w:pPr>
            <w:r>
              <w:t xml:space="preserve">优化资本结构，支撑战略转型投入</w:t>
            </w:r>
          </w:p>
        </w:tc>
        <w:tc>
          <w:tcPr/>
          <w:p>
            <w:pPr>
              <w:pStyle w:val="Compact"/>
              <w:jc w:val="left"/>
            </w:pPr>
            <w:r>
              <w:t xml:space="preserve">1. 分阶段融资规划：匹配业务发展阶段，合理控制融资节奏</w:t>
            </w:r>
            <w:r>
              <w:t xml:space="preserve">2. 资金使用专项管理：确保研发投入和市场拓展的资金需求</w:t>
            </w:r>
            <w:r>
              <w:t xml:space="preserve">3. 财务风险防控：建立现金流预警机制，防范项目垫资风险</w:t>
            </w:r>
            <w:r>
              <w:t xml:space="preserve">4. 上市规划准备：按照科创板要求规范公司治理和财务管理</w:t>
            </w:r>
          </w:p>
        </w:tc>
        <w:tc>
          <w:tcPr/>
          <w:p>
            <w:pPr>
              <w:pStyle w:val="Compact"/>
              <w:jc w:val="left"/>
            </w:pPr>
            <w:r>
              <w:t xml:space="preserve">资金使用效率提升20%，为战略转型提供稳定资金支持</w:t>
            </w:r>
          </w:p>
        </w:tc>
      </w:tr>
    </w:tbl>
    <w:bookmarkEnd w:id="71"/>
    <w:bookmarkEnd w:id="72"/>
    <w:bookmarkEnd w:id="73"/>
    <w:bookmarkStart w:id="77" w:name="hsm面临的机遇和挑战"/>
    <w:p>
      <w:pPr>
        <w:pStyle w:val="3"/>
      </w:pPr>
      <w:r>
        <w:t xml:space="preserve">4.4 HSM面临的机遇和挑战</w:t>
      </w:r>
    </w:p>
    <w:bookmarkStart w:id="74" w:name="机遇"/>
    <w:p>
      <w:pPr>
        <w:pStyle w:val="4"/>
      </w:pPr>
      <w:r>
        <w:t xml:space="preserve">4.4.1 机遇</w:t>
      </w:r>
    </w:p>
    <w:p>
      <w:pPr>
        <w:pStyle w:val="FirstParagraph"/>
      </w:pPr>
      <w:r>
        <w:rPr>
          <w:bCs/>
          <w:b/>
        </w:rPr>
        <w:t xml:space="preserve">政策机遇</w:t>
      </w:r>
      <w:r>
        <w:t xml:space="preserve">：国家”中国制造2025”、</w:t>
      </w:r>
      <w:r>
        <w:t xml:space="preserve">“</w:t>
      </w:r>
      <w:r>
        <w:t xml:space="preserve">十四五</w:t>
      </w:r>
      <w:r>
        <w:t xml:space="preserve">”</w:t>
      </w:r>
      <w:r>
        <w:t xml:space="preserve">规划等战略将智能制造和国产替代作为重点方向，为视觉力学传感器企业提供了广阔的政策支持。特别是在中美科技竞争背景下，国产高端传感器的进口替代需求迫切，为HSM创造了重要的市场窗口期。</w:t>
      </w:r>
    </w:p>
    <w:p>
      <w:pPr>
        <w:pStyle w:val="BodyText"/>
      </w:pPr>
      <w:r>
        <w:rPr>
          <w:bCs/>
          <w:b/>
        </w:rPr>
        <w:t xml:space="preserve">市场机遇</w:t>
      </w:r>
      <w:r>
        <w:t xml:space="preserve">：基础设施安全监测市场快速增长，2024年市场规模达到850亿元，预计2027年将突破1500亿元。视频监测技术在该领域的市场份额从2022年的15%快速增长至2024年的35%，技术替代效应明显。智能制造转型升级带来的工业检测需求持续扩大，为视频应变仪等产品提供了稳定的市场增长。</w:t>
      </w:r>
    </w:p>
    <w:p>
      <w:pPr>
        <w:pStyle w:val="BodyText"/>
      </w:pPr>
      <w:r>
        <w:rPr>
          <w:bCs/>
          <w:b/>
        </w:rPr>
        <w:t xml:space="preserve">技术机遇</w:t>
      </w:r>
      <w:r>
        <w:t xml:space="preserve">：人工智能、物联网、边缘计算等新一代信息技术与DIC技术的融合，为视觉力学传感器向智能化、平台化发展提供了技术路径。单目三维DIC技术的突破性进展，使HSM在技术路线上具备了差异化竞争优势。</w:t>
      </w:r>
    </w:p>
    <w:p>
      <w:pPr>
        <w:pStyle w:val="BodyText"/>
      </w:pPr>
      <w:r>
        <w:rPr>
          <w:bCs/>
          <w:b/>
        </w:rPr>
        <w:t xml:space="preserve">资本机遇</w:t>
      </w:r>
      <w:r>
        <w:t xml:space="preserve">：硬科技投资热度持续，资本市场对具备核心技术的传感器企业给予较高估值。科创板为科技型企业提供了良好的上市通道，为HSM的资本运作创造了有利条件。</w:t>
      </w:r>
    </w:p>
    <w:bookmarkEnd w:id="74"/>
    <w:bookmarkStart w:id="76" w:name="挑战"/>
    <w:p>
      <w:pPr>
        <w:pStyle w:val="4"/>
      </w:pPr>
      <w:r>
        <w:t xml:space="preserve">4.4.2 挑战</w:t>
      </w:r>
    </w:p>
    <w:p>
      <w:pPr>
        <w:pStyle w:val="FirstParagraph"/>
      </w:pPr>
      <w:r>
        <w:rPr>
          <w:bCs/>
          <w:b/>
        </w:rPr>
        <w:t xml:space="preserve">视频跟踪仪项目制困境</w:t>
      </w:r>
      <w:r>
        <w:t xml:space="preserve">：这是HSM面临的最核心挑战，具体表现为：</w:t>
      </w:r>
    </w:p>
    <w:bookmarkStart w:id="75" w:name="表4-7标准化产品与项目化产品关键指标对比"/>
    <w:p>
      <w:pPr>
        <w:pStyle w:val="Heading4"/>
      </w:pPr>
      <w:r>
        <w:t xml:space="preserve">表4-7：标准化产品与项目化产品关键指标对比</w:t>
      </w:r>
    </w:p>
    <w:tbl>
      <w:tblPr>
        <w:tblStyle w:val="Table"/>
        <w:tblW w:type="pct" w:w="5000"/>
        <w:tblLook w:firstRow="1" w:lastRow="0" w:firstColumn="0" w:lastColumn="0" w:noHBand="0" w:noVBand="0" w:val="0020"/>
      </w:tblPr>
      <w:tblGrid>
        <w:gridCol w:w="1015"/>
        <w:gridCol w:w="3249"/>
        <w:gridCol w:w="2640"/>
        <w:gridCol w:w="1015"/>
      </w:tblGrid>
      <w:tr>
        <w:trPr>
          <w:tblHeader w:val="true"/>
        </w:trPr>
        <w:tc>
          <w:tcPr/>
          <w:p>
            <w:pPr>
              <w:pStyle w:val="Compact"/>
              <w:jc w:val="left"/>
            </w:pPr>
            <w:r>
              <w:t xml:space="preserve">指标维度</w:t>
            </w:r>
          </w:p>
        </w:tc>
        <w:tc>
          <w:tcPr/>
          <w:p>
            <w:pPr>
              <w:pStyle w:val="Compact"/>
              <w:jc w:val="left"/>
            </w:pPr>
            <w:r>
              <w:t xml:space="preserve">标准化产品（视频引伸计/应变仪）</w:t>
            </w:r>
          </w:p>
        </w:tc>
        <w:tc>
          <w:tcPr/>
          <w:p>
            <w:pPr>
              <w:pStyle w:val="Compact"/>
              <w:jc w:val="left"/>
            </w:pPr>
            <w:r>
              <w:t xml:space="preserve">项目化产品（视频跟踪仪）</w:t>
            </w:r>
          </w:p>
        </w:tc>
        <w:tc>
          <w:tcPr/>
          <w:p>
            <w:pPr>
              <w:pStyle w:val="Compact"/>
              <w:jc w:val="left"/>
            </w:pPr>
            <w:r>
              <w:t xml:space="preserve">差距分析</w:t>
            </w:r>
          </w:p>
        </w:tc>
      </w:tr>
      <w:tr>
        <w:tc>
          <w:tcPr/>
          <w:p>
            <w:pPr>
              <w:pStyle w:val="Compact"/>
              <w:jc w:val="left"/>
            </w:pPr>
            <w:r>
              <w:rPr>
                <w:bCs/>
                <w:b/>
              </w:rPr>
              <w:t xml:space="preserve">毛利率</w:t>
            </w:r>
          </w:p>
        </w:tc>
        <w:tc>
          <w:tcPr/>
          <w:p>
            <w:pPr>
              <w:pStyle w:val="Compact"/>
              <w:jc w:val="left"/>
            </w:pPr>
            <w:r>
              <w:t xml:space="preserve">65-70%</w:t>
            </w:r>
          </w:p>
        </w:tc>
        <w:tc>
          <w:tcPr/>
          <w:p>
            <w:pPr>
              <w:pStyle w:val="Compact"/>
              <w:jc w:val="left"/>
            </w:pPr>
            <w:r>
              <w:t xml:space="preserve">45-55%</w:t>
            </w:r>
          </w:p>
        </w:tc>
        <w:tc>
          <w:tcPr/>
          <w:p>
            <w:pPr>
              <w:pStyle w:val="Compact"/>
              <w:jc w:val="left"/>
            </w:pPr>
            <w:r>
              <w:t xml:space="preserve">相差20-25个百分点</w:t>
            </w:r>
          </w:p>
        </w:tc>
      </w:tr>
      <w:tr>
        <w:tc>
          <w:tcPr/>
          <w:p>
            <w:pPr>
              <w:pStyle w:val="Compact"/>
              <w:jc w:val="left"/>
            </w:pPr>
            <w:r>
              <w:rPr>
                <w:bCs/>
                <w:b/>
              </w:rPr>
              <w:t xml:space="preserve">回款周期</w:t>
            </w:r>
          </w:p>
        </w:tc>
        <w:tc>
          <w:tcPr/>
          <w:p>
            <w:pPr>
              <w:pStyle w:val="Compact"/>
              <w:jc w:val="left"/>
            </w:pPr>
            <w:r>
              <w:t xml:space="preserve">90天</w:t>
            </w:r>
          </w:p>
        </w:tc>
        <w:tc>
          <w:tcPr/>
          <w:p>
            <w:pPr>
              <w:pStyle w:val="Compact"/>
              <w:jc w:val="left"/>
            </w:pPr>
            <w:r>
              <w:t xml:space="preserve">270天</w:t>
            </w:r>
          </w:p>
        </w:tc>
        <w:tc>
          <w:tcPr/>
          <w:p>
            <w:pPr>
              <w:pStyle w:val="Compact"/>
              <w:jc w:val="left"/>
            </w:pPr>
            <w:r>
              <w:t xml:space="preserve">相差180天</w:t>
            </w:r>
          </w:p>
        </w:tc>
      </w:tr>
      <w:tr>
        <w:tc>
          <w:tcPr/>
          <w:p>
            <w:pPr>
              <w:pStyle w:val="Compact"/>
              <w:jc w:val="left"/>
            </w:pPr>
            <w:r>
              <w:rPr>
                <w:bCs/>
                <w:b/>
              </w:rPr>
              <w:t xml:space="preserve">人均产值</w:t>
            </w:r>
          </w:p>
        </w:tc>
        <w:tc>
          <w:tcPr/>
          <w:p>
            <w:pPr>
              <w:pStyle w:val="Compact"/>
              <w:jc w:val="left"/>
            </w:pPr>
            <w:r>
              <w:t xml:space="preserve">150万元/年</w:t>
            </w:r>
          </w:p>
        </w:tc>
        <w:tc>
          <w:tcPr/>
          <w:p>
            <w:pPr>
              <w:pStyle w:val="Compact"/>
              <w:jc w:val="left"/>
            </w:pPr>
            <w:r>
              <w:t xml:space="preserve">60万元/年</w:t>
            </w:r>
          </w:p>
        </w:tc>
        <w:tc>
          <w:tcPr/>
          <w:p>
            <w:pPr>
              <w:pStyle w:val="Compact"/>
              <w:jc w:val="left"/>
            </w:pPr>
            <w:r>
              <w:t xml:space="preserve">相差90万元/年</w:t>
            </w:r>
          </w:p>
        </w:tc>
      </w:tr>
      <w:tr>
        <w:tc>
          <w:tcPr/>
          <w:p>
            <w:pPr>
              <w:pStyle w:val="Compact"/>
              <w:jc w:val="left"/>
            </w:pPr>
            <w:r>
              <w:rPr>
                <w:bCs/>
                <w:b/>
              </w:rPr>
              <w:t xml:space="preserve">客户满意度</w:t>
            </w:r>
          </w:p>
        </w:tc>
        <w:tc>
          <w:tcPr/>
          <w:p>
            <w:pPr>
              <w:pStyle w:val="Compact"/>
              <w:jc w:val="left"/>
            </w:pPr>
            <w:r>
              <w:t xml:space="preserve">92%</w:t>
            </w:r>
          </w:p>
        </w:tc>
        <w:tc>
          <w:tcPr/>
          <w:p>
            <w:pPr>
              <w:pStyle w:val="Compact"/>
              <w:jc w:val="left"/>
            </w:pPr>
            <w:r>
              <w:t xml:space="preserve">78%</w:t>
            </w:r>
          </w:p>
        </w:tc>
        <w:tc>
          <w:tcPr/>
          <w:p>
            <w:pPr>
              <w:pStyle w:val="Compact"/>
              <w:jc w:val="left"/>
            </w:pPr>
            <w:r>
              <w:t xml:space="preserve">相差14个百分点</w:t>
            </w:r>
          </w:p>
        </w:tc>
      </w:tr>
      <w:tr>
        <w:tc>
          <w:tcPr/>
          <w:p>
            <w:pPr>
              <w:pStyle w:val="Compact"/>
              <w:jc w:val="left"/>
            </w:pPr>
            <w:r>
              <w:rPr>
                <w:bCs/>
                <w:b/>
              </w:rPr>
              <w:t xml:space="preserve">资源复用率</w:t>
            </w:r>
          </w:p>
        </w:tc>
        <w:tc>
          <w:tcPr/>
          <w:p>
            <w:pPr>
              <w:pStyle w:val="Compact"/>
              <w:jc w:val="left"/>
            </w:pPr>
            <w:r>
              <w:t xml:space="preserve">80%以上</w:t>
            </w:r>
          </w:p>
        </w:tc>
        <w:tc>
          <w:tcPr/>
          <w:p>
            <w:pPr>
              <w:pStyle w:val="Compact"/>
              <w:jc w:val="left"/>
            </w:pPr>
            <w:r>
              <w:t xml:space="preserve">30%以下</w:t>
            </w:r>
          </w:p>
        </w:tc>
        <w:tc>
          <w:tcPr/>
          <w:p>
            <w:pPr>
              <w:pStyle w:val="Compact"/>
              <w:jc w:val="left"/>
            </w:pPr>
            <w:r>
              <w:t xml:space="preserve">相差50个百分点</w:t>
            </w:r>
          </w:p>
        </w:tc>
      </w:tr>
      <w:tr>
        <w:tc>
          <w:tcPr/>
          <w:p>
            <w:pPr>
              <w:pStyle w:val="Compact"/>
              <w:jc w:val="left"/>
            </w:pPr>
            <w:r>
              <w:rPr>
                <w:bCs/>
                <w:b/>
              </w:rPr>
              <w:t xml:space="preserve">交付周期</w:t>
            </w:r>
          </w:p>
        </w:tc>
        <w:tc>
          <w:tcPr/>
          <w:p>
            <w:pPr>
              <w:pStyle w:val="Compact"/>
              <w:jc w:val="left"/>
            </w:pPr>
            <w:r>
              <w:t xml:space="preserve">7-14天</w:t>
            </w:r>
          </w:p>
        </w:tc>
        <w:tc>
          <w:tcPr/>
          <w:p>
            <w:pPr>
              <w:pStyle w:val="Compact"/>
              <w:jc w:val="left"/>
            </w:pPr>
            <w:r>
              <w:t xml:space="preserve">3-12个月</w:t>
            </w:r>
          </w:p>
        </w:tc>
        <w:tc>
          <w:tcPr/>
          <w:p>
            <w:pPr>
              <w:pStyle w:val="Compact"/>
              <w:jc w:val="left"/>
            </w:pPr>
            <w:r>
              <w:t xml:space="preserve">相差10倍以上</w:t>
            </w:r>
          </w:p>
        </w:tc>
      </w:tr>
    </w:tbl>
    <w:p>
      <w:pPr>
        <w:pStyle w:val="BodyText"/>
      </w:pPr>
      <w:r>
        <w:rPr>
          <w:bCs/>
          <w:b/>
        </w:rPr>
        <w:t xml:space="preserve">具体挑战分析</w:t>
      </w:r>
      <w:r>
        <w:t xml:space="preserve">：</w:t>
      </w:r>
    </w:p>
    <w:p>
      <w:pPr>
        <w:numPr>
          <w:ilvl w:val="0"/>
          <w:numId w:val="1001"/>
        </w:numPr>
      </w:pPr>
      <w:r>
        <w:rPr>
          <w:bCs/>
          <w:b/>
        </w:rPr>
        <w:t xml:space="preserve">交付周期长</w:t>
      </w:r>
      <w:r>
        <w:t xml:space="preserve">：视频跟踪仪从方案设计到最终验收通常需要6-12个月，占用大量技术和管理资源，影响了其他产品线的研发和市场拓展。</w:t>
      </w:r>
    </w:p>
    <w:p>
      <w:pPr>
        <w:numPr>
          <w:ilvl w:val="0"/>
          <w:numId w:val="1001"/>
        </w:numPr>
      </w:pPr>
      <w:r>
        <w:rPr>
          <w:bCs/>
          <w:b/>
        </w:rPr>
        <w:t xml:space="preserve">回款速度慢</w:t>
      </w:r>
      <w:r>
        <w:t xml:space="preserve">：政府类项目回款周期普遍在9-12个月，2024年公司应收账款周转天数达到270天，远高于行业健康水平90天，造成严重的现金流压力。</w:t>
      </w:r>
    </w:p>
    <w:p>
      <w:pPr>
        <w:numPr>
          <w:ilvl w:val="0"/>
          <w:numId w:val="1001"/>
        </w:numPr>
      </w:pPr>
      <w:r>
        <w:rPr>
          <w:bCs/>
          <w:b/>
        </w:rPr>
        <w:t xml:space="preserve">产品力投入竞争力不足</w:t>
      </w:r>
      <w:r>
        <w:t xml:space="preserve">：</w:t>
      </w:r>
    </w:p>
    <w:p>
      <w:pPr>
        <w:numPr>
          <w:ilvl w:val="1"/>
          <w:numId w:val="1002"/>
        </w:numPr>
        <w:pStyle w:val="Compact"/>
      </w:pPr>
      <w:r>
        <w:rPr>
          <w:bCs/>
          <w:b/>
        </w:rPr>
        <w:t xml:space="preserve">资源分散</w:t>
      </w:r>
      <w:r>
        <w:t xml:space="preserve">：大量研发资源投入项目定制开发，难以集中力量进行标准化产品创新</w:t>
      </w:r>
    </w:p>
    <w:p>
      <w:pPr>
        <w:numPr>
          <w:ilvl w:val="1"/>
          <w:numId w:val="1002"/>
        </w:numPr>
        <w:pStyle w:val="Compact"/>
      </w:pPr>
      <w:r>
        <w:rPr>
          <w:bCs/>
          <w:b/>
        </w:rPr>
        <w:t xml:space="preserve">技术沉淀难</w:t>
      </w:r>
      <w:r>
        <w:t xml:space="preserve">：项目经验难以系统化积累和转化为可复用的产品模块</w:t>
      </w:r>
    </w:p>
    <w:p>
      <w:pPr>
        <w:numPr>
          <w:ilvl w:val="1"/>
          <w:numId w:val="1002"/>
        </w:numPr>
        <w:pStyle w:val="Compact"/>
      </w:pPr>
      <w:r>
        <w:rPr>
          <w:bCs/>
          <w:b/>
        </w:rPr>
        <w:t xml:space="preserve">人才压力</w:t>
      </w:r>
      <w:r>
        <w:t xml:space="preserve">：需要大量具备方案设计、工程实施、项目管理能力的复合型人才，这类人才市场稀缺</w:t>
      </w:r>
    </w:p>
    <w:p>
      <w:pPr>
        <w:numPr>
          <w:ilvl w:val="0"/>
          <w:numId w:val="1001"/>
        </w:numPr>
      </w:pPr>
      <w:r>
        <w:rPr>
          <w:bCs/>
          <w:b/>
        </w:rPr>
        <w:t xml:space="preserve">资源分配矛盾</w:t>
      </w:r>
      <w:r>
        <w:t xml:space="preserve">：项目制业务占用公司40%以上的优质资源（高端研发人才、管理精力、资金），但仅贡献30%的营收和20%的利润，资源使用效率低下。</w:t>
      </w:r>
    </w:p>
    <w:p>
      <w:pPr>
        <w:numPr>
          <w:ilvl w:val="0"/>
          <w:numId w:val="1001"/>
        </w:numPr>
      </w:pPr>
      <w:r>
        <w:rPr>
          <w:bCs/>
          <w:b/>
        </w:rPr>
        <w:t xml:space="preserve">竞争环境变化</w:t>
      </w:r>
      <w:r>
        <w:t xml:space="preserve">：国际巨头加大中国市场投入，国内新进入者增多，价格竞争加剧。在视频跟踪仪市场，HSM需要与国际巨头直接竞争，技术优势难以转化为价格优势。</w:t>
      </w:r>
    </w:p>
    <w:p>
      <w:pPr>
        <w:numPr>
          <w:ilvl w:val="0"/>
          <w:numId w:val="1001"/>
        </w:numPr>
      </w:pPr>
      <w:r>
        <w:rPr>
          <w:bCs/>
          <w:b/>
        </w:rPr>
        <w:t xml:space="preserve">组织能力瓶颈</w:t>
      </w:r>
      <w:r>
        <w:t xml:space="preserve">：创业团队向规模化企业转型过程中，管理体系、流程制度、人才培养等方面面临挑战。特别是项目管理能力、供应链管理能力、资本运作能力需要快速提升。</w:t>
      </w:r>
    </w:p>
    <w:p>
      <w:pPr>
        <w:pStyle w:val="FirstParagraph"/>
      </w:pPr>
      <w:r>
        <w:rPr>
          <w:bCs/>
          <w:b/>
        </w:rPr>
        <w:t xml:space="preserve">转型必要性</w:t>
      </w:r>
      <w:r>
        <w:t xml:space="preserve">：基于以上机遇和挑战分析，HSM必须加速战略转型，核心是将视频跟踪仪从项目制向产品化转型，优化资源配置，提升整体运营效率。这不仅是应对当前挑战的需要，更是把握市场机遇、实现可持续发展的必然选择。</w:t>
      </w:r>
    </w:p>
    <w:p>
      <w:r>
        <w:pict>
          <v:rect style="width:0;height:1.5pt" o:hralign="center" o:hrstd="t" o:hr="t"/>
        </w:pict>
      </w:r>
    </w:p>
    <w:p>
      <w:pPr>
        <w:pStyle w:val="FirstParagraph"/>
      </w:pPr>
      <w:r>
        <w:rPr>
          <w:bCs/>
          <w:b/>
        </w:rPr>
        <w:t xml:space="preserve">本章小结</w:t>
      </w:r>
      <w:r>
        <w:t xml:space="preserve">：本章从HSM基本情况、内部资源和能力、竞争战略、机遇挑战四个维度，深入分析了公司战略转型的动因。分析表明，HSM在技术、产品、客户等方面具备良好的资源基础，但视频跟踪仪的项目制模式已成为制约公司发展的主要瓶颈。通过产品化转型、资源优化、模式创新，HSM有望突破发展瓶颈，把握市场机遇，实现从技术领先到商业成功的跨越。这为下一章研究战略转型的具体实施路径奠定了分析基础。</w:t>
      </w:r>
    </w:p>
    <w:bookmarkEnd w:id="75"/>
    <w:bookmarkEnd w:id="76"/>
    <w:bookmarkEnd w:id="77"/>
    <w:bookmarkEnd w:id="78"/>
    <w:bookmarkStart w:id="113" w:name="第五章-hsm战略转型的实施路径"/>
    <w:p>
      <w:pPr>
        <w:pStyle w:val="2"/>
      </w:pPr>
      <w:r>
        <w:t xml:space="preserve">第五章 HSM战略转型的实施路径</w:t>
      </w:r>
    </w:p>
    <w:p>
      <w:pPr>
        <w:pStyle w:val="FirstParagraph"/>
      </w:pPr>
      <w:r>
        <w:t xml:space="preserve">基于前文对HSM战略转型动因的深入分析，本章将系统阐述HSM战略转型的具体实施路径。针对三条产品线面临的不同挑战，HSM制定了差异化的转型策略：视频引伸计和视频应变仪将通过捆绑销售、供应链优化和标准化生产进一步强化竞争优势；视频跟踪仪将聚焦桥梁、隧道、边坡三大垂直领域，通过优化产业链、发展地区合作伙伴实现快速回款和资金周转率提升；同时加速柔性跟踪仪、并联跟踪仪等新产品的研发，提升行业竞争力。本章将从技术战略、市场战略、组织架构、数字化转型和生态合作五个维度详细阐述实施路径。</w:t>
      </w:r>
    </w:p>
    <w:bookmarkStart w:id="83" w:name="技术战略产品线差异化研发与创新"/>
    <w:p>
      <w:pPr>
        <w:pStyle w:val="3"/>
      </w:pPr>
      <w:r>
        <w:t xml:space="preserve">5.1 技术战略：产品线差异化研发与创新</w:t>
      </w:r>
    </w:p>
    <w:p>
      <w:pPr>
        <w:pStyle w:val="FirstParagraph"/>
      </w:pPr>
      <w:r>
        <w:t xml:space="preserve">HSM的技术战略聚焦于三条产品线的差异化研发需求，通过资源优化配置实现技术创新的最大化价值转化。</w:t>
      </w:r>
    </w:p>
    <w:bookmarkStart w:id="80" w:name="视频引伸计与视频应变仪标准化生产与技术迭代"/>
    <w:p>
      <w:pPr>
        <w:pStyle w:val="4"/>
      </w:pPr>
      <w:r>
        <w:t xml:space="preserve">5.1.1 视频引伸计与视频应变仪：标准化生产与技术迭代</w:t>
      </w:r>
    </w:p>
    <w:p>
      <w:pPr>
        <w:pStyle w:val="FirstParagraph"/>
      </w:pPr>
      <w:r>
        <w:t xml:space="preserve">视频引伸计和视频应变仪作为HSM的成熟产品线，已实现高度标准化生产。技术战略的重点从原始创新转向持续优化：</w:t>
      </w:r>
      <w:r>
        <w:t xml:space="preserve"> </w:t>
      </w:r>
      <w:r>
        <w:t xml:space="preserve">-</w:t>
      </w:r>
      <w:r>
        <w:t xml:space="preserve"> </w:t>
      </w:r>
      <w:r>
        <w:rPr>
          <w:bCs/>
          <w:b/>
        </w:rPr>
        <w:t xml:space="preserve">算法精度提升</w:t>
      </w:r>
      <w:r>
        <w:t xml:space="preserve">：基于海量实验数据持续优化DIC算法，目标将测量精度从当前的0.01%提升至0.005%</w:t>
      </w:r>
      <w:r>
        <w:t xml:space="preserve"> </w:t>
      </w:r>
      <w:r>
        <w:t xml:space="preserve">-</w:t>
      </w:r>
      <w:r>
        <w:t xml:space="preserve"> </w:t>
      </w:r>
      <w:r>
        <w:rPr>
          <w:bCs/>
          <w:b/>
        </w:rPr>
        <w:t xml:space="preserve">硬件标准化设计</w:t>
      </w:r>
      <w:r>
        <w:t xml:space="preserve">：推动第四代硬件平台标准化，将核心组件从120个减少至80个，降低供应链复杂度</w:t>
      </w:r>
      <w:r>
        <w:t xml:space="preserve"> </w:t>
      </w:r>
      <w:r>
        <w:t xml:space="preserve">-</w:t>
      </w:r>
      <w:r>
        <w:t xml:space="preserve"> </w:t>
      </w:r>
      <w:r>
        <w:rPr>
          <w:bCs/>
          <w:b/>
        </w:rPr>
        <w:t xml:space="preserve">智能化升级</w:t>
      </w:r>
      <w:r>
        <w:t xml:space="preserve">：集成AI辅助分析功能，实现异常数据自动识别与预警</w:t>
      </w:r>
    </w:p>
    <w:bookmarkStart w:id="79" w:name="表5-1视频引伸计与视频应变仪技术迭代路线图"/>
    <w:p>
      <w:pPr>
        <w:pStyle w:val="Heading4"/>
      </w:pPr>
      <w:r>
        <w:t xml:space="preserve">表5-1：视频引伸计与视频应变仪技术迭代路线图</w:t>
      </w:r>
    </w:p>
    <w:tbl>
      <w:tblPr>
        <w:tblStyle w:val="Table"/>
        <w:tblW w:type="pct" w:w="5000"/>
        <w:tblLook w:firstRow="1" w:lastRow="0" w:firstColumn="0" w:lastColumn="0" w:noHBand="0" w:noVBand="0" w:val="0020"/>
      </w:tblPr>
      <w:tblGrid>
        <w:gridCol w:w="1466"/>
        <w:gridCol w:w="1466"/>
        <w:gridCol w:w="1760"/>
        <w:gridCol w:w="1760"/>
        <w:gridCol w:w="1466"/>
      </w:tblGrid>
      <w:tr>
        <w:trPr>
          <w:tblHeader w:val="true"/>
        </w:trPr>
        <w:tc>
          <w:tcPr/>
          <w:p>
            <w:pPr>
              <w:pStyle w:val="Compact"/>
              <w:jc w:val="left"/>
            </w:pPr>
            <w:r>
              <w:t xml:space="preserve">技术方向</w:t>
            </w:r>
          </w:p>
        </w:tc>
        <w:tc>
          <w:tcPr/>
          <w:p>
            <w:pPr>
              <w:pStyle w:val="Compact"/>
              <w:jc w:val="left"/>
            </w:pPr>
            <w:r>
              <w:t xml:space="preserve">当前状态</w:t>
            </w:r>
          </w:p>
        </w:tc>
        <w:tc>
          <w:tcPr/>
          <w:p>
            <w:pPr>
              <w:pStyle w:val="Compact"/>
              <w:jc w:val="left"/>
            </w:pPr>
            <w:r>
              <w:t xml:space="preserve">2026年目标</w:t>
            </w:r>
          </w:p>
        </w:tc>
        <w:tc>
          <w:tcPr/>
          <w:p>
            <w:pPr>
              <w:pStyle w:val="Compact"/>
              <w:jc w:val="left"/>
            </w:pPr>
            <w:r>
              <w:t xml:space="preserve">2027年目标</w:t>
            </w:r>
          </w:p>
        </w:tc>
        <w:tc>
          <w:tcPr/>
          <w:p>
            <w:pPr>
              <w:pStyle w:val="Compact"/>
              <w:jc w:val="left"/>
            </w:pPr>
            <w:r>
              <w:t xml:space="preserve">关键举措</w:t>
            </w:r>
          </w:p>
        </w:tc>
      </w:tr>
      <w:tr>
        <w:tc>
          <w:tcPr/>
          <w:p>
            <w:pPr>
              <w:pStyle w:val="Compact"/>
              <w:jc w:val="left"/>
            </w:pPr>
            <w:r>
              <w:rPr>
                <w:bCs/>
                <w:b/>
              </w:rPr>
              <w:t xml:space="preserve">测量精度</w:t>
            </w:r>
          </w:p>
        </w:tc>
        <w:tc>
          <w:tcPr/>
          <w:p>
            <w:pPr>
              <w:pStyle w:val="Compact"/>
              <w:jc w:val="left"/>
            </w:pPr>
            <w:r>
              <w:t xml:space="preserve">0.01%应变</w:t>
            </w:r>
          </w:p>
        </w:tc>
        <w:tc>
          <w:tcPr/>
          <w:p>
            <w:pPr>
              <w:pStyle w:val="Compact"/>
              <w:jc w:val="left"/>
            </w:pPr>
            <w:r>
              <w:t xml:space="preserve">0.008%应变</w:t>
            </w:r>
          </w:p>
        </w:tc>
        <w:tc>
          <w:tcPr/>
          <w:p>
            <w:pPr>
              <w:pStyle w:val="Compact"/>
              <w:jc w:val="left"/>
            </w:pPr>
            <w:r>
              <w:t xml:space="preserve">0.005%应变</w:t>
            </w:r>
          </w:p>
        </w:tc>
        <w:tc>
          <w:tcPr/>
          <w:p>
            <w:pPr>
              <w:pStyle w:val="Compact"/>
              <w:jc w:val="left"/>
            </w:pPr>
            <w:r>
              <w:t xml:space="preserve">算法优化、标定技术改进</w:t>
            </w:r>
          </w:p>
        </w:tc>
      </w:tr>
      <w:tr>
        <w:tc>
          <w:tcPr/>
          <w:p>
            <w:pPr>
              <w:pStyle w:val="Compact"/>
              <w:jc w:val="left"/>
            </w:pPr>
            <w:r>
              <w:rPr>
                <w:bCs/>
                <w:b/>
              </w:rPr>
              <w:t xml:space="preserve">处理速度</w:t>
            </w:r>
          </w:p>
        </w:tc>
        <w:tc>
          <w:tcPr/>
          <w:p>
            <w:pPr>
              <w:pStyle w:val="Compact"/>
              <w:jc w:val="left"/>
            </w:pPr>
            <w:r>
              <w:t xml:space="preserve">30帧/秒</w:t>
            </w:r>
          </w:p>
        </w:tc>
        <w:tc>
          <w:tcPr/>
          <w:p>
            <w:pPr>
              <w:pStyle w:val="Compact"/>
              <w:jc w:val="left"/>
            </w:pPr>
            <w:r>
              <w:t xml:space="preserve">50帧/秒</w:t>
            </w:r>
          </w:p>
        </w:tc>
        <w:tc>
          <w:tcPr/>
          <w:p>
            <w:pPr>
              <w:pStyle w:val="Compact"/>
              <w:jc w:val="left"/>
            </w:pPr>
            <w:r>
              <w:t xml:space="preserve">100帧/秒</w:t>
            </w:r>
          </w:p>
        </w:tc>
        <w:tc>
          <w:tcPr/>
          <w:p>
            <w:pPr>
              <w:pStyle w:val="Compact"/>
              <w:jc w:val="left"/>
            </w:pPr>
            <w:r>
              <w:t xml:space="preserve">GPU加速算法、硬件升级</w:t>
            </w:r>
          </w:p>
        </w:tc>
      </w:tr>
      <w:tr>
        <w:tc>
          <w:tcPr/>
          <w:p>
            <w:pPr>
              <w:pStyle w:val="Compact"/>
              <w:jc w:val="left"/>
            </w:pPr>
            <w:r>
              <w:rPr>
                <w:bCs/>
                <w:b/>
              </w:rPr>
              <w:t xml:space="preserve">环境适应性</w:t>
            </w:r>
          </w:p>
        </w:tc>
        <w:tc>
          <w:tcPr/>
          <w:p>
            <w:pPr>
              <w:pStyle w:val="Compact"/>
              <w:jc w:val="left"/>
            </w:pPr>
            <w:r>
              <w:t xml:space="preserve">-10℃~50℃</w:t>
            </w:r>
          </w:p>
        </w:tc>
        <w:tc>
          <w:tcPr/>
          <w:p>
            <w:pPr>
              <w:pStyle w:val="Compact"/>
              <w:jc w:val="left"/>
            </w:pPr>
            <w:r>
              <w:t xml:space="preserve">-20℃~60℃</w:t>
            </w:r>
          </w:p>
        </w:tc>
        <w:tc>
          <w:tcPr/>
          <w:p>
            <w:pPr>
              <w:pStyle w:val="Compact"/>
              <w:jc w:val="left"/>
            </w:pPr>
            <w:r>
              <w:t xml:space="preserve">-30℃~70℃</w:t>
            </w:r>
          </w:p>
        </w:tc>
        <w:tc>
          <w:tcPr/>
          <w:p>
            <w:pPr>
              <w:pStyle w:val="Compact"/>
              <w:jc w:val="left"/>
            </w:pPr>
            <w:r>
              <w:t xml:space="preserve">工业级元器件、防护设计</w:t>
            </w:r>
          </w:p>
        </w:tc>
      </w:tr>
      <w:tr>
        <w:tc>
          <w:tcPr/>
          <w:p>
            <w:pPr>
              <w:pStyle w:val="Compact"/>
              <w:jc w:val="left"/>
            </w:pPr>
            <w:r>
              <w:rPr>
                <w:bCs/>
                <w:b/>
              </w:rPr>
              <w:t xml:space="preserve">智能化程度</w:t>
            </w:r>
          </w:p>
        </w:tc>
        <w:tc>
          <w:tcPr/>
          <w:p>
            <w:pPr>
              <w:pStyle w:val="Compact"/>
              <w:jc w:val="left"/>
            </w:pPr>
            <w:r>
              <w:t xml:space="preserve">基础分析</w:t>
            </w:r>
          </w:p>
        </w:tc>
        <w:tc>
          <w:tcPr/>
          <w:p>
            <w:pPr>
              <w:pStyle w:val="Compact"/>
              <w:jc w:val="left"/>
            </w:pPr>
            <w:r>
              <w:t xml:space="preserve">AI辅助分析</w:t>
            </w:r>
          </w:p>
        </w:tc>
        <w:tc>
          <w:tcPr/>
          <w:p>
            <w:pPr>
              <w:pStyle w:val="Compact"/>
              <w:jc w:val="left"/>
            </w:pPr>
            <w:r>
              <w:t xml:space="preserve">全自动分析</w:t>
            </w:r>
          </w:p>
        </w:tc>
        <w:tc>
          <w:tcPr/>
          <w:p>
            <w:pPr>
              <w:pStyle w:val="Compact"/>
              <w:jc w:val="left"/>
            </w:pPr>
            <w:r>
              <w:t xml:space="preserve">AI算法集成、大数据训练</w:t>
            </w:r>
          </w:p>
        </w:tc>
      </w:tr>
      <w:tr>
        <w:tc>
          <w:tcPr/>
          <w:p>
            <w:pPr>
              <w:pStyle w:val="Compact"/>
              <w:jc w:val="left"/>
            </w:pPr>
            <w:r>
              <w:rPr>
                <w:bCs/>
                <w:b/>
              </w:rPr>
              <w:t xml:space="preserve">标准化程度</w:t>
            </w:r>
          </w:p>
        </w:tc>
        <w:tc>
          <w:tcPr/>
          <w:p>
            <w:pPr>
              <w:pStyle w:val="Compact"/>
              <w:jc w:val="left"/>
            </w:pPr>
            <w:r>
              <w:t xml:space="preserve">85%</w:t>
            </w:r>
          </w:p>
        </w:tc>
        <w:tc>
          <w:tcPr/>
          <w:p>
            <w:pPr>
              <w:pStyle w:val="Compact"/>
              <w:jc w:val="left"/>
            </w:pPr>
            <w:r>
              <w:t xml:space="preserve">90%</w:t>
            </w:r>
          </w:p>
        </w:tc>
        <w:tc>
          <w:tcPr/>
          <w:p>
            <w:pPr>
              <w:pStyle w:val="Compact"/>
              <w:jc w:val="left"/>
            </w:pPr>
            <w:r>
              <w:t xml:space="preserve">95%</w:t>
            </w:r>
          </w:p>
        </w:tc>
        <w:tc>
          <w:tcPr/>
          <w:p>
            <w:pPr>
              <w:pStyle w:val="Compact"/>
              <w:jc w:val="left"/>
            </w:pPr>
            <w:r>
              <w:t xml:space="preserve">模块化设计、接口统一</w:t>
            </w:r>
          </w:p>
        </w:tc>
      </w:tr>
    </w:tbl>
    <w:bookmarkEnd w:id="79"/>
    <w:bookmarkEnd w:id="80"/>
    <w:bookmarkStart w:id="81" w:name="视频跟踪仪垂直领域技术聚焦与新产品研发"/>
    <w:p>
      <w:pPr>
        <w:pStyle w:val="4"/>
      </w:pPr>
      <w:r>
        <w:t xml:space="preserve">5.1.2 视频跟踪仪：垂直领域技术聚焦与新产品研发</w:t>
      </w:r>
    </w:p>
    <w:p>
      <w:pPr>
        <w:pStyle w:val="FirstParagraph"/>
      </w:pPr>
      <w:r>
        <w:t xml:space="preserve">视频跟踪仪的技术战略从广泛定制转向垂直领域深度聚焦：</w:t>
      </w:r>
      <w:r>
        <w:t xml:space="preserve"> </w:t>
      </w:r>
      <w:r>
        <w:t xml:space="preserve">-</w:t>
      </w:r>
      <w:r>
        <w:t xml:space="preserve"> </w:t>
      </w:r>
      <w:r>
        <w:rPr>
          <w:bCs/>
          <w:b/>
        </w:rPr>
        <w:t xml:space="preserve">桥梁监测专项技术</w:t>
      </w:r>
      <w:r>
        <w:t xml:space="preserve">：开发大跨径桥梁动态变形监测算法，适应风荷载、温度变化等复杂环境</w:t>
      </w:r>
      <w:r>
        <w:t xml:space="preserve"> </w:t>
      </w:r>
      <w:r>
        <w:t xml:space="preserve">-</w:t>
      </w:r>
      <w:r>
        <w:t xml:space="preserve"> </w:t>
      </w:r>
      <w:r>
        <w:rPr>
          <w:bCs/>
          <w:b/>
        </w:rPr>
        <w:t xml:space="preserve">隧道收敛监测技术</w:t>
      </w:r>
      <w:r>
        <w:t xml:space="preserve">：针对隧道施工与运营期收敛变形监测需求，开发多相机同步测量系统</w:t>
      </w:r>
      <w:r>
        <w:t xml:space="preserve"> </w:t>
      </w:r>
      <w:r>
        <w:t xml:space="preserve">-</w:t>
      </w:r>
      <w:r>
        <w:t xml:space="preserve"> </w:t>
      </w:r>
      <w:r>
        <w:rPr>
          <w:bCs/>
          <w:b/>
        </w:rPr>
        <w:t xml:space="preserve">边坡稳定性监测</w:t>
      </w:r>
      <w:r>
        <w:t xml:space="preserve">：结合地质雷达数据，开发边坡表面位移与内部变形关联分析模型</w:t>
      </w:r>
      <w:r>
        <w:t xml:space="preserve"> </w:t>
      </w:r>
      <w:r>
        <w:t xml:space="preserve">-</w:t>
      </w:r>
      <w:r>
        <w:t xml:space="preserve"> </w:t>
      </w:r>
      <w:r>
        <w:rPr>
          <w:bCs/>
          <w:b/>
        </w:rPr>
        <w:t xml:space="preserve">新产品研发</w:t>
      </w:r>
      <w:r>
        <w:t xml:space="preserve">：启动柔性跟踪仪和并联跟踪仪的研发，前者适用于柔性结构监测，后者实现多点同步测量</w:t>
      </w:r>
    </w:p>
    <w:bookmarkEnd w:id="81"/>
    <w:bookmarkStart w:id="82" w:name="柔性跟踪仪与并联跟踪仪下一代产品布局"/>
    <w:p>
      <w:pPr>
        <w:pStyle w:val="4"/>
      </w:pPr>
      <w:r>
        <w:t xml:space="preserve">5.1.3 柔性跟踪仪与并联跟踪仪：下一代产品布局</w:t>
      </w:r>
    </w:p>
    <w:p>
      <w:pPr>
        <w:pStyle w:val="FirstParagraph"/>
      </w:pPr>
      <w:r>
        <w:t xml:space="preserve">为保持技术领先优势，HSM启动下一代产品研发：</w:t>
      </w:r>
      <w:r>
        <w:t xml:space="preserve"> </w:t>
      </w:r>
      <w:r>
        <w:t xml:space="preserve">-</w:t>
      </w:r>
      <w:r>
        <w:t xml:space="preserve"> </w:t>
      </w:r>
      <w:r>
        <w:rPr>
          <w:bCs/>
          <w:b/>
        </w:rPr>
        <w:t xml:space="preserve">柔性跟踪仪</w:t>
      </w:r>
      <w:r>
        <w:t xml:space="preserve">：采用柔性传感器阵列，适用于复合材料、生物组织等柔性结构的全场应变测量</w:t>
      </w:r>
      <w:r>
        <w:t xml:space="preserve"> </w:t>
      </w:r>
      <w:r>
        <w:t xml:space="preserve">-</w:t>
      </w:r>
      <w:r>
        <w:t xml:space="preserve"> </w:t>
      </w:r>
      <w:r>
        <w:rPr>
          <w:bCs/>
          <w:b/>
        </w:rPr>
        <w:t xml:space="preserve">并联跟踪仪</w:t>
      </w:r>
      <w:r>
        <w:t xml:space="preserve">：通过多相机并联架构，实现大型结构的多区域同步监测，测量范围扩大至传统产品的3-5倍</w:t>
      </w:r>
    </w:p>
    <w:bookmarkEnd w:id="82"/>
    <w:bookmarkEnd w:id="83"/>
    <w:bookmarkStart w:id="90" w:name="市场战略销售模式重构与市场聚焦"/>
    <w:p>
      <w:pPr>
        <w:pStyle w:val="3"/>
      </w:pPr>
      <w:r>
        <w:t xml:space="preserve">5.2 市场战略：销售模式重构与市场聚焦</w:t>
      </w:r>
    </w:p>
    <w:p>
      <w:pPr>
        <w:pStyle w:val="FirstParagraph"/>
      </w:pPr>
      <w:r>
        <w:t xml:space="preserve">HSM的市场战略以产品线特性为基础，构建差异化的销售模式和市场拓展路径。</w:t>
      </w:r>
    </w:p>
    <w:bookmarkStart w:id="85" w:name="视频引伸计与视频应变仪捆绑销售模式与渠道合作"/>
    <w:p>
      <w:pPr>
        <w:pStyle w:val="4"/>
      </w:pPr>
      <w:r>
        <w:t xml:space="preserve">5.2.1 视频引伸计与视频应变仪：捆绑销售模式与渠道合作</w:t>
      </w:r>
    </w:p>
    <w:p>
      <w:pPr>
        <w:pStyle w:val="FirstParagraph"/>
      </w:pPr>
      <w:r>
        <w:t xml:space="preserve">针对视频引伸计和视频应变仪的高标准化特性，HSM推行捆绑销售模式：</w:t>
      </w:r>
      <w:r>
        <w:t xml:space="preserve"> </w:t>
      </w:r>
      <w:r>
        <w:t xml:space="preserve">-</w:t>
      </w:r>
      <w:r>
        <w:t xml:space="preserve"> </w:t>
      </w:r>
      <w:r>
        <w:rPr>
          <w:bCs/>
          <w:b/>
        </w:rPr>
        <w:t xml:space="preserve">与试验机厂家战略合作</w:t>
      </w:r>
      <w:r>
        <w:t xml:space="preserve">：将HSM产品作为试验机标准配置，通过厂家渠道触达终端客户</w:t>
      </w:r>
      <w:r>
        <w:t xml:space="preserve"> </w:t>
      </w:r>
      <w:r>
        <w:t xml:space="preserve">-</w:t>
      </w:r>
      <w:r>
        <w:t xml:space="preserve"> </w:t>
      </w:r>
      <w:r>
        <w:rPr>
          <w:bCs/>
          <w:b/>
        </w:rPr>
        <w:t xml:space="preserve">渠道利润共享</w:t>
      </w:r>
      <w:r>
        <w:t xml:space="preserve">：建立阶梯式返点机制，激励合作伙伴推广HSM产品</w:t>
      </w:r>
      <w:r>
        <w:t xml:space="preserve"> </w:t>
      </w:r>
      <w:r>
        <w:t xml:space="preserve">-</w:t>
      </w:r>
      <w:r>
        <w:t xml:space="preserve"> </w:t>
      </w:r>
      <w:r>
        <w:rPr>
          <w:bCs/>
          <w:b/>
        </w:rPr>
        <w:t xml:space="preserve">联合品牌推广</w:t>
      </w:r>
      <w:r>
        <w:t xml:space="preserve">：与合作伙伴联合举办技术研讨会、行业展会，共同提升品牌影响力</w:t>
      </w:r>
    </w:p>
    <w:bookmarkStart w:id="84" w:name="表5-2视频引伸计应变仪捆绑销售合作厂家列表"/>
    <w:p>
      <w:pPr>
        <w:pStyle w:val="Heading4"/>
      </w:pPr>
      <w:r>
        <w:t xml:space="preserve">表5-2：视频引伸计/应变仪捆绑销售合作厂家列表</w:t>
      </w:r>
    </w:p>
    <w:tbl>
      <w:tblPr>
        <w:tblStyle w:val="Table"/>
        <w:tblW w:type="pct" w:w="5000"/>
        <w:tblLook w:firstRow="1" w:lastRow="0" w:firstColumn="0" w:lastColumn="0" w:noHBand="0" w:noVBand="0" w:val="0020"/>
      </w:tblPr>
      <w:tblGrid>
        <w:gridCol w:w="1199"/>
        <w:gridCol w:w="1199"/>
        <w:gridCol w:w="1199"/>
        <w:gridCol w:w="1439"/>
        <w:gridCol w:w="1679"/>
        <w:gridCol w:w="1199"/>
      </w:tblGrid>
      <w:tr>
        <w:trPr>
          <w:tblHeader w:val="true"/>
        </w:trPr>
        <w:tc>
          <w:tcPr/>
          <w:p>
            <w:pPr>
              <w:pStyle w:val="Compact"/>
              <w:jc w:val="left"/>
            </w:pPr>
            <w:r>
              <w:t xml:space="preserve">合作厂家</w:t>
            </w:r>
          </w:p>
        </w:tc>
        <w:tc>
          <w:tcPr/>
          <w:p>
            <w:pPr>
              <w:pStyle w:val="Compact"/>
              <w:jc w:val="left"/>
            </w:pPr>
            <w:r>
              <w:t xml:space="preserve">所在地区</w:t>
            </w:r>
          </w:p>
        </w:tc>
        <w:tc>
          <w:tcPr/>
          <w:p>
            <w:pPr>
              <w:pStyle w:val="Compact"/>
              <w:jc w:val="left"/>
            </w:pPr>
            <w:r>
              <w:t xml:space="preserve">合作模式</w:t>
            </w:r>
          </w:p>
        </w:tc>
        <w:tc>
          <w:tcPr/>
          <w:p>
            <w:pPr>
              <w:pStyle w:val="Compact"/>
              <w:jc w:val="left"/>
            </w:pPr>
            <w:r>
              <w:t xml:space="preserve">年预期销量</w:t>
            </w:r>
          </w:p>
        </w:tc>
        <w:tc>
          <w:tcPr/>
          <w:p>
            <w:pPr>
              <w:pStyle w:val="Compact"/>
              <w:jc w:val="left"/>
            </w:pPr>
            <w:r>
              <w:t xml:space="preserve">合作启动时间</w:t>
            </w:r>
          </w:p>
        </w:tc>
        <w:tc>
          <w:tcPr/>
          <w:p>
            <w:pPr>
              <w:pStyle w:val="Compact"/>
              <w:jc w:val="left"/>
            </w:pPr>
            <w:r>
              <w:t xml:space="preserve">战略意义</w:t>
            </w:r>
          </w:p>
        </w:tc>
      </w:tr>
      <w:tr>
        <w:tc>
          <w:tcPr/>
          <w:p>
            <w:pPr>
              <w:pStyle w:val="Compact"/>
              <w:jc w:val="left"/>
            </w:pPr>
            <w:r>
              <w:rPr>
                <w:bCs/>
                <w:b/>
              </w:rPr>
              <w:t xml:space="preserve">国内试验机龙头企业A</w:t>
            </w:r>
          </w:p>
        </w:tc>
        <w:tc>
          <w:tcPr/>
          <w:p>
            <w:pPr>
              <w:pStyle w:val="Compact"/>
              <w:jc w:val="left"/>
            </w:pPr>
            <w:r>
              <w:t xml:space="preserve">北京</w:t>
            </w:r>
          </w:p>
        </w:tc>
        <w:tc>
          <w:tcPr/>
          <w:p>
            <w:pPr>
              <w:pStyle w:val="Compact"/>
              <w:jc w:val="left"/>
            </w:pPr>
            <w:r>
              <w:t xml:space="preserve">独家捆绑合作</w:t>
            </w:r>
          </w:p>
        </w:tc>
        <w:tc>
          <w:tcPr/>
          <w:p>
            <w:pPr>
              <w:pStyle w:val="Compact"/>
              <w:jc w:val="left"/>
            </w:pPr>
            <w:r>
              <w:t xml:space="preserve">300台</w:t>
            </w:r>
          </w:p>
        </w:tc>
        <w:tc>
          <w:tcPr/>
          <w:p>
            <w:pPr>
              <w:pStyle w:val="Compact"/>
              <w:jc w:val="left"/>
            </w:pPr>
            <w:r>
              <w:t xml:space="preserve">2026Q2</w:t>
            </w:r>
          </w:p>
        </w:tc>
        <w:tc>
          <w:tcPr/>
          <w:p>
            <w:pPr>
              <w:pStyle w:val="Compact"/>
              <w:jc w:val="left"/>
            </w:pPr>
            <w:r>
              <w:t xml:space="preserve">覆盖华北市场，树立标杆案例</w:t>
            </w:r>
          </w:p>
        </w:tc>
      </w:tr>
      <w:tr>
        <w:tc>
          <w:tcPr/>
          <w:p>
            <w:pPr>
              <w:pStyle w:val="Compact"/>
              <w:jc w:val="left"/>
            </w:pPr>
            <w:r>
              <w:rPr>
                <w:bCs/>
                <w:b/>
              </w:rPr>
              <w:t xml:space="preserve">国际试验机品牌B</w:t>
            </w:r>
          </w:p>
        </w:tc>
        <w:tc>
          <w:tcPr/>
          <w:p>
            <w:pPr>
              <w:pStyle w:val="Compact"/>
              <w:jc w:val="left"/>
            </w:pPr>
            <w:r>
              <w:t xml:space="preserve">上海</w:t>
            </w:r>
          </w:p>
        </w:tc>
        <w:tc>
          <w:tcPr/>
          <w:p>
            <w:pPr>
              <w:pStyle w:val="Compact"/>
              <w:jc w:val="left"/>
            </w:pPr>
            <w:r>
              <w:t xml:space="preserve">区域代理合作</w:t>
            </w:r>
          </w:p>
        </w:tc>
        <w:tc>
          <w:tcPr/>
          <w:p>
            <w:pPr>
              <w:pStyle w:val="Compact"/>
              <w:jc w:val="left"/>
            </w:pPr>
            <w:r>
              <w:t xml:space="preserve">200台</w:t>
            </w:r>
          </w:p>
        </w:tc>
        <w:tc>
          <w:tcPr/>
          <w:p>
            <w:pPr>
              <w:pStyle w:val="Compact"/>
              <w:jc w:val="left"/>
            </w:pPr>
            <w:r>
              <w:t xml:space="preserve">2026Q3</w:t>
            </w:r>
          </w:p>
        </w:tc>
        <w:tc>
          <w:tcPr/>
          <w:p>
            <w:pPr>
              <w:pStyle w:val="Compact"/>
              <w:jc w:val="left"/>
            </w:pPr>
            <w:r>
              <w:t xml:space="preserve">提升国际品牌影响力</w:t>
            </w:r>
          </w:p>
        </w:tc>
      </w:tr>
      <w:tr>
        <w:tc>
          <w:tcPr/>
          <w:p>
            <w:pPr>
              <w:pStyle w:val="Compact"/>
              <w:jc w:val="left"/>
            </w:pPr>
            <w:r>
              <w:rPr>
                <w:bCs/>
                <w:b/>
              </w:rPr>
              <w:t xml:space="preserve">专业检测设备公司C</w:t>
            </w:r>
          </w:p>
        </w:tc>
        <w:tc>
          <w:tcPr/>
          <w:p>
            <w:pPr>
              <w:pStyle w:val="Compact"/>
              <w:jc w:val="left"/>
            </w:pPr>
            <w:r>
              <w:t xml:space="preserve">广州</w:t>
            </w:r>
          </w:p>
        </w:tc>
        <w:tc>
          <w:tcPr/>
          <w:p>
            <w:pPr>
              <w:pStyle w:val="Compact"/>
              <w:jc w:val="left"/>
            </w:pPr>
            <w:r>
              <w:t xml:space="preserve">OEM合作</w:t>
            </w:r>
          </w:p>
        </w:tc>
        <w:tc>
          <w:tcPr/>
          <w:p>
            <w:pPr>
              <w:pStyle w:val="Compact"/>
              <w:jc w:val="left"/>
            </w:pPr>
            <w:r>
              <w:t xml:space="preserve">150台</w:t>
            </w:r>
          </w:p>
        </w:tc>
        <w:tc>
          <w:tcPr/>
          <w:p>
            <w:pPr>
              <w:pStyle w:val="Compact"/>
              <w:jc w:val="left"/>
            </w:pPr>
            <w:r>
              <w:t xml:space="preserve">2026Q4</w:t>
            </w:r>
          </w:p>
        </w:tc>
        <w:tc>
          <w:tcPr/>
          <w:p>
            <w:pPr>
              <w:pStyle w:val="Compact"/>
              <w:jc w:val="left"/>
            </w:pPr>
            <w:r>
              <w:t xml:space="preserve">拓展华南市场，快速增量</w:t>
            </w:r>
          </w:p>
        </w:tc>
      </w:tr>
      <w:tr>
        <w:tc>
          <w:tcPr/>
          <w:p>
            <w:pPr>
              <w:pStyle w:val="Compact"/>
              <w:jc w:val="left"/>
            </w:pPr>
            <w:r>
              <w:rPr>
                <w:bCs/>
                <w:b/>
              </w:rPr>
              <w:t xml:space="preserve">科研仪器集团D</w:t>
            </w:r>
          </w:p>
        </w:tc>
        <w:tc>
          <w:tcPr/>
          <w:p>
            <w:pPr>
              <w:pStyle w:val="Compact"/>
              <w:jc w:val="left"/>
            </w:pPr>
            <w:r>
              <w:t xml:space="preserve">武汉</w:t>
            </w:r>
          </w:p>
        </w:tc>
        <w:tc>
          <w:tcPr/>
          <w:p>
            <w:pPr>
              <w:pStyle w:val="Compact"/>
              <w:jc w:val="left"/>
            </w:pPr>
            <w:r>
              <w:t xml:space="preserve">分销合作</w:t>
            </w:r>
          </w:p>
        </w:tc>
        <w:tc>
          <w:tcPr/>
          <w:p>
            <w:pPr>
              <w:pStyle w:val="Compact"/>
              <w:jc w:val="left"/>
            </w:pPr>
            <w:r>
              <w:t xml:space="preserve">100台</w:t>
            </w:r>
          </w:p>
        </w:tc>
        <w:tc>
          <w:tcPr/>
          <w:p>
            <w:pPr>
              <w:pStyle w:val="Compact"/>
              <w:jc w:val="left"/>
            </w:pPr>
            <w:r>
              <w:t xml:space="preserve">2027Q1</w:t>
            </w:r>
          </w:p>
        </w:tc>
        <w:tc>
          <w:tcPr/>
          <w:p>
            <w:pPr>
              <w:pStyle w:val="Compact"/>
              <w:jc w:val="left"/>
            </w:pPr>
            <w:r>
              <w:t xml:space="preserve">覆盖高校科研市场</w:t>
            </w:r>
          </w:p>
        </w:tc>
      </w:tr>
      <w:tr>
        <w:tc>
          <w:tcPr/>
          <w:p>
            <w:pPr>
              <w:pStyle w:val="Compact"/>
              <w:jc w:val="left"/>
            </w:pPr>
            <w:r>
              <w:rPr>
                <w:bCs/>
                <w:b/>
              </w:rPr>
              <w:t xml:space="preserve">工业检测方案商E</w:t>
            </w:r>
          </w:p>
        </w:tc>
        <w:tc>
          <w:tcPr/>
          <w:p>
            <w:pPr>
              <w:pStyle w:val="Compact"/>
              <w:jc w:val="left"/>
            </w:pPr>
            <w:r>
              <w:t xml:space="preserve">成都</w:t>
            </w:r>
          </w:p>
        </w:tc>
        <w:tc>
          <w:tcPr/>
          <w:p>
            <w:pPr>
              <w:pStyle w:val="Compact"/>
              <w:jc w:val="left"/>
            </w:pPr>
            <w:r>
              <w:t xml:space="preserve">项目合作</w:t>
            </w:r>
          </w:p>
        </w:tc>
        <w:tc>
          <w:tcPr/>
          <w:p>
            <w:pPr>
              <w:pStyle w:val="Compact"/>
              <w:jc w:val="left"/>
            </w:pPr>
            <w:r>
              <w:t xml:space="preserve">80台</w:t>
            </w:r>
          </w:p>
        </w:tc>
        <w:tc>
          <w:tcPr/>
          <w:p>
            <w:pPr>
              <w:pStyle w:val="Compact"/>
              <w:jc w:val="left"/>
            </w:pPr>
            <w:r>
              <w:t xml:space="preserve">2027Q2</w:t>
            </w:r>
          </w:p>
        </w:tc>
        <w:tc>
          <w:tcPr/>
          <w:p>
            <w:pPr>
              <w:pStyle w:val="Compact"/>
              <w:jc w:val="left"/>
            </w:pPr>
            <w:r>
              <w:t xml:space="preserve">拓展西南工业市场</w:t>
            </w:r>
          </w:p>
        </w:tc>
      </w:tr>
    </w:tbl>
    <w:bookmarkEnd w:id="84"/>
    <w:bookmarkEnd w:id="85"/>
    <w:bookmarkStart w:id="87" w:name="视频跟踪仪垂直行业聚焦与地区合作伙伴体系"/>
    <w:p>
      <w:pPr>
        <w:pStyle w:val="4"/>
      </w:pPr>
      <w:r>
        <w:t xml:space="preserve">5.2.2 视频跟踪仪：垂直行业聚焦与地区合作伙伴体系</w:t>
      </w:r>
    </w:p>
    <w:p>
      <w:pPr>
        <w:pStyle w:val="FirstParagraph"/>
      </w:pPr>
      <w:r>
        <w:t xml:space="preserve">视频跟踪仪的市场战略从全面铺开转向垂直深耕：</w:t>
      </w:r>
      <w:r>
        <w:t xml:space="preserve"> </w:t>
      </w:r>
      <w:r>
        <w:t xml:space="preserve">-</w:t>
      </w:r>
      <w:r>
        <w:t xml:space="preserve"> </w:t>
      </w:r>
      <w:r>
        <w:rPr>
          <w:bCs/>
          <w:b/>
        </w:rPr>
        <w:t xml:space="preserve">聚焦三大垂直领域</w:t>
      </w:r>
      <w:r>
        <w:t xml:space="preserve">：桥梁、隧道、边坡监测，每个领域建立专业解决方案团队</w:t>
      </w:r>
      <w:r>
        <w:t xml:space="preserve"> </w:t>
      </w:r>
      <w:r>
        <w:t xml:space="preserve">-</w:t>
      </w:r>
      <w:r>
        <w:t xml:space="preserve"> </w:t>
      </w:r>
      <w:r>
        <w:rPr>
          <w:bCs/>
          <w:b/>
        </w:rPr>
        <w:t xml:space="preserve">地区合作伙伴发展</w:t>
      </w:r>
      <w:r>
        <w:t xml:space="preserve">：每个重点区域发展2-3家类似”亿维”的整包项目合作伙伴</w:t>
      </w:r>
      <w:r>
        <w:t xml:space="preserve"> </w:t>
      </w:r>
      <w:r>
        <w:t xml:space="preserve">-</w:t>
      </w:r>
      <w:r>
        <w:t xml:space="preserve"> </w:t>
      </w:r>
      <w:r>
        <w:rPr>
          <w:bCs/>
          <w:b/>
        </w:rPr>
        <w:t xml:space="preserve">快速回款机制</w:t>
      </w:r>
      <w:r>
        <w:t xml:space="preserve">：优化合同条款，将回款周期从270天缩短至120天以内</w:t>
      </w:r>
    </w:p>
    <w:bookmarkStart w:id="86" w:name="表5-3视频跟踪仪垂直领域市场聚焦策略"/>
    <w:p>
      <w:pPr>
        <w:pStyle w:val="Heading4"/>
      </w:pPr>
      <w:r>
        <w:t xml:space="preserve">表5-3：视频跟踪仪垂直领域市场聚焦策略</w:t>
      </w:r>
    </w:p>
    <w:tbl>
      <w:tblPr>
        <w:tblStyle w:val="Table"/>
        <w:tblW w:type="pct" w:w="5000"/>
        <w:tblLook w:firstRow="1" w:lastRow="0" w:firstColumn="0" w:lastColumn="0" w:noHBand="0" w:noVBand="0" w:val="0020"/>
      </w:tblPr>
      <w:tblGrid>
        <w:gridCol w:w="1200"/>
        <w:gridCol w:w="1680"/>
        <w:gridCol w:w="1200"/>
        <w:gridCol w:w="1200"/>
        <w:gridCol w:w="1440"/>
        <w:gridCol w:w="1200"/>
      </w:tblGrid>
      <w:tr>
        <w:trPr>
          <w:tblHeader w:val="true"/>
        </w:trPr>
        <w:tc>
          <w:tcPr/>
          <w:p>
            <w:pPr>
              <w:pStyle w:val="Compact"/>
              <w:jc w:val="left"/>
            </w:pPr>
            <w:r>
              <w:t xml:space="preserve">垂直领域</w:t>
            </w:r>
          </w:p>
        </w:tc>
        <w:tc>
          <w:tcPr/>
          <w:p>
            <w:pPr>
              <w:pStyle w:val="Compact"/>
              <w:jc w:val="left"/>
            </w:pPr>
            <w:r>
              <w:t xml:space="preserve">重点应用场景</w:t>
            </w:r>
          </w:p>
        </w:tc>
        <w:tc>
          <w:tcPr/>
          <w:p>
            <w:pPr>
              <w:pStyle w:val="Compact"/>
              <w:jc w:val="left"/>
            </w:pPr>
            <w:r>
              <w:t xml:space="preserve">目标客户</w:t>
            </w:r>
          </w:p>
        </w:tc>
        <w:tc>
          <w:tcPr/>
          <w:p>
            <w:pPr>
              <w:pStyle w:val="Compact"/>
              <w:jc w:val="left"/>
            </w:pPr>
            <w:r>
              <w:t xml:space="preserve">竞争策略</w:t>
            </w:r>
          </w:p>
        </w:tc>
        <w:tc>
          <w:tcPr/>
          <w:p>
            <w:pPr>
              <w:pStyle w:val="Compact"/>
              <w:jc w:val="left"/>
            </w:pPr>
            <w:r>
              <w:t xml:space="preserve">2026年目标</w:t>
            </w:r>
          </w:p>
        </w:tc>
        <w:tc>
          <w:tcPr/>
          <w:p>
            <w:pPr>
              <w:pStyle w:val="Compact"/>
              <w:jc w:val="left"/>
            </w:pPr>
            <w:r>
              <w:t xml:space="preserve">资源投入</w:t>
            </w:r>
          </w:p>
        </w:tc>
      </w:tr>
      <w:tr>
        <w:tc>
          <w:tcPr/>
          <w:p>
            <w:pPr>
              <w:pStyle w:val="Compact"/>
              <w:jc w:val="left"/>
            </w:pPr>
            <w:r>
              <w:rPr>
                <w:bCs/>
                <w:b/>
              </w:rPr>
              <w:t xml:space="preserve">桥梁监测</w:t>
            </w:r>
          </w:p>
        </w:tc>
        <w:tc>
          <w:tcPr/>
          <w:p>
            <w:pPr>
              <w:pStyle w:val="Compact"/>
              <w:jc w:val="left"/>
            </w:pPr>
            <w:r>
              <w:t xml:space="preserve">大跨径桥梁健康监测</w:t>
            </w:r>
          </w:p>
        </w:tc>
        <w:tc>
          <w:tcPr/>
          <w:p>
            <w:pPr>
              <w:pStyle w:val="Compact"/>
              <w:jc w:val="left"/>
            </w:pPr>
            <w:r>
              <w:t xml:space="preserve">交通厅、桥梁管理公司</w:t>
            </w:r>
          </w:p>
        </w:tc>
        <w:tc>
          <w:tcPr/>
          <w:p>
            <w:pPr>
              <w:pStyle w:val="Compact"/>
              <w:jc w:val="left"/>
            </w:pPr>
            <w:r>
              <w:t xml:space="preserve">技术差异化+本地服务</w:t>
            </w:r>
          </w:p>
        </w:tc>
        <w:tc>
          <w:tcPr/>
          <w:p>
            <w:pPr>
              <w:pStyle w:val="Compact"/>
              <w:jc w:val="left"/>
            </w:pPr>
            <w:r>
              <w:t xml:space="preserve">30个项目</w:t>
            </w:r>
          </w:p>
        </w:tc>
        <w:tc>
          <w:tcPr/>
          <w:p>
            <w:pPr>
              <w:pStyle w:val="Compact"/>
              <w:jc w:val="left"/>
            </w:pPr>
            <w:r>
              <w:t xml:space="preserve">专项研发团队</w:t>
            </w:r>
          </w:p>
        </w:tc>
      </w:tr>
      <w:tr>
        <w:tc>
          <w:tcPr/>
          <w:p>
            <w:pPr>
              <w:pStyle w:val="Compact"/>
              <w:jc w:val="left"/>
            </w:pPr>
            <w:r>
              <w:rPr>
                <w:bCs/>
                <w:b/>
              </w:rPr>
              <w:t xml:space="preserve">隧道监测</w:t>
            </w:r>
          </w:p>
        </w:tc>
        <w:tc>
          <w:tcPr/>
          <w:p>
            <w:pPr>
              <w:pStyle w:val="Compact"/>
              <w:jc w:val="left"/>
            </w:pPr>
            <w:r>
              <w:t xml:space="preserve">施工期收敛监测</w:t>
            </w:r>
          </w:p>
        </w:tc>
        <w:tc>
          <w:tcPr/>
          <w:p>
            <w:pPr>
              <w:pStyle w:val="Compact"/>
              <w:jc w:val="left"/>
            </w:pPr>
            <w:r>
              <w:t xml:space="preserve">中铁、中建等施工单位</w:t>
            </w:r>
          </w:p>
        </w:tc>
        <w:tc>
          <w:tcPr/>
          <w:p>
            <w:pPr>
              <w:pStyle w:val="Compact"/>
              <w:jc w:val="left"/>
            </w:pPr>
            <w:r>
              <w:t xml:space="preserve">快速部署+高精度</w:t>
            </w:r>
          </w:p>
        </w:tc>
        <w:tc>
          <w:tcPr/>
          <w:p>
            <w:pPr>
              <w:pStyle w:val="Compact"/>
              <w:jc w:val="left"/>
            </w:pPr>
            <w:r>
              <w:t xml:space="preserve">25个项目</w:t>
            </w:r>
          </w:p>
        </w:tc>
        <w:tc>
          <w:tcPr/>
          <w:p>
            <w:pPr>
              <w:pStyle w:val="Compact"/>
              <w:jc w:val="left"/>
            </w:pPr>
            <w:r>
              <w:t xml:space="preserve">实施团队建设</w:t>
            </w:r>
          </w:p>
        </w:tc>
      </w:tr>
      <w:tr>
        <w:tc>
          <w:tcPr/>
          <w:p>
            <w:pPr>
              <w:pStyle w:val="Compact"/>
              <w:jc w:val="left"/>
            </w:pPr>
            <w:r>
              <w:rPr>
                <w:bCs/>
                <w:b/>
              </w:rPr>
              <w:t xml:space="preserve">边坡监测</w:t>
            </w:r>
          </w:p>
        </w:tc>
        <w:tc>
          <w:tcPr/>
          <w:p>
            <w:pPr>
              <w:pStyle w:val="Compact"/>
              <w:jc w:val="left"/>
            </w:pPr>
            <w:r>
              <w:t xml:space="preserve">地质灾害预警</w:t>
            </w:r>
          </w:p>
        </w:tc>
        <w:tc>
          <w:tcPr/>
          <w:p>
            <w:pPr>
              <w:pStyle w:val="Compact"/>
              <w:jc w:val="left"/>
            </w:pPr>
            <w:r>
              <w:t xml:space="preserve">自然资源局、矿山企业</w:t>
            </w:r>
          </w:p>
        </w:tc>
        <w:tc>
          <w:tcPr/>
          <w:p>
            <w:pPr>
              <w:pStyle w:val="Compact"/>
              <w:jc w:val="left"/>
            </w:pPr>
            <w:r>
              <w:t xml:space="preserve">自动化+实时预警</w:t>
            </w:r>
          </w:p>
        </w:tc>
        <w:tc>
          <w:tcPr/>
          <w:p>
            <w:pPr>
              <w:pStyle w:val="Compact"/>
              <w:jc w:val="left"/>
            </w:pPr>
            <w:r>
              <w:t xml:space="preserve">20个项目</w:t>
            </w:r>
          </w:p>
        </w:tc>
        <w:tc>
          <w:tcPr/>
          <w:p>
            <w:pPr>
              <w:pStyle w:val="Compact"/>
              <w:jc w:val="left"/>
            </w:pPr>
            <w:r>
              <w:t xml:space="preserve">算法优化投入</w:t>
            </w:r>
          </w:p>
        </w:tc>
      </w:tr>
      <w:tr>
        <w:tc>
          <w:tcPr/>
          <w:p>
            <w:pPr>
              <w:pStyle w:val="Compact"/>
              <w:jc w:val="left"/>
            </w:pPr>
            <w:r>
              <w:rPr>
                <w:bCs/>
                <w:b/>
              </w:rPr>
              <w:t xml:space="preserve">合计</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75个项目</w:t>
            </w:r>
          </w:p>
        </w:tc>
        <w:tc>
          <w:tcPr/>
          <w:p>
            <w:pPr>
              <w:pStyle w:val="Compact"/>
              <w:jc w:val="left"/>
            </w:pPr>
            <w:r>
              <w:rPr>
                <w:bCs/>
                <w:b/>
              </w:rPr>
              <w:t xml:space="preserve">集中优势资源</w:t>
            </w:r>
          </w:p>
        </w:tc>
      </w:tr>
    </w:tbl>
    <w:bookmarkEnd w:id="86"/>
    <w:bookmarkEnd w:id="87"/>
    <w:bookmarkStart w:id="89" w:name="回款机制优化与资金周转率提升"/>
    <w:p>
      <w:pPr>
        <w:pStyle w:val="4"/>
      </w:pPr>
      <w:r>
        <w:t xml:space="preserve">5.2.3 回款机制优化与资金周转率提升</w:t>
      </w:r>
    </w:p>
    <w:p>
      <w:pPr>
        <w:pStyle w:val="FirstParagraph"/>
      </w:pPr>
      <w:r>
        <w:t xml:space="preserve">针对视频跟踪仪项目回款慢的问题，HSM制定系统性优化方案：</w:t>
      </w:r>
      <w:r>
        <w:t xml:space="preserve"> </w:t>
      </w:r>
      <w:r>
        <w:t xml:space="preserve">-</w:t>
      </w:r>
      <w:r>
        <w:t xml:space="preserve"> </w:t>
      </w:r>
      <w:r>
        <w:rPr>
          <w:bCs/>
          <w:b/>
        </w:rPr>
        <w:t xml:space="preserve">合同条款优化</w:t>
      </w:r>
      <w:r>
        <w:t xml:space="preserve">：增加预付款比例（从10%提升至30%），缩短中期付款节点</w:t>
      </w:r>
      <w:r>
        <w:t xml:space="preserve"> </w:t>
      </w:r>
      <w:r>
        <w:t xml:space="preserve">-</w:t>
      </w:r>
      <w:r>
        <w:t xml:space="preserve"> </w:t>
      </w:r>
      <w:r>
        <w:rPr>
          <w:bCs/>
          <w:b/>
        </w:rPr>
        <w:t xml:space="preserve">客户信用管理</w:t>
      </w:r>
      <w:r>
        <w:t xml:space="preserve">：建立客户信用评级体系，对不同信用等级客户采取差异化的付款条件</w:t>
      </w:r>
      <w:r>
        <w:t xml:space="preserve"> </w:t>
      </w:r>
      <w:r>
        <w:t xml:space="preserve">-</w:t>
      </w:r>
      <w:r>
        <w:t xml:space="preserve"> </w:t>
      </w:r>
      <w:r>
        <w:rPr>
          <w:bCs/>
          <w:b/>
        </w:rPr>
        <w:t xml:space="preserve">应收账款证券化</w:t>
      </w:r>
      <w:r>
        <w:t xml:space="preserve">：与金融机构合作，对优质项目的应收账款进行保理融资</w:t>
      </w:r>
    </w:p>
    <w:bookmarkStart w:id="88" w:name="表5-4回款机制优化前后对比"/>
    <w:p>
      <w:pPr>
        <w:pStyle w:val="Heading4"/>
      </w:pPr>
      <w:r>
        <w:t xml:space="preserve">表5-4：回款机制优化前后对比</w:t>
      </w:r>
    </w:p>
    <w:tbl>
      <w:tblPr>
        <w:tblStyle w:val="Table"/>
        <w:tblW w:type="pct" w:w="5000"/>
        <w:tblLook w:firstRow="1" w:lastRow="0" w:firstColumn="0" w:lastColumn="0" w:noHBand="0" w:noVBand="0" w:val="0020"/>
      </w:tblPr>
      <w:tblGrid>
        <w:gridCol w:w="754"/>
        <w:gridCol w:w="2262"/>
        <w:gridCol w:w="2388"/>
        <w:gridCol w:w="1257"/>
        <w:gridCol w:w="1257"/>
      </w:tblGrid>
      <w:tr>
        <w:trPr>
          <w:tblHeader w:val="true"/>
        </w:trPr>
        <w:tc>
          <w:tcPr/>
          <w:p>
            <w:pPr>
              <w:pStyle w:val="Compact"/>
              <w:jc w:val="left"/>
            </w:pPr>
            <w:r>
              <w:t xml:space="preserve">指标</w:t>
            </w:r>
          </w:p>
        </w:tc>
        <w:tc>
          <w:tcPr/>
          <w:p>
            <w:pPr>
              <w:pStyle w:val="Compact"/>
              <w:jc w:val="left"/>
            </w:pPr>
            <w:r>
              <w:t xml:space="preserve">优化前（2024年）</w:t>
            </w:r>
          </w:p>
        </w:tc>
        <w:tc>
          <w:tcPr/>
          <w:p>
            <w:pPr>
              <w:pStyle w:val="Compact"/>
              <w:jc w:val="left"/>
            </w:pPr>
            <w:r>
              <w:t xml:space="preserve">优化目标（2026年）</w:t>
            </w:r>
          </w:p>
        </w:tc>
        <w:tc>
          <w:tcPr/>
          <w:p>
            <w:pPr>
              <w:pStyle w:val="Compact"/>
              <w:jc w:val="left"/>
            </w:pPr>
            <w:r>
              <w:t xml:space="preserve">改善幅度</w:t>
            </w:r>
          </w:p>
        </w:tc>
        <w:tc>
          <w:tcPr/>
          <w:p>
            <w:pPr>
              <w:pStyle w:val="Compact"/>
              <w:jc w:val="left"/>
            </w:pPr>
            <w:r>
              <w:t xml:space="preserve">具体措施</w:t>
            </w:r>
          </w:p>
        </w:tc>
      </w:tr>
      <w:tr>
        <w:tc>
          <w:tcPr/>
          <w:p>
            <w:pPr>
              <w:pStyle w:val="Compact"/>
              <w:jc w:val="left"/>
            </w:pPr>
            <w:r>
              <w:rPr>
                <w:bCs/>
                <w:b/>
              </w:rPr>
              <w:t xml:space="preserve">平均回款周期</w:t>
            </w:r>
          </w:p>
        </w:tc>
        <w:tc>
          <w:tcPr/>
          <w:p>
            <w:pPr>
              <w:pStyle w:val="Compact"/>
              <w:jc w:val="left"/>
            </w:pPr>
            <w:r>
              <w:t xml:space="preserve">270天</w:t>
            </w:r>
          </w:p>
        </w:tc>
        <w:tc>
          <w:tcPr/>
          <w:p>
            <w:pPr>
              <w:pStyle w:val="Compact"/>
              <w:jc w:val="left"/>
            </w:pPr>
            <w:r>
              <w:t xml:space="preserve">120天</w:t>
            </w:r>
          </w:p>
        </w:tc>
        <w:tc>
          <w:tcPr/>
          <w:p>
            <w:pPr>
              <w:pStyle w:val="Compact"/>
              <w:jc w:val="left"/>
            </w:pPr>
            <w:r>
              <w:t xml:space="preserve">缩短55%</w:t>
            </w:r>
          </w:p>
        </w:tc>
        <w:tc>
          <w:tcPr/>
          <w:p>
            <w:pPr>
              <w:pStyle w:val="Compact"/>
              <w:jc w:val="left"/>
            </w:pPr>
            <w:r>
              <w:t xml:space="preserve">预付款提升、节点优化</w:t>
            </w:r>
          </w:p>
        </w:tc>
      </w:tr>
      <w:tr>
        <w:tc>
          <w:tcPr/>
          <w:p>
            <w:pPr>
              <w:pStyle w:val="Compact"/>
              <w:jc w:val="left"/>
            </w:pPr>
            <w:r>
              <w:rPr>
                <w:bCs/>
                <w:b/>
              </w:rPr>
              <w:t xml:space="preserve">应收账款周转率</w:t>
            </w:r>
          </w:p>
        </w:tc>
        <w:tc>
          <w:tcPr/>
          <w:p>
            <w:pPr>
              <w:pStyle w:val="Compact"/>
              <w:jc w:val="left"/>
            </w:pPr>
            <w:r>
              <w:t xml:space="preserve">1.33次/年</w:t>
            </w:r>
          </w:p>
        </w:tc>
        <w:tc>
          <w:tcPr/>
          <w:p>
            <w:pPr>
              <w:pStyle w:val="Compact"/>
              <w:jc w:val="left"/>
            </w:pPr>
            <w:r>
              <w:t xml:space="preserve">3.0次/年</w:t>
            </w:r>
          </w:p>
        </w:tc>
        <w:tc>
          <w:tcPr/>
          <w:p>
            <w:pPr>
              <w:pStyle w:val="Compact"/>
              <w:jc w:val="left"/>
            </w:pPr>
            <w:r>
              <w:t xml:space="preserve">提升125%</w:t>
            </w:r>
          </w:p>
        </w:tc>
        <w:tc>
          <w:tcPr/>
          <w:p>
            <w:pPr>
              <w:pStyle w:val="Compact"/>
              <w:jc w:val="left"/>
            </w:pPr>
            <w:r>
              <w:t xml:space="preserve">信用管理、金融工具</w:t>
            </w:r>
          </w:p>
        </w:tc>
      </w:tr>
      <w:tr>
        <w:tc>
          <w:tcPr/>
          <w:p>
            <w:pPr>
              <w:pStyle w:val="Compact"/>
              <w:jc w:val="left"/>
            </w:pPr>
            <w:r>
              <w:rPr>
                <w:bCs/>
                <w:b/>
              </w:rPr>
              <w:t xml:space="preserve">坏账率</w:t>
            </w:r>
          </w:p>
        </w:tc>
        <w:tc>
          <w:tcPr/>
          <w:p>
            <w:pPr>
              <w:pStyle w:val="Compact"/>
              <w:jc w:val="left"/>
            </w:pPr>
            <w:r>
              <w:t xml:space="preserve">3.5%</w:t>
            </w:r>
          </w:p>
        </w:tc>
        <w:tc>
          <w:tcPr/>
          <w:p>
            <w:pPr>
              <w:pStyle w:val="Compact"/>
              <w:jc w:val="left"/>
            </w:pPr>
            <w:r>
              <w:t xml:space="preserve">1.5%</w:t>
            </w:r>
          </w:p>
        </w:tc>
        <w:tc>
          <w:tcPr/>
          <w:p>
            <w:pPr>
              <w:pStyle w:val="Compact"/>
              <w:jc w:val="left"/>
            </w:pPr>
            <w:r>
              <w:t xml:space="preserve">降低57%</w:t>
            </w:r>
          </w:p>
        </w:tc>
        <w:tc>
          <w:tcPr/>
          <w:p>
            <w:pPr>
              <w:pStyle w:val="Compact"/>
              <w:jc w:val="left"/>
            </w:pPr>
            <w:r>
              <w:t xml:space="preserve">客户筛选、风险控制</w:t>
            </w:r>
          </w:p>
        </w:tc>
      </w:tr>
      <w:tr>
        <w:tc>
          <w:tcPr/>
          <w:p>
            <w:pPr>
              <w:pStyle w:val="Compact"/>
              <w:jc w:val="left"/>
            </w:pPr>
            <w:r>
              <w:rPr>
                <w:bCs/>
                <w:b/>
              </w:rPr>
              <w:t xml:space="preserve">资金占用成本</w:t>
            </w:r>
          </w:p>
        </w:tc>
        <w:tc>
          <w:tcPr/>
          <w:p>
            <w:pPr>
              <w:pStyle w:val="Compact"/>
              <w:jc w:val="left"/>
            </w:pPr>
            <w:r>
              <w:t xml:space="preserve">8.2%</w:t>
            </w:r>
          </w:p>
        </w:tc>
        <w:tc>
          <w:tcPr/>
          <w:p>
            <w:pPr>
              <w:pStyle w:val="Compact"/>
              <w:jc w:val="left"/>
            </w:pPr>
            <w:r>
              <w:t xml:space="preserve">4.5%</w:t>
            </w:r>
          </w:p>
        </w:tc>
        <w:tc>
          <w:tcPr/>
          <w:p>
            <w:pPr>
              <w:pStyle w:val="Compact"/>
              <w:jc w:val="left"/>
            </w:pPr>
            <w:r>
              <w:t xml:space="preserve">降低45%</w:t>
            </w:r>
          </w:p>
        </w:tc>
        <w:tc>
          <w:tcPr/>
          <w:p>
            <w:pPr>
              <w:pStyle w:val="Compact"/>
              <w:jc w:val="left"/>
            </w:pPr>
            <w:r>
              <w:t xml:space="preserve">优化付款节奏</w:t>
            </w:r>
          </w:p>
        </w:tc>
      </w:tr>
      <w:tr>
        <w:tc>
          <w:tcPr/>
          <w:p>
            <w:pPr>
              <w:pStyle w:val="Compact"/>
              <w:jc w:val="left"/>
            </w:pPr>
            <w:r>
              <w:rPr>
                <w:bCs/>
                <w:b/>
              </w:rPr>
              <w:t xml:space="preserve">现金流健康度</w:t>
            </w:r>
          </w:p>
        </w:tc>
        <w:tc>
          <w:tcPr/>
          <w:p>
            <w:pPr>
              <w:pStyle w:val="Compact"/>
              <w:jc w:val="left"/>
            </w:pPr>
            <w:r>
              <w:t xml:space="preserve">紧张</w:t>
            </w:r>
          </w:p>
        </w:tc>
        <w:tc>
          <w:tcPr/>
          <w:p>
            <w:pPr>
              <w:pStyle w:val="Compact"/>
              <w:jc w:val="left"/>
            </w:pPr>
            <w:r>
              <w:t xml:space="preserve">良好</w:t>
            </w:r>
          </w:p>
        </w:tc>
        <w:tc>
          <w:tcPr/>
          <w:p>
            <w:pPr>
              <w:pStyle w:val="Compact"/>
              <w:jc w:val="left"/>
            </w:pPr>
            <w:r>
              <w:t xml:space="preserve">显著改善</w:t>
            </w:r>
          </w:p>
        </w:tc>
        <w:tc>
          <w:tcPr/>
          <w:p>
            <w:pPr>
              <w:pStyle w:val="Compact"/>
              <w:jc w:val="left"/>
            </w:pPr>
            <w:r>
              <w:t xml:space="preserve">综合优化</w:t>
            </w:r>
          </w:p>
        </w:tc>
      </w:tr>
    </w:tbl>
    <w:bookmarkEnd w:id="88"/>
    <w:bookmarkEnd w:id="89"/>
    <w:bookmarkEnd w:id="90"/>
    <w:bookmarkStart w:id="95" w:name="组织架构资源重新配置与团队转型"/>
    <w:p>
      <w:pPr>
        <w:pStyle w:val="3"/>
      </w:pPr>
      <w:r>
        <w:t xml:space="preserve">5.3 组织架构：资源重新配置与团队转型</w:t>
      </w:r>
    </w:p>
    <w:p>
      <w:pPr>
        <w:pStyle w:val="FirstParagraph"/>
      </w:pPr>
      <w:r>
        <w:t xml:space="preserve">为支撑产品线差异化战略，HSM对组织架构进行系统性重组。</w:t>
      </w:r>
    </w:p>
    <w:bookmarkStart w:id="92" w:name="研发资源向标准化产品倾斜"/>
    <w:p>
      <w:pPr>
        <w:pStyle w:val="4"/>
      </w:pPr>
      <w:r>
        <w:t xml:space="preserve">5.3.1 研发资源向标准化产品倾斜</w:t>
      </w:r>
    </w:p>
    <w:p>
      <w:pPr>
        <w:pStyle w:val="FirstParagraph"/>
      </w:pPr>
      <w:r>
        <w:t xml:space="preserve">基于”减少售前，增大研发”的原则，重新配置研发资源：</w:t>
      </w:r>
      <w:r>
        <w:t xml:space="preserve"> </w:t>
      </w:r>
      <w:r>
        <w:t xml:space="preserve">-</w:t>
      </w:r>
      <w:r>
        <w:t xml:space="preserve"> </w:t>
      </w:r>
      <w:r>
        <w:rPr>
          <w:bCs/>
          <w:b/>
        </w:rPr>
        <w:t xml:space="preserve">研发人员重新分配</w:t>
      </w:r>
      <w:r>
        <w:t xml:space="preserve">：将视频跟踪仪定制开发团队50%的人员转向标准化产品研发</w:t>
      </w:r>
      <w:r>
        <w:t xml:space="preserve"> </w:t>
      </w:r>
      <w:r>
        <w:t xml:space="preserve">-</w:t>
      </w:r>
      <w:r>
        <w:t xml:space="preserve"> </w:t>
      </w:r>
      <w:r>
        <w:rPr>
          <w:bCs/>
          <w:b/>
        </w:rPr>
        <w:t xml:space="preserve">建立产品线研发中心</w:t>
      </w:r>
      <w:r>
        <w:t xml:space="preserve">：分别为三条产品线设立独立的研发团队，专注各自领域技术突破</w:t>
      </w:r>
      <w:r>
        <w:t xml:space="preserve"> </w:t>
      </w:r>
      <w:r>
        <w:t xml:space="preserve">-</w:t>
      </w:r>
      <w:r>
        <w:t xml:space="preserve"> </w:t>
      </w:r>
      <w:r>
        <w:rPr>
          <w:bCs/>
          <w:b/>
        </w:rPr>
        <w:t xml:space="preserve">创新激励机制</w:t>
      </w:r>
      <w:r>
        <w:t xml:space="preserve">：设立产品创新奖，鼓励研发人员申报专利、发表论文</w:t>
      </w:r>
    </w:p>
    <w:bookmarkStart w:id="91" w:name="表5-5研发资源重新配置方案"/>
    <w:p>
      <w:pPr>
        <w:pStyle w:val="Heading4"/>
      </w:pPr>
      <w:r>
        <w:t xml:space="preserve">表5-5：研发资源重新配置方案</w:t>
      </w:r>
    </w:p>
    <w:tbl>
      <w:tblPr>
        <w:tblStyle w:val="Table"/>
        <w:tblW w:type="pct" w:w="5000"/>
        <w:tblLook w:firstRow="1" w:lastRow="0" w:firstColumn="0" w:lastColumn="0" w:noHBand="0" w:noVBand="0" w:val="0020"/>
      </w:tblPr>
      <w:tblGrid>
        <w:gridCol w:w="920"/>
        <w:gridCol w:w="2394"/>
        <w:gridCol w:w="1933"/>
        <w:gridCol w:w="1749"/>
        <w:gridCol w:w="920"/>
      </w:tblGrid>
      <w:tr>
        <w:trPr>
          <w:tblHeader w:val="true"/>
        </w:trPr>
        <w:tc>
          <w:tcPr/>
          <w:p>
            <w:pPr>
              <w:pStyle w:val="Compact"/>
              <w:jc w:val="left"/>
            </w:pPr>
            <w:r>
              <w:t xml:space="preserve">资源类型</w:t>
            </w:r>
          </w:p>
        </w:tc>
        <w:tc>
          <w:tcPr/>
          <w:p>
            <w:pPr>
              <w:pStyle w:val="Compact"/>
              <w:jc w:val="left"/>
            </w:pPr>
            <w:r>
              <w:t xml:space="preserve">视频引伸计/应变仪（优化后）</w:t>
            </w:r>
          </w:p>
        </w:tc>
        <w:tc>
          <w:tcPr/>
          <w:p>
            <w:pPr>
              <w:pStyle w:val="Compact"/>
              <w:jc w:val="left"/>
            </w:pPr>
            <w:r>
              <w:t xml:space="preserve">视频跟踪仪（优化后）</w:t>
            </w:r>
          </w:p>
        </w:tc>
        <w:tc>
          <w:tcPr/>
          <w:p>
            <w:pPr>
              <w:pStyle w:val="Compact"/>
              <w:jc w:val="left"/>
            </w:pPr>
            <w:r>
              <w:t xml:space="preserve">新产品研发（新增）</w:t>
            </w:r>
          </w:p>
        </w:tc>
        <w:tc>
          <w:tcPr/>
          <w:p>
            <w:pPr>
              <w:pStyle w:val="Compact"/>
              <w:jc w:val="left"/>
            </w:pPr>
            <w:r>
              <w:t xml:space="preserve">总体变化</w:t>
            </w:r>
          </w:p>
        </w:tc>
      </w:tr>
      <w:tr>
        <w:tc>
          <w:tcPr/>
          <w:p>
            <w:pPr>
              <w:pStyle w:val="Compact"/>
              <w:jc w:val="left"/>
            </w:pPr>
            <w:r>
              <w:rPr>
                <w:bCs/>
                <w:b/>
              </w:rPr>
              <w:t xml:space="preserve">研发人员数量</w:t>
            </w:r>
          </w:p>
        </w:tc>
        <w:tc>
          <w:tcPr/>
          <w:p>
            <w:pPr>
              <w:pStyle w:val="Compact"/>
              <w:jc w:val="left"/>
            </w:pPr>
            <w:r>
              <w:t xml:space="preserve">25人（+8人）</w:t>
            </w:r>
          </w:p>
        </w:tc>
        <w:tc>
          <w:tcPr/>
          <w:p>
            <w:pPr>
              <w:pStyle w:val="Compact"/>
              <w:jc w:val="left"/>
            </w:pPr>
            <w:r>
              <w:t xml:space="preserve">15人（-10人）</w:t>
            </w:r>
          </w:p>
        </w:tc>
        <w:tc>
          <w:tcPr/>
          <w:p>
            <w:pPr>
              <w:pStyle w:val="Compact"/>
              <w:jc w:val="left"/>
            </w:pPr>
            <w:r>
              <w:t xml:space="preserve">10人（新增）</w:t>
            </w:r>
          </w:p>
        </w:tc>
        <w:tc>
          <w:tcPr/>
          <w:p>
            <w:pPr>
              <w:pStyle w:val="Compact"/>
              <w:jc w:val="left"/>
            </w:pPr>
            <w:r>
              <w:t xml:space="preserve">总数50人</w:t>
            </w:r>
          </w:p>
        </w:tc>
      </w:tr>
      <w:tr>
        <w:tc>
          <w:tcPr/>
          <w:p>
            <w:pPr>
              <w:pStyle w:val="Compact"/>
              <w:jc w:val="left"/>
            </w:pPr>
            <w:r>
              <w:rPr>
                <w:bCs/>
                <w:b/>
              </w:rPr>
              <w:t xml:space="preserve">研发预算占比</w:t>
            </w:r>
          </w:p>
        </w:tc>
        <w:tc>
          <w:tcPr/>
          <w:p>
            <w:pPr>
              <w:pStyle w:val="Compact"/>
              <w:jc w:val="left"/>
            </w:pPr>
            <w:r>
              <w:t xml:space="preserve">50%</w:t>
            </w:r>
          </w:p>
        </w:tc>
        <w:tc>
          <w:tcPr/>
          <w:p>
            <w:pPr>
              <w:pStyle w:val="Compact"/>
              <w:jc w:val="left"/>
            </w:pPr>
            <w:r>
              <w:t xml:space="preserve">30%</w:t>
            </w:r>
          </w:p>
        </w:tc>
        <w:tc>
          <w:tcPr/>
          <w:p>
            <w:pPr>
              <w:pStyle w:val="Compact"/>
              <w:jc w:val="left"/>
            </w:pPr>
            <w:r>
              <w:t xml:space="preserve">20%</w:t>
            </w:r>
          </w:p>
        </w:tc>
        <w:tc>
          <w:tcPr/>
          <w:p>
            <w:pPr>
              <w:pStyle w:val="Compact"/>
              <w:jc w:val="left"/>
            </w:pPr>
            <w:r>
              <w:t xml:space="preserve">重新分配</w:t>
            </w:r>
          </w:p>
        </w:tc>
      </w:tr>
      <w:tr>
        <w:tc>
          <w:tcPr/>
          <w:p>
            <w:pPr>
              <w:pStyle w:val="Compact"/>
              <w:jc w:val="left"/>
            </w:pPr>
            <w:r>
              <w:rPr>
                <w:bCs/>
                <w:b/>
              </w:rPr>
              <w:t xml:space="preserve">专利产出目标</w:t>
            </w:r>
          </w:p>
        </w:tc>
        <w:tc>
          <w:tcPr/>
          <w:p>
            <w:pPr>
              <w:pStyle w:val="Compact"/>
              <w:jc w:val="left"/>
            </w:pPr>
            <w:r>
              <w:t xml:space="preserve">8项/年</w:t>
            </w:r>
          </w:p>
        </w:tc>
        <w:tc>
          <w:tcPr/>
          <w:p>
            <w:pPr>
              <w:pStyle w:val="Compact"/>
              <w:jc w:val="left"/>
            </w:pPr>
            <w:r>
              <w:t xml:space="preserve">5项/年</w:t>
            </w:r>
          </w:p>
        </w:tc>
        <w:tc>
          <w:tcPr/>
          <w:p>
            <w:pPr>
              <w:pStyle w:val="Compact"/>
              <w:jc w:val="left"/>
            </w:pPr>
            <w:r>
              <w:t xml:space="preserve">5项/年</w:t>
            </w:r>
          </w:p>
        </w:tc>
        <w:tc>
          <w:tcPr/>
          <w:p>
            <w:pPr>
              <w:pStyle w:val="Compact"/>
              <w:jc w:val="left"/>
            </w:pPr>
            <w:r>
              <w:t xml:space="preserve">18项/年</w:t>
            </w:r>
          </w:p>
        </w:tc>
      </w:tr>
      <w:tr>
        <w:tc>
          <w:tcPr/>
          <w:p>
            <w:pPr>
              <w:pStyle w:val="Compact"/>
              <w:jc w:val="left"/>
            </w:pPr>
            <w:r>
              <w:rPr>
                <w:bCs/>
                <w:b/>
              </w:rPr>
              <w:t xml:space="preserve">核心技术突破</w:t>
            </w:r>
          </w:p>
        </w:tc>
        <w:tc>
          <w:tcPr/>
          <w:p>
            <w:pPr>
              <w:pStyle w:val="Compact"/>
              <w:jc w:val="left"/>
            </w:pPr>
            <w:r>
              <w:t xml:space="preserve">测量精度提升</w:t>
            </w:r>
          </w:p>
        </w:tc>
        <w:tc>
          <w:tcPr/>
          <w:p>
            <w:pPr>
              <w:pStyle w:val="Compact"/>
              <w:jc w:val="left"/>
            </w:pPr>
            <w:r>
              <w:t xml:space="preserve">垂直领域算法</w:t>
            </w:r>
          </w:p>
        </w:tc>
        <w:tc>
          <w:tcPr/>
          <w:p>
            <w:pPr>
              <w:pStyle w:val="Compact"/>
              <w:jc w:val="left"/>
            </w:pPr>
            <w:r>
              <w:t xml:space="preserve">新产品原型</w:t>
            </w:r>
          </w:p>
        </w:tc>
        <w:tc>
          <w:tcPr/>
          <w:p>
            <w:pPr>
              <w:pStyle w:val="Compact"/>
              <w:jc w:val="left"/>
            </w:pPr>
            <w:r>
              <w:t xml:space="preserve">差异化聚焦</w:t>
            </w:r>
          </w:p>
        </w:tc>
      </w:tr>
      <w:tr>
        <w:tc>
          <w:tcPr/>
          <w:p>
            <w:pPr>
              <w:pStyle w:val="Compact"/>
              <w:jc w:val="left"/>
            </w:pPr>
            <w:r>
              <w:rPr>
                <w:bCs/>
                <w:b/>
              </w:rPr>
              <w:t xml:space="preserve">资源使用效率</w:t>
            </w:r>
          </w:p>
        </w:tc>
        <w:tc>
          <w:tcPr/>
          <w:p>
            <w:pPr>
              <w:pStyle w:val="Compact"/>
              <w:jc w:val="left"/>
            </w:pPr>
            <w:r>
              <w:t xml:space="preserve">提升40%</w:t>
            </w:r>
          </w:p>
        </w:tc>
        <w:tc>
          <w:tcPr/>
          <w:p>
            <w:pPr>
              <w:pStyle w:val="Compact"/>
              <w:jc w:val="left"/>
            </w:pPr>
            <w:r>
              <w:t xml:space="preserve">提升60%</w:t>
            </w:r>
          </w:p>
        </w:tc>
        <w:tc>
          <w:tcPr/>
          <w:p>
            <w:pPr>
              <w:pStyle w:val="Compact"/>
              <w:jc w:val="left"/>
            </w:pPr>
            <w:r>
              <w:t xml:space="preserve">新投入</w:t>
            </w:r>
          </w:p>
        </w:tc>
        <w:tc>
          <w:tcPr/>
          <w:p>
            <w:pPr>
              <w:pStyle w:val="Compact"/>
              <w:jc w:val="left"/>
            </w:pPr>
            <w:r>
              <w:t xml:space="preserve">整体提升</w:t>
            </w:r>
          </w:p>
        </w:tc>
      </w:tr>
    </w:tbl>
    <w:bookmarkEnd w:id="91"/>
    <w:bookmarkEnd w:id="92"/>
    <w:bookmarkStart w:id="93" w:name="销售团队从售前向售中售后转型"/>
    <w:p>
      <w:pPr>
        <w:pStyle w:val="4"/>
      </w:pPr>
      <w:r>
        <w:t xml:space="preserve">5.3.2 销售团队从售前向售中售后转型</w:t>
      </w:r>
    </w:p>
    <w:p>
      <w:pPr>
        <w:pStyle w:val="FirstParagraph"/>
      </w:pPr>
      <w:r>
        <w:t xml:space="preserve">销售团队职能从单纯售前拓展至全周期客户价值管理：</w:t>
      </w:r>
      <w:r>
        <w:t xml:space="preserve"> </w:t>
      </w:r>
      <w:r>
        <w:t xml:space="preserve">-</w:t>
      </w:r>
      <w:r>
        <w:t xml:space="preserve"> </w:t>
      </w:r>
      <w:r>
        <w:rPr>
          <w:bCs/>
          <w:b/>
        </w:rPr>
        <w:t xml:space="preserve">售前团队精简</w:t>
      </w:r>
      <w:r>
        <w:t xml:space="preserve">：将售前工程师从项目方案设计中解放，专注于标准化产品技术支持</w:t>
      </w:r>
      <w:r>
        <w:t xml:space="preserve"> </w:t>
      </w:r>
      <w:r>
        <w:t xml:space="preserve">-</w:t>
      </w:r>
      <w:r>
        <w:t xml:space="preserve"> </w:t>
      </w:r>
      <w:r>
        <w:rPr>
          <w:bCs/>
          <w:b/>
        </w:rPr>
        <w:t xml:space="preserve">售中实施支持</w:t>
      </w:r>
      <w:r>
        <w:t xml:space="preserve">：建立快速响应机制，确保产品交付与客户预期一致</w:t>
      </w:r>
      <w:r>
        <w:t xml:space="preserve"> </w:t>
      </w:r>
      <w:r>
        <w:t xml:space="preserve">-</w:t>
      </w:r>
      <w:r>
        <w:t xml:space="preserve"> </w:t>
      </w:r>
      <w:r>
        <w:rPr>
          <w:bCs/>
          <w:b/>
        </w:rPr>
        <w:t xml:space="preserve">售后价值挖掘</w:t>
      </w:r>
      <w:r>
        <w:t xml:space="preserve">：通过定期回访、软件升级、功能拓展挖掘客户终身价值</w:t>
      </w:r>
    </w:p>
    <w:bookmarkEnd w:id="93"/>
    <w:bookmarkStart w:id="94" w:name="项目制团队向产品化团队转型"/>
    <w:p>
      <w:pPr>
        <w:pStyle w:val="4"/>
      </w:pPr>
      <w:r>
        <w:t xml:space="preserve">5.3.3 项目制团队向产品化团队转型</w:t>
      </w:r>
    </w:p>
    <w:p>
      <w:pPr>
        <w:pStyle w:val="FirstParagraph"/>
      </w:pPr>
      <w:r>
        <w:t xml:space="preserve">视频跟踪仪团队从项目制向产品化转型：</w:t>
      </w:r>
      <w:r>
        <w:t xml:space="preserve"> </w:t>
      </w:r>
      <w:r>
        <w:t xml:space="preserve">-</w:t>
      </w:r>
      <w:r>
        <w:t xml:space="preserve"> </w:t>
      </w:r>
      <w:r>
        <w:rPr>
          <w:bCs/>
          <w:b/>
        </w:rPr>
        <w:t xml:space="preserve">建立产品经理负责制</w:t>
      </w:r>
      <w:r>
        <w:t xml:space="preserve">：每个垂直领域（桥梁、隧道、边坡）设立专职产品经理</w:t>
      </w:r>
      <w:r>
        <w:t xml:space="preserve"> </w:t>
      </w:r>
      <w:r>
        <w:t xml:space="preserve">-</w:t>
      </w:r>
      <w:r>
        <w:t xml:space="preserve"> </w:t>
      </w:r>
      <w:r>
        <w:rPr>
          <w:bCs/>
          <w:b/>
        </w:rPr>
        <w:t xml:space="preserve">标准化方案库建设</w:t>
      </w:r>
      <w:r>
        <w:t xml:space="preserve">：将项目经验沉淀为标准化方案模块，复用率从30%提升至70%</w:t>
      </w:r>
      <w:r>
        <w:t xml:space="preserve"> </w:t>
      </w:r>
      <w:r>
        <w:t xml:space="preserve">-</w:t>
      </w:r>
      <w:r>
        <w:t xml:space="preserve"> </w:t>
      </w:r>
      <w:r>
        <w:rPr>
          <w:bCs/>
          <w:b/>
        </w:rPr>
        <w:t xml:space="preserve">实施外包管理</w:t>
      </w:r>
      <w:r>
        <w:t xml:space="preserve">：将现场安装、调试等实施工作外包给地区合作伙伴，专注核心价值环节</w:t>
      </w:r>
    </w:p>
    <w:bookmarkEnd w:id="94"/>
    <w:bookmarkEnd w:id="95"/>
    <w:bookmarkStart w:id="100" w:name="数字化转型供应链与生产流程优化"/>
    <w:p>
      <w:pPr>
        <w:pStyle w:val="3"/>
      </w:pPr>
      <w:r>
        <w:t xml:space="preserve">5.4 数字化转型：供应链与生产流程优化</w:t>
      </w:r>
    </w:p>
    <w:p>
      <w:pPr>
        <w:pStyle w:val="FirstParagraph"/>
      </w:pPr>
      <w:r>
        <w:t xml:space="preserve">数字化转型是HSM战略转型的技术基础，重点优化供应链和生产流程。</w:t>
      </w:r>
    </w:p>
    <w:bookmarkStart w:id="97" w:name="视频引伸计与视频应变仪供应链调整与标准化生产"/>
    <w:p>
      <w:pPr>
        <w:pStyle w:val="4"/>
      </w:pPr>
      <w:r>
        <w:t xml:space="preserve">5.4.1 视频引伸计与视频应变仪：供应链调整与标准化生产</w:t>
      </w:r>
    </w:p>
    <w:p>
      <w:pPr>
        <w:pStyle w:val="FirstParagraph"/>
      </w:pPr>
      <w:r>
        <w:t xml:space="preserve">针对标准化产品线，数字化转型聚焦供应链优化：</w:t>
      </w:r>
      <w:r>
        <w:t xml:space="preserve"> </w:t>
      </w:r>
      <w:r>
        <w:t xml:space="preserve">-</w:t>
      </w:r>
      <w:r>
        <w:t xml:space="preserve"> </w:t>
      </w:r>
      <w:r>
        <w:rPr>
          <w:bCs/>
          <w:b/>
        </w:rPr>
        <w:t xml:space="preserve">供应链可视化平台</w:t>
      </w:r>
      <w:r>
        <w:t xml:space="preserve">：实时监控原材料库存、生产进度、物流状态</w:t>
      </w:r>
      <w:r>
        <w:t xml:space="preserve"> </w:t>
      </w:r>
      <w:r>
        <w:t xml:space="preserve">-</w:t>
      </w:r>
      <w:r>
        <w:t xml:space="preserve"> </w:t>
      </w:r>
      <w:r>
        <w:rPr>
          <w:bCs/>
          <w:b/>
        </w:rPr>
        <w:t xml:space="preserve">供应商协同系统</w:t>
      </w:r>
      <w:r>
        <w:t xml:space="preserve">：与核心供应商共享需求预测，实现JIT（准时制）供货</w:t>
      </w:r>
      <w:r>
        <w:t xml:space="preserve"> </w:t>
      </w:r>
      <w:r>
        <w:t xml:space="preserve">-</w:t>
      </w:r>
      <w:r>
        <w:t xml:space="preserve"> </w:t>
      </w:r>
      <w:r>
        <w:rPr>
          <w:bCs/>
          <w:b/>
        </w:rPr>
        <w:t xml:space="preserve">生产自动化升级</w:t>
      </w:r>
      <w:r>
        <w:t xml:space="preserve">：引入自动化测试设备，将人工测试环节减少50%</w:t>
      </w:r>
    </w:p>
    <w:bookmarkStart w:id="96" w:name="表5-6视频引伸计应变仪供应链调整效果预测"/>
    <w:p>
      <w:pPr>
        <w:pStyle w:val="Heading4"/>
      </w:pPr>
      <w:r>
        <w:t xml:space="preserve">表5-6：视频引伸计/应变仪供应链调整效果预测</w:t>
      </w:r>
    </w:p>
    <w:tbl>
      <w:tblPr>
        <w:tblStyle w:val="Table"/>
        <w:tblW w:type="pct" w:w="5000"/>
        <w:tblLook w:firstRow="1" w:lastRow="0" w:firstColumn="0" w:lastColumn="0" w:noHBand="0" w:noVBand="0" w:val="0020"/>
      </w:tblPr>
      <w:tblGrid>
        <w:gridCol w:w="1827"/>
        <w:gridCol w:w="1218"/>
        <w:gridCol w:w="1827"/>
        <w:gridCol w:w="1523"/>
        <w:gridCol w:w="1523"/>
      </w:tblGrid>
      <w:tr>
        <w:trPr>
          <w:tblHeader w:val="true"/>
        </w:trPr>
        <w:tc>
          <w:tcPr/>
          <w:p>
            <w:pPr>
              <w:pStyle w:val="Compact"/>
              <w:jc w:val="left"/>
            </w:pPr>
            <w:r>
              <w:t xml:space="preserve">供应链指标</w:t>
            </w:r>
          </w:p>
        </w:tc>
        <w:tc>
          <w:tcPr/>
          <w:p>
            <w:pPr>
              <w:pStyle w:val="Compact"/>
              <w:jc w:val="left"/>
            </w:pPr>
            <w:r>
              <w:t xml:space="preserve">调整前</w:t>
            </w:r>
          </w:p>
        </w:tc>
        <w:tc>
          <w:tcPr/>
          <w:p>
            <w:pPr>
              <w:pStyle w:val="Compact"/>
              <w:jc w:val="left"/>
            </w:pPr>
            <w:r>
              <w:t xml:space="preserve">调整后目标</w:t>
            </w:r>
          </w:p>
        </w:tc>
        <w:tc>
          <w:tcPr/>
          <w:p>
            <w:pPr>
              <w:pStyle w:val="Compact"/>
              <w:jc w:val="left"/>
            </w:pPr>
            <w:r>
              <w:t xml:space="preserve">改善效果</w:t>
            </w:r>
          </w:p>
        </w:tc>
        <w:tc>
          <w:tcPr/>
          <w:p>
            <w:pPr>
              <w:pStyle w:val="Compact"/>
              <w:jc w:val="left"/>
            </w:pPr>
            <w:r>
              <w:t xml:space="preserve">实施举措</w:t>
            </w:r>
          </w:p>
        </w:tc>
      </w:tr>
      <w:tr>
        <w:tc>
          <w:tcPr/>
          <w:p>
            <w:pPr>
              <w:pStyle w:val="Compact"/>
              <w:jc w:val="left"/>
            </w:pPr>
            <w:r>
              <w:rPr>
                <w:bCs/>
                <w:b/>
              </w:rPr>
              <w:t xml:space="preserve">采购周期</w:t>
            </w:r>
          </w:p>
        </w:tc>
        <w:tc>
          <w:tcPr/>
          <w:p>
            <w:pPr>
              <w:pStyle w:val="Compact"/>
              <w:jc w:val="left"/>
            </w:pPr>
            <w:r>
              <w:t xml:space="preserve">45天</w:t>
            </w:r>
          </w:p>
        </w:tc>
        <w:tc>
          <w:tcPr/>
          <w:p>
            <w:pPr>
              <w:pStyle w:val="Compact"/>
              <w:jc w:val="left"/>
            </w:pPr>
            <w:r>
              <w:t xml:space="preserve">30天</w:t>
            </w:r>
          </w:p>
        </w:tc>
        <w:tc>
          <w:tcPr/>
          <w:p>
            <w:pPr>
              <w:pStyle w:val="Compact"/>
              <w:jc w:val="left"/>
            </w:pPr>
            <w:r>
              <w:t xml:space="preserve">缩短33%</w:t>
            </w:r>
          </w:p>
        </w:tc>
        <w:tc>
          <w:tcPr/>
          <w:p>
            <w:pPr>
              <w:pStyle w:val="Compact"/>
              <w:jc w:val="left"/>
            </w:pPr>
            <w:r>
              <w:t xml:space="preserve">供应商协同、安全库存优化</w:t>
            </w:r>
          </w:p>
        </w:tc>
      </w:tr>
      <w:tr>
        <w:tc>
          <w:tcPr/>
          <w:p>
            <w:pPr>
              <w:pStyle w:val="Compact"/>
              <w:jc w:val="left"/>
            </w:pPr>
            <w:r>
              <w:rPr>
                <w:bCs/>
                <w:b/>
              </w:rPr>
              <w:t xml:space="preserve">库存周转率</w:t>
            </w:r>
          </w:p>
        </w:tc>
        <w:tc>
          <w:tcPr/>
          <w:p>
            <w:pPr>
              <w:pStyle w:val="Compact"/>
              <w:jc w:val="left"/>
            </w:pPr>
            <w:r>
              <w:t xml:space="preserve">4.5次/年</w:t>
            </w:r>
          </w:p>
        </w:tc>
        <w:tc>
          <w:tcPr/>
          <w:p>
            <w:pPr>
              <w:pStyle w:val="Compact"/>
              <w:jc w:val="left"/>
            </w:pPr>
            <w:r>
              <w:t xml:space="preserve">6.5次/年</w:t>
            </w:r>
          </w:p>
        </w:tc>
        <w:tc>
          <w:tcPr/>
          <w:p>
            <w:pPr>
              <w:pStyle w:val="Compact"/>
              <w:jc w:val="left"/>
            </w:pPr>
            <w:r>
              <w:t xml:space="preserve">提升44%</w:t>
            </w:r>
          </w:p>
        </w:tc>
        <w:tc>
          <w:tcPr/>
          <w:p>
            <w:pPr>
              <w:pStyle w:val="Compact"/>
              <w:jc w:val="left"/>
            </w:pPr>
            <w:r>
              <w:t xml:space="preserve">需求预测系统、精准采购</w:t>
            </w:r>
          </w:p>
        </w:tc>
      </w:tr>
      <w:tr>
        <w:tc>
          <w:tcPr/>
          <w:p>
            <w:pPr>
              <w:pStyle w:val="Compact"/>
              <w:jc w:val="left"/>
            </w:pPr>
            <w:r>
              <w:rPr>
                <w:bCs/>
                <w:b/>
              </w:rPr>
              <w:t xml:space="preserve">成本降低</w:t>
            </w:r>
          </w:p>
        </w:tc>
        <w:tc>
          <w:tcPr/>
          <w:p>
            <w:pPr>
              <w:pStyle w:val="Compact"/>
              <w:jc w:val="left"/>
            </w:pPr>
            <w:r>
              <w:t xml:space="preserve">-</w:t>
            </w:r>
          </w:p>
        </w:tc>
        <w:tc>
          <w:tcPr/>
          <w:p>
            <w:pPr>
              <w:pStyle w:val="Compact"/>
              <w:jc w:val="left"/>
            </w:pPr>
            <w:r>
              <w:t xml:space="preserve">15%</w:t>
            </w:r>
          </w:p>
        </w:tc>
        <w:tc>
          <w:tcPr/>
          <w:p>
            <w:pPr>
              <w:pStyle w:val="Compact"/>
              <w:jc w:val="left"/>
            </w:pPr>
            <w:r>
              <w:t xml:space="preserve">显著</w:t>
            </w:r>
          </w:p>
        </w:tc>
        <w:tc>
          <w:tcPr/>
          <w:p>
            <w:pPr>
              <w:pStyle w:val="Compact"/>
              <w:jc w:val="left"/>
            </w:pPr>
            <w:r>
              <w:t xml:space="preserve">集中采购、标准化设计</w:t>
            </w:r>
          </w:p>
        </w:tc>
      </w:tr>
      <w:tr>
        <w:tc>
          <w:tcPr/>
          <w:p>
            <w:pPr>
              <w:pStyle w:val="Compact"/>
              <w:jc w:val="left"/>
            </w:pPr>
            <w:r>
              <w:rPr>
                <w:bCs/>
                <w:b/>
              </w:rPr>
              <w:t xml:space="preserve">质量合格率</w:t>
            </w:r>
          </w:p>
        </w:tc>
        <w:tc>
          <w:tcPr/>
          <w:p>
            <w:pPr>
              <w:pStyle w:val="Compact"/>
              <w:jc w:val="left"/>
            </w:pPr>
            <w:r>
              <w:t xml:space="preserve">99.0%</w:t>
            </w:r>
          </w:p>
        </w:tc>
        <w:tc>
          <w:tcPr/>
          <w:p>
            <w:pPr>
              <w:pStyle w:val="Compact"/>
              <w:jc w:val="left"/>
            </w:pPr>
            <w:r>
              <w:t xml:space="preserve">99.5%</w:t>
            </w:r>
          </w:p>
        </w:tc>
        <w:tc>
          <w:tcPr/>
          <w:p>
            <w:pPr>
              <w:pStyle w:val="Compact"/>
              <w:jc w:val="left"/>
            </w:pPr>
            <w:r>
              <w:t xml:space="preserve">提升0.5%</w:t>
            </w:r>
          </w:p>
        </w:tc>
        <w:tc>
          <w:tcPr/>
          <w:p>
            <w:pPr>
              <w:pStyle w:val="Compact"/>
              <w:jc w:val="left"/>
            </w:pPr>
            <w:r>
              <w:t xml:space="preserve">供应商质量管理</w:t>
            </w:r>
          </w:p>
        </w:tc>
      </w:tr>
      <w:tr>
        <w:tc>
          <w:tcPr/>
          <w:p>
            <w:pPr>
              <w:pStyle w:val="Compact"/>
              <w:jc w:val="left"/>
            </w:pPr>
            <w:r>
              <w:rPr>
                <w:bCs/>
                <w:b/>
              </w:rPr>
              <w:t xml:space="preserve">交货准时率</w:t>
            </w:r>
          </w:p>
        </w:tc>
        <w:tc>
          <w:tcPr/>
          <w:p>
            <w:pPr>
              <w:pStyle w:val="Compact"/>
              <w:jc w:val="left"/>
            </w:pPr>
            <w:r>
              <w:t xml:space="preserve">85%</w:t>
            </w:r>
          </w:p>
        </w:tc>
        <w:tc>
          <w:tcPr/>
          <w:p>
            <w:pPr>
              <w:pStyle w:val="Compact"/>
              <w:jc w:val="left"/>
            </w:pPr>
            <w:r>
              <w:t xml:space="preserve">95%</w:t>
            </w:r>
          </w:p>
        </w:tc>
        <w:tc>
          <w:tcPr/>
          <w:p>
            <w:pPr>
              <w:pStyle w:val="Compact"/>
              <w:jc w:val="left"/>
            </w:pPr>
            <w:r>
              <w:t xml:space="preserve">提升10%</w:t>
            </w:r>
          </w:p>
        </w:tc>
        <w:tc>
          <w:tcPr/>
          <w:p>
            <w:pPr>
              <w:pStyle w:val="Compact"/>
              <w:jc w:val="left"/>
            </w:pPr>
            <w:r>
              <w:t xml:space="preserve">生产计划优化</w:t>
            </w:r>
          </w:p>
        </w:tc>
      </w:tr>
    </w:tbl>
    <w:bookmarkEnd w:id="96"/>
    <w:bookmarkEnd w:id="97"/>
    <w:bookmarkStart w:id="98" w:name="视频跟踪仪产业链优化与合作伙伴协同平台"/>
    <w:p>
      <w:pPr>
        <w:pStyle w:val="4"/>
      </w:pPr>
      <w:r>
        <w:t xml:space="preserve">5.4.2 视频跟踪仪：产业链优化与合作伙伴协同平台</w:t>
      </w:r>
    </w:p>
    <w:p>
      <w:pPr>
        <w:pStyle w:val="FirstParagraph"/>
      </w:pPr>
      <w:r>
        <w:t xml:space="preserve">视频跟踪仪的数字化转型重点在产业链协同：</w:t>
      </w:r>
      <w:r>
        <w:t xml:space="preserve"> </w:t>
      </w:r>
      <w:r>
        <w:t xml:space="preserve">-</w:t>
      </w:r>
      <w:r>
        <w:t xml:space="preserve"> </w:t>
      </w:r>
      <w:r>
        <w:rPr>
          <w:bCs/>
          <w:b/>
        </w:rPr>
        <w:t xml:space="preserve">合作伙伴门户</w:t>
      </w:r>
      <w:r>
        <w:t xml:space="preserve">：为地区合作伙伴提供方案设计、技术支持、项目管理的在线平台</w:t>
      </w:r>
      <w:r>
        <w:t xml:space="preserve"> </w:t>
      </w:r>
      <w:r>
        <w:t xml:space="preserve">-</w:t>
      </w:r>
      <w:r>
        <w:t xml:space="preserve"> </w:t>
      </w:r>
      <w:r>
        <w:rPr>
          <w:bCs/>
          <w:b/>
        </w:rPr>
        <w:t xml:space="preserve">远程诊断系统</w:t>
      </w:r>
      <w:r>
        <w:t xml:space="preserve">：通过物联网技术实现设备远程监控、故障预警和诊断</w:t>
      </w:r>
      <w:r>
        <w:t xml:space="preserve"> </w:t>
      </w:r>
      <w:r>
        <w:t xml:space="preserve">-</w:t>
      </w:r>
      <w:r>
        <w:t xml:space="preserve"> </w:t>
      </w:r>
      <w:r>
        <w:rPr>
          <w:bCs/>
          <w:b/>
        </w:rPr>
        <w:t xml:space="preserve">项目协同工具</w:t>
      </w:r>
      <w:r>
        <w:t xml:space="preserve">：支持多参与方在线协作，提高项目执行效率</w:t>
      </w:r>
    </w:p>
    <w:bookmarkEnd w:id="98"/>
    <w:bookmarkStart w:id="99" w:name="数字化工具提升管理效率"/>
    <w:p>
      <w:pPr>
        <w:pStyle w:val="4"/>
      </w:pPr>
      <w:r>
        <w:t xml:space="preserve">5.4.3 数字化工具提升管理效率</w:t>
      </w:r>
    </w:p>
    <w:p>
      <w:pPr>
        <w:pStyle w:val="FirstParagraph"/>
      </w:pPr>
      <w:r>
        <w:t xml:space="preserve">公司层面推广数字化管理工具：</w:t>
      </w:r>
      <w:r>
        <w:t xml:space="preserve"> </w:t>
      </w:r>
      <w:r>
        <w:t xml:space="preserve">-</w:t>
      </w:r>
      <w:r>
        <w:t xml:space="preserve"> </w:t>
      </w:r>
      <w:r>
        <w:rPr>
          <w:bCs/>
          <w:b/>
        </w:rPr>
        <w:t xml:space="preserve">ERP系统升级</w:t>
      </w:r>
      <w:r>
        <w:t xml:space="preserve">：集成销售、生产、财务、人力资源模块，实现数据一体化</w:t>
      </w:r>
      <w:r>
        <w:t xml:space="preserve"> </w:t>
      </w:r>
      <w:r>
        <w:t xml:space="preserve">-</w:t>
      </w:r>
      <w:r>
        <w:t xml:space="preserve"> </w:t>
      </w:r>
      <w:r>
        <w:rPr>
          <w:bCs/>
          <w:b/>
        </w:rPr>
        <w:t xml:space="preserve">BI数据分析平台</w:t>
      </w:r>
      <w:r>
        <w:t xml:space="preserve">：实时监控三条产品线的关键绩效指标，支持数据驱动决策</w:t>
      </w:r>
      <w:r>
        <w:t xml:space="preserve"> </w:t>
      </w:r>
      <w:r>
        <w:t xml:space="preserve">-</w:t>
      </w:r>
      <w:r>
        <w:t xml:space="preserve"> </w:t>
      </w:r>
      <w:r>
        <w:rPr>
          <w:bCs/>
          <w:b/>
        </w:rPr>
        <w:t xml:space="preserve">移动办公系统</w:t>
      </w:r>
      <w:r>
        <w:t xml:space="preserve">：支持远程协作，适应后疫情时代的灵活工作模式</w:t>
      </w:r>
    </w:p>
    <w:bookmarkEnd w:id="99"/>
    <w:bookmarkEnd w:id="100"/>
    <w:bookmarkStart w:id="105" w:name="生态合作构建可持续发展伙伴关系"/>
    <w:p>
      <w:pPr>
        <w:pStyle w:val="3"/>
      </w:pPr>
      <w:r>
        <w:t xml:space="preserve">5.5 生态合作：构建可持续发展伙伴关系</w:t>
      </w:r>
    </w:p>
    <w:p>
      <w:pPr>
        <w:pStyle w:val="FirstParagraph"/>
      </w:pPr>
      <w:r>
        <w:t xml:space="preserve">生态合作是HSM战略转型的长期保障，通过构建多层次伙伴关系实现共赢发展。</w:t>
      </w:r>
    </w:p>
    <w:bookmarkStart w:id="101" w:name="与试验机厂家的深度合作模式"/>
    <w:p>
      <w:pPr>
        <w:pStyle w:val="4"/>
      </w:pPr>
      <w:r>
        <w:t xml:space="preserve">5.5.1 与试验机厂家的深度合作模式</w:t>
      </w:r>
    </w:p>
    <w:p>
      <w:pPr>
        <w:pStyle w:val="FirstParagraph"/>
      </w:pPr>
      <w:r>
        <w:t xml:space="preserve">与试验机厂家的合作超越简单的产品销售：</w:t>
      </w:r>
      <w:r>
        <w:t xml:space="preserve"> </w:t>
      </w:r>
      <w:r>
        <w:t xml:space="preserve">-</w:t>
      </w:r>
      <w:r>
        <w:t xml:space="preserve"> </w:t>
      </w:r>
      <w:r>
        <w:rPr>
          <w:bCs/>
          <w:b/>
        </w:rPr>
        <w:t xml:space="preserve">技术集成合作</w:t>
      </w:r>
      <w:r>
        <w:t xml:space="preserve">：将HSM的DIC技术深度集成到试验机控制系统中</w:t>
      </w:r>
      <w:r>
        <w:t xml:space="preserve"> </w:t>
      </w:r>
      <w:r>
        <w:t xml:space="preserve">-</w:t>
      </w:r>
      <w:r>
        <w:t xml:space="preserve"> </w:t>
      </w:r>
      <w:r>
        <w:rPr>
          <w:bCs/>
          <w:b/>
        </w:rPr>
        <w:t xml:space="preserve">联合研发</w:t>
      </w:r>
      <w:r>
        <w:t xml:space="preserve">：共同开发面向特定材料测试的专用测量模块</w:t>
      </w:r>
      <w:r>
        <w:t xml:space="preserve"> </w:t>
      </w:r>
      <w:r>
        <w:t xml:space="preserve">-</w:t>
      </w:r>
      <w:r>
        <w:t xml:space="preserve"> </w:t>
      </w:r>
      <w:r>
        <w:rPr>
          <w:bCs/>
          <w:b/>
        </w:rPr>
        <w:t xml:space="preserve">市场共拓</w:t>
      </w:r>
      <w:r>
        <w:t xml:space="preserve">：共享客户资源，联合拓展海外市场</w:t>
      </w:r>
    </w:p>
    <w:bookmarkEnd w:id="101"/>
    <w:bookmarkStart w:id="103" w:name="地区合作伙伴培育与管理体系"/>
    <w:p>
      <w:pPr>
        <w:pStyle w:val="4"/>
      </w:pPr>
      <w:r>
        <w:t xml:space="preserve">5.5.2 地区合作伙伴培育与管理体系</w:t>
      </w:r>
    </w:p>
    <w:p>
      <w:pPr>
        <w:pStyle w:val="FirstParagraph"/>
      </w:pPr>
      <w:r>
        <w:t xml:space="preserve">针对视频跟踪仪业务，建立地区合作伙伴培育体系：</w:t>
      </w:r>
      <w:r>
        <w:t xml:space="preserve"> </w:t>
      </w:r>
      <w:r>
        <w:t xml:space="preserve">-</w:t>
      </w:r>
      <w:r>
        <w:t xml:space="preserve"> </w:t>
      </w:r>
      <w:r>
        <w:rPr>
          <w:bCs/>
          <w:b/>
        </w:rPr>
        <w:t xml:space="preserve">合作伙伴分级管理</w:t>
      </w:r>
      <w:r>
        <w:t xml:space="preserve">：根据能力、业绩将合作伙伴分为金牌、银牌、铜牌三级</w:t>
      </w:r>
      <w:r>
        <w:t xml:space="preserve"> </w:t>
      </w:r>
      <w:r>
        <w:t xml:space="preserve">-</w:t>
      </w:r>
      <w:r>
        <w:t xml:space="preserve"> </w:t>
      </w:r>
      <w:r>
        <w:rPr>
          <w:bCs/>
          <w:b/>
        </w:rPr>
        <w:t xml:space="preserve">全方位支持</w:t>
      </w:r>
      <w:r>
        <w:t xml:space="preserve">：提供技术培训、市场资源、项目协作、资金支持等全方位赋能</w:t>
      </w:r>
      <w:r>
        <w:t xml:space="preserve"> </w:t>
      </w:r>
      <w:r>
        <w:t xml:space="preserve">-</w:t>
      </w:r>
      <w:r>
        <w:t xml:space="preserve"> </w:t>
      </w:r>
      <w:r>
        <w:rPr>
          <w:bCs/>
          <w:b/>
        </w:rPr>
        <w:t xml:space="preserve">利益共享机制</w:t>
      </w:r>
      <w:r>
        <w:t xml:space="preserve">：建立透明的利润分配机制，确保合作伙伴有持续合作动力</w:t>
      </w:r>
    </w:p>
    <w:bookmarkStart w:id="102" w:name="表5-7地区合作伙伴选择标准与培育计划"/>
    <w:p>
      <w:pPr>
        <w:pStyle w:val="Heading4"/>
      </w:pPr>
      <w:r>
        <w:t xml:space="preserve">表5-7：地区合作伙伴选择标准与培育计划</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选择标准</w:t>
            </w:r>
          </w:p>
        </w:tc>
        <w:tc>
          <w:tcPr/>
          <w:p>
            <w:pPr>
              <w:pStyle w:val="Compact"/>
              <w:jc w:val="left"/>
            </w:pPr>
            <w:r>
              <w:t xml:space="preserve">金牌合作伙伴</w:t>
            </w:r>
          </w:p>
        </w:tc>
        <w:tc>
          <w:tcPr/>
          <w:p>
            <w:pPr>
              <w:pStyle w:val="Compact"/>
              <w:jc w:val="left"/>
            </w:pPr>
            <w:r>
              <w:t xml:space="preserve">银牌合作伙伴</w:t>
            </w:r>
          </w:p>
        </w:tc>
        <w:tc>
          <w:tcPr/>
          <w:p>
            <w:pPr>
              <w:pStyle w:val="Compact"/>
              <w:jc w:val="left"/>
            </w:pPr>
            <w:r>
              <w:t xml:space="preserve">铜牌合作伙伴</w:t>
            </w:r>
          </w:p>
        </w:tc>
        <w:tc>
          <w:tcPr/>
          <w:p>
            <w:pPr>
              <w:pStyle w:val="Compact"/>
              <w:jc w:val="left"/>
            </w:pPr>
            <w:r>
              <w:t xml:space="preserve">培育重点</w:t>
            </w:r>
          </w:p>
        </w:tc>
      </w:tr>
      <w:tr>
        <w:tc>
          <w:tcPr/>
          <w:p>
            <w:pPr>
              <w:pStyle w:val="Compact"/>
              <w:jc w:val="left"/>
            </w:pPr>
            <w:r>
              <w:rPr>
                <w:bCs/>
                <w:b/>
              </w:rPr>
              <w:t xml:space="preserve">技术能力</w:t>
            </w:r>
          </w:p>
        </w:tc>
        <w:tc>
          <w:tcPr/>
          <w:p>
            <w:pPr>
              <w:pStyle w:val="Compact"/>
              <w:jc w:val="left"/>
            </w:pPr>
            <w:r>
              <w:t xml:space="preserve">自有研发团队</w:t>
            </w:r>
          </w:p>
        </w:tc>
        <w:tc>
          <w:tcPr/>
          <w:p>
            <w:pPr>
              <w:pStyle w:val="Compact"/>
              <w:jc w:val="left"/>
            </w:pPr>
            <w:r>
              <w:t xml:space="preserve">技术实施团队</w:t>
            </w:r>
          </w:p>
        </w:tc>
        <w:tc>
          <w:tcPr/>
          <w:p>
            <w:pPr>
              <w:pStyle w:val="Compact"/>
              <w:jc w:val="left"/>
            </w:pPr>
            <w:r>
              <w:t xml:space="preserve">基础技术能力</w:t>
            </w:r>
          </w:p>
        </w:tc>
        <w:tc>
          <w:tcPr/>
          <w:p>
            <w:pPr>
              <w:pStyle w:val="Compact"/>
              <w:jc w:val="left"/>
            </w:pPr>
            <w:r>
              <w:t xml:space="preserve">技术培训</w:t>
            </w:r>
          </w:p>
        </w:tc>
      </w:tr>
      <w:tr>
        <w:tc>
          <w:tcPr/>
          <w:p>
            <w:pPr>
              <w:pStyle w:val="Compact"/>
              <w:jc w:val="left"/>
            </w:pPr>
            <w:r>
              <w:rPr>
                <w:bCs/>
                <w:b/>
              </w:rPr>
              <w:t xml:space="preserve">行业经验</w:t>
            </w:r>
          </w:p>
        </w:tc>
        <w:tc>
          <w:tcPr/>
          <w:p>
            <w:pPr>
              <w:pStyle w:val="Compact"/>
              <w:jc w:val="left"/>
            </w:pPr>
            <w:r>
              <w:t xml:space="preserve">5年以上</w:t>
            </w:r>
          </w:p>
        </w:tc>
        <w:tc>
          <w:tcPr/>
          <w:p>
            <w:pPr>
              <w:pStyle w:val="Compact"/>
              <w:jc w:val="left"/>
            </w:pPr>
            <w:r>
              <w:t xml:space="preserve">3-5年</w:t>
            </w:r>
          </w:p>
        </w:tc>
        <w:tc>
          <w:tcPr/>
          <w:p>
            <w:pPr>
              <w:pStyle w:val="Compact"/>
              <w:jc w:val="left"/>
            </w:pPr>
            <w:r>
              <w:t xml:space="preserve">1-3年</w:t>
            </w:r>
          </w:p>
        </w:tc>
        <w:tc>
          <w:tcPr/>
          <w:p>
            <w:pPr>
              <w:pStyle w:val="Compact"/>
              <w:jc w:val="left"/>
            </w:pPr>
            <w:r>
              <w:t xml:space="preserve">案例分享</w:t>
            </w:r>
          </w:p>
        </w:tc>
      </w:tr>
      <w:tr>
        <w:tc>
          <w:tcPr/>
          <w:p>
            <w:pPr>
              <w:pStyle w:val="Compact"/>
              <w:jc w:val="left"/>
            </w:pPr>
            <w:r>
              <w:rPr>
                <w:bCs/>
                <w:b/>
              </w:rPr>
              <w:t xml:space="preserve">资金实力</w:t>
            </w:r>
          </w:p>
        </w:tc>
        <w:tc>
          <w:tcPr/>
          <w:p>
            <w:pPr>
              <w:pStyle w:val="Compact"/>
              <w:jc w:val="left"/>
            </w:pPr>
            <w:r>
              <w:t xml:space="preserve">雄厚</w:t>
            </w:r>
          </w:p>
        </w:tc>
        <w:tc>
          <w:tcPr/>
          <w:p>
            <w:pPr>
              <w:pStyle w:val="Compact"/>
              <w:jc w:val="left"/>
            </w:pPr>
            <w:r>
              <w:t xml:space="preserve">良好</w:t>
            </w:r>
          </w:p>
        </w:tc>
        <w:tc>
          <w:tcPr/>
          <w:p>
            <w:pPr>
              <w:pStyle w:val="Compact"/>
              <w:jc w:val="left"/>
            </w:pPr>
            <w:r>
              <w:t xml:space="preserve">一般</w:t>
            </w:r>
          </w:p>
        </w:tc>
        <w:tc>
          <w:tcPr/>
          <w:p>
            <w:pPr>
              <w:pStyle w:val="Compact"/>
              <w:jc w:val="left"/>
            </w:pPr>
            <w:r>
              <w:t xml:space="preserve">金融支持</w:t>
            </w:r>
          </w:p>
        </w:tc>
      </w:tr>
      <w:tr>
        <w:tc>
          <w:tcPr/>
          <w:p>
            <w:pPr>
              <w:pStyle w:val="Compact"/>
              <w:jc w:val="left"/>
            </w:pPr>
            <w:r>
              <w:rPr>
                <w:bCs/>
                <w:b/>
              </w:rPr>
              <w:t xml:space="preserve">市场覆盖</w:t>
            </w:r>
          </w:p>
        </w:tc>
        <w:tc>
          <w:tcPr/>
          <w:p>
            <w:pPr>
              <w:pStyle w:val="Compact"/>
              <w:jc w:val="left"/>
            </w:pPr>
            <w:r>
              <w:t xml:space="preserve">省级覆盖</w:t>
            </w:r>
          </w:p>
        </w:tc>
        <w:tc>
          <w:tcPr/>
          <w:p>
            <w:pPr>
              <w:pStyle w:val="Compact"/>
              <w:jc w:val="left"/>
            </w:pPr>
            <w:r>
              <w:t xml:space="preserve">地市级覆盖</w:t>
            </w:r>
          </w:p>
        </w:tc>
        <w:tc>
          <w:tcPr/>
          <w:p>
            <w:pPr>
              <w:pStyle w:val="Compact"/>
              <w:jc w:val="left"/>
            </w:pPr>
            <w:r>
              <w:t xml:space="preserve">县级覆盖</w:t>
            </w:r>
          </w:p>
        </w:tc>
        <w:tc>
          <w:tcPr/>
          <w:p>
            <w:pPr>
              <w:pStyle w:val="Compact"/>
              <w:jc w:val="left"/>
            </w:pPr>
            <w:r>
              <w:t xml:space="preserve">市场协同</w:t>
            </w:r>
          </w:p>
        </w:tc>
      </w:tr>
      <w:tr>
        <w:tc>
          <w:tcPr/>
          <w:p>
            <w:pPr>
              <w:pStyle w:val="Compact"/>
              <w:jc w:val="left"/>
            </w:pPr>
            <w:r>
              <w:rPr>
                <w:bCs/>
                <w:b/>
              </w:rPr>
              <w:t xml:space="preserve">年项目能力</w:t>
            </w:r>
          </w:p>
        </w:tc>
        <w:tc>
          <w:tcPr/>
          <w:p>
            <w:pPr>
              <w:pStyle w:val="Compact"/>
              <w:jc w:val="left"/>
            </w:pPr>
            <w:r>
              <w:t xml:space="preserve">10个以上</w:t>
            </w:r>
          </w:p>
        </w:tc>
        <w:tc>
          <w:tcPr/>
          <w:p>
            <w:pPr>
              <w:pStyle w:val="Compact"/>
              <w:jc w:val="left"/>
            </w:pPr>
            <w:r>
              <w:t xml:space="preserve">5-10个</w:t>
            </w:r>
          </w:p>
        </w:tc>
        <w:tc>
          <w:tcPr/>
          <w:p>
            <w:pPr>
              <w:pStyle w:val="Compact"/>
              <w:jc w:val="left"/>
            </w:pPr>
            <w:r>
              <w:t xml:space="preserve">1-5个</w:t>
            </w:r>
          </w:p>
        </w:tc>
        <w:tc>
          <w:tcPr/>
          <w:p>
            <w:pPr>
              <w:pStyle w:val="Compact"/>
              <w:jc w:val="left"/>
            </w:pPr>
            <w:r>
              <w:t xml:space="preserve">项目协作</w:t>
            </w:r>
          </w:p>
        </w:tc>
      </w:tr>
      <w:tr>
        <w:tc>
          <w:tcPr/>
          <w:p>
            <w:pPr>
              <w:pStyle w:val="Compact"/>
              <w:jc w:val="left"/>
            </w:pPr>
            <w:r>
              <w:rPr>
                <w:bCs/>
                <w:b/>
              </w:rPr>
              <w:t xml:space="preserve">培育周期</w:t>
            </w:r>
          </w:p>
        </w:tc>
        <w:tc>
          <w:tcPr/>
          <w:p>
            <w:pPr>
              <w:pStyle w:val="Compact"/>
              <w:jc w:val="left"/>
            </w:pPr>
            <w:r>
              <w:t xml:space="preserve">6个月</w:t>
            </w:r>
          </w:p>
        </w:tc>
        <w:tc>
          <w:tcPr/>
          <w:p>
            <w:pPr>
              <w:pStyle w:val="Compact"/>
              <w:jc w:val="left"/>
            </w:pPr>
            <w:r>
              <w:t xml:space="preserve">9个月</w:t>
            </w:r>
          </w:p>
        </w:tc>
        <w:tc>
          <w:tcPr/>
          <w:p>
            <w:pPr>
              <w:pStyle w:val="Compact"/>
              <w:jc w:val="left"/>
            </w:pPr>
            <w:r>
              <w:t xml:space="preserve">12个月</w:t>
            </w:r>
          </w:p>
        </w:tc>
        <w:tc>
          <w:tcPr/>
          <w:p>
            <w:pPr>
              <w:pStyle w:val="Compact"/>
              <w:jc w:val="left"/>
            </w:pPr>
            <w:r>
              <w:t xml:space="preserve">渐进式</w:t>
            </w:r>
          </w:p>
        </w:tc>
      </w:tr>
    </w:tbl>
    <w:bookmarkEnd w:id="102"/>
    <w:bookmarkEnd w:id="103"/>
    <w:bookmarkStart w:id="104" w:name="产学研合作与行业标准共建"/>
    <w:p>
      <w:pPr>
        <w:pStyle w:val="4"/>
      </w:pPr>
      <w:r>
        <w:t xml:space="preserve">5.5.3 产学研合作与行业标准共建</w:t>
      </w:r>
    </w:p>
    <w:p>
      <w:pPr>
        <w:pStyle w:val="FirstParagraph"/>
      </w:pPr>
      <w:r>
        <w:t xml:space="preserve">长期生态建设包括产学研合作和行业标准参与：</w:t>
      </w:r>
      <w:r>
        <w:t xml:space="preserve"> </w:t>
      </w:r>
      <w:r>
        <w:t xml:space="preserve">-</w:t>
      </w:r>
      <w:r>
        <w:t xml:space="preserve"> </w:t>
      </w:r>
      <w:r>
        <w:rPr>
          <w:bCs/>
          <w:b/>
        </w:rPr>
        <w:t xml:space="preserve">高校联合实验室</w:t>
      </w:r>
      <w:r>
        <w:t xml:space="preserve">：与清华大学、同济大学等建立联合实验室，推动前沿技术研究</w:t>
      </w:r>
      <w:r>
        <w:t xml:space="preserve"> </w:t>
      </w:r>
      <w:r>
        <w:t xml:space="preserve">-</w:t>
      </w:r>
      <w:r>
        <w:t xml:space="preserve"> </w:t>
      </w:r>
      <w:r>
        <w:rPr>
          <w:bCs/>
          <w:b/>
        </w:rPr>
        <w:t xml:space="preserve">行业标准制定</w:t>
      </w:r>
      <w:r>
        <w:t xml:space="preserve">：积极参与DIC技术相关国家标准的制定，提升行业话语权</w:t>
      </w:r>
      <w:r>
        <w:t xml:space="preserve"> </w:t>
      </w:r>
      <w:r>
        <w:t xml:space="preserve">-</w:t>
      </w:r>
      <w:r>
        <w:t xml:space="preserve"> </w:t>
      </w:r>
      <w:r>
        <w:rPr>
          <w:bCs/>
          <w:b/>
        </w:rPr>
        <w:t xml:space="preserve">产业联盟建设</w:t>
      </w:r>
      <w:r>
        <w:t xml:space="preserve">：发起成立”视觉测量产业创新联盟”，整合产业链资源</w:t>
      </w:r>
    </w:p>
    <w:bookmarkEnd w:id="104"/>
    <w:bookmarkEnd w:id="105"/>
    <w:bookmarkStart w:id="109" w:name="实施路径的时间规划与关键里程碑"/>
    <w:p>
      <w:pPr>
        <w:pStyle w:val="3"/>
      </w:pPr>
      <w:r>
        <w:t xml:space="preserve">5.6 实施路径的时间规划与关键里程碑</w:t>
      </w:r>
    </w:p>
    <w:p>
      <w:pPr>
        <w:pStyle w:val="FirstParagraph"/>
      </w:pPr>
      <w:r>
        <w:t xml:space="preserve">为确保战略转型有序推进，HSM制定了详细的实施时间表：</w:t>
      </w:r>
    </w:p>
    <w:bookmarkStart w:id="106" w:name="第一阶段基础建设期2026年"/>
    <w:p>
      <w:pPr>
        <w:pStyle w:val="4"/>
      </w:pPr>
      <w:r>
        <w:t xml:space="preserve">5.6.1 第一阶段：基础建设期（2026年）</w:t>
      </w:r>
    </w:p>
    <w:p>
      <w:pPr>
        <w:numPr>
          <w:ilvl w:val="0"/>
          <w:numId w:val="1003"/>
        </w:numPr>
        <w:pStyle w:val="Compact"/>
      </w:pPr>
      <w:r>
        <w:rPr>
          <w:bCs/>
          <w:b/>
        </w:rPr>
        <w:t xml:space="preserve">Q1-Q2</w:t>
      </w:r>
      <w:r>
        <w:t xml:space="preserve">：组织架构调整、研发资源重新配置</w:t>
      </w:r>
    </w:p>
    <w:p>
      <w:pPr>
        <w:numPr>
          <w:ilvl w:val="0"/>
          <w:numId w:val="1003"/>
        </w:numPr>
        <w:pStyle w:val="Compact"/>
      </w:pPr>
      <w:r>
        <w:rPr>
          <w:bCs/>
          <w:b/>
        </w:rPr>
        <w:t xml:space="preserve">Q2-Q3</w:t>
      </w:r>
      <w:r>
        <w:t xml:space="preserve">：捆绑销售合作签约、地区合作伙伴发展</w:t>
      </w:r>
    </w:p>
    <w:p>
      <w:pPr>
        <w:numPr>
          <w:ilvl w:val="0"/>
          <w:numId w:val="1003"/>
        </w:numPr>
        <w:pStyle w:val="Compact"/>
      </w:pPr>
      <w:r>
        <w:rPr>
          <w:bCs/>
          <w:b/>
        </w:rPr>
        <w:t xml:space="preserve">Q3-Q4</w:t>
      </w:r>
      <w:r>
        <w:t xml:space="preserve">：供应链优化、数字化平台建设</w:t>
      </w:r>
    </w:p>
    <w:bookmarkEnd w:id="106"/>
    <w:bookmarkStart w:id="107" w:name="第二阶段全面推进期2027年"/>
    <w:p>
      <w:pPr>
        <w:pStyle w:val="4"/>
      </w:pPr>
      <w:r>
        <w:t xml:space="preserve">5.6.2 第二阶段：全面推进期（2027年）</w:t>
      </w:r>
    </w:p>
    <w:p>
      <w:pPr>
        <w:numPr>
          <w:ilvl w:val="0"/>
          <w:numId w:val="1004"/>
        </w:numPr>
        <w:pStyle w:val="Compact"/>
      </w:pPr>
      <w:r>
        <w:rPr>
          <w:bCs/>
          <w:b/>
        </w:rPr>
        <w:t xml:space="preserve">Q1-Q2</w:t>
      </w:r>
      <w:r>
        <w:t xml:space="preserve">：新产品研发突破、垂直领域市场拓展</w:t>
      </w:r>
    </w:p>
    <w:p>
      <w:pPr>
        <w:numPr>
          <w:ilvl w:val="0"/>
          <w:numId w:val="1004"/>
        </w:numPr>
        <w:pStyle w:val="Compact"/>
      </w:pPr>
      <w:r>
        <w:rPr>
          <w:bCs/>
          <w:b/>
        </w:rPr>
        <w:t xml:space="preserve">Q3-Q4</w:t>
      </w:r>
      <w:r>
        <w:t xml:space="preserve">：合作伙伴体系成熟、回款机制优化见效</w:t>
      </w:r>
    </w:p>
    <w:bookmarkEnd w:id="107"/>
    <w:bookmarkStart w:id="108" w:name="第三阶段成果巩固期2028年"/>
    <w:p>
      <w:pPr>
        <w:pStyle w:val="4"/>
      </w:pPr>
      <w:r>
        <w:t xml:space="preserve">5.6.3 第三阶段：成果巩固期（2028年）</w:t>
      </w:r>
    </w:p>
    <w:p>
      <w:pPr>
        <w:numPr>
          <w:ilvl w:val="0"/>
          <w:numId w:val="1005"/>
        </w:numPr>
        <w:pStyle w:val="Compact"/>
      </w:pPr>
      <w:r>
        <w:t xml:space="preserve">三条产品线均衡发展</w:t>
      </w:r>
    </w:p>
    <w:p>
      <w:pPr>
        <w:numPr>
          <w:ilvl w:val="0"/>
          <w:numId w:val="1005"/>
        </w:numPr>
        <w:pStyle w:val="Compact"/>
      </w:pPr>
      <w:r>
        <w:t xml:space="preserve">资金周转率显著提升</w:t>
      </w:r>
    </w:p>
    <w:p>
      <w:pPr>
        <w:numPr>
          <w:ilvl w:val="0"/>
          <w:numId w:val="1005"/>
        </w:numPr>
        <w:pStyle w:val="Compact"/>
      </w:pPr>
      <w:r>
        <w:t xml:space="preserve">行业领导地位巩固</w:t>
      </w:r>
    </w:p>
    <w:bookmarkEnd w:id="108"/>
    <w:bookmarkEnd w:id="109"/>
    <w:bookmarkStart w:id="112" w:name="预期成效与风险评估"/>
    <w:p>
      <w:pPr>
        <w:pStyle w:val="3"/>
      </w:pPr>
      <w:r>
        <w:t xml:space="preserve">5.7 预期成效与风险评估</w:t>
      </w:r>
    </w:p>
    <w:bookmarkStart w:id="110" w:name="预期成效"/>
    <w:p>
      <w:pPr>
        <w:pStyle w:val="4"/>
      </w:pPr>
      <w:r>
        <w:t xml:space="preserve">5.7.1 预期成效</w:t>
      </w:r>
    </w:p>
    <w:p>
      <w:pPr>
        <w:numPr>
          <w:ilvl w:val="0"/>
          <w:numId w:val="1006"/>
        </w:numPr>
        <w:pStyle w:val="Compact"/>
      </w:pPr>
      <w:r>
        <w:rPr>
          <w:bCs/>
          <w:b/>
        </w:rPr>
        <w:t xml:space="preserve">财务指标改善</w:t>
      </w:r>
      <w:r>
        <w:t xml:space="preserve">：整体毛利率从55%提升至65%，资金周转率从1.5次/年提升至3.0次/年</w:t>
      </w:r>
    </w:p>
    <w:p>
      <w:pPr>
        <w:numPr>
          <w:ilvl w:val="0"/>
          <w:numId w:val="1006"/>
        </w:numPr>
        <w:pStyle w:val="Compact"/>
      </w:pPr>
      <w:r>
        <w:rPr>
          <w:bCs/>
          <w:b/>
        </w:rPr>
        <w:t xml:space="preserve">市场地位巩固</w:t>
      </w:r>
      <w:r>
        <w:t xml:space="preserve">：视频引伸计/应变仪国内市场占有率从30%提升至45%</w:t>
      </w:r>
    </w:p>
    <w:p>
      <w:pPr>
        <w:numPr>
          <w:ilvl w:val="0"/>
          <w:numId w:val="1006"/>
        </w:numPr>
        <w:pStyle w:val="Compact"/>
      </w:pPr>
      <w:r>
        <w:rPr>
          <w:bCs/>
          <w:b/>
        </w:rPr>
        <w:t xml:space="preserve">产品结构优化</w:t>
      </w:r>
      <w:r>
        <w:t xml:space="preserve">：标准化产品收入占比从60%提升至80%</w:t>
      </w:r>
    </w:p>
    <w:p>
      <w:pPr>
        <w:numPr>
          <w:ilvl w:val="0"/>
          <w:numId w:val="1006"/>
        </w:numPr>
        <w:pStyle w:val="Compact"/>
      </w:pPr>
      <w:r>
        <w:rPr>
          <w:bCs/>
          <w:b/>
        </w:rPr>
        <w:t xml:space="preserve">组织效率提升</w:t>
      </w:r>
      <w:r>
        <w:t xml:space="preserve">：人均产值从100万元/年提升至150万元/年</w:t>
      </w:r>
    </w:p>
    <w:bookmarkEnd w:id="110"/>
    <w:bookmarkStart w:id="111" w:name="风险与应对"/>
    <w:p>
      <w:pPr>
        <w:pStyle w:val="4"/>
      </w:pPr>
      <w:r>
        <w:t xml:space="preserve">5.7.2 风险与应对</w:t>
      </w:r>
    </w:p>
    <w:p>
      <w:pPr>
        <w:numPr>
          <w:ilvl w:val="0"/>
          <w:numId w:val="1007"/>
        </w:numPr>
        <w:pStyle w:val="Compact"/>
      </w:pPr>
      <w:r>
        <w:rPr>
          <w:bCs/>
          <w:b/>
        </w:rPr>
        <w:t xml:space="preserve">合作伙伴管理风险</w:t>
      </w:r>
      <w:r>
        <w:t xml:space="preserve">：建立严格的合作伙伴筛选和退出机制</w:t>
      </w:r>
    </w:p>
    <w:p>
      <w:pPr>
        <w:numPr>
          <w:ilvl w:val="0"/>
          <w:numId w:val="1007"/>
        </w:numPr>
        <w:pStyle w:val="Compact"/>
      </w:pPr>
      <w:r>
        <w:rPr>
          <w:bCs/>
          <w:b/>
        </w:rPr>
        <w:t xml:space="preserve">技术研发不确定性</w:t>
      </w:r>
      <w:r>
        <w:t xml:space="preserve">：保持适度的研发投入冗余，分散技术路线风险</w:t>
      </w:r>
    </w:p>
    <w:p>
      <w:pPr>
        <w:numPr>
          <w:ilvl w:val="0"/>
          <w:numId w:val="1007"/>
        </w:numPr>
        <w:pStyle w:val="Compact"/>
      </w:pPr>
      <w:r>
        <w:rPr>
          <w:bCs/>
          <w:b/>
        </w:rPr>
        <w:t xml:space="preserve">市场竞争加剧</w:t>
      </w:r>
      <w:r>
        <w:t xml:space="preserve">：持续技术创新，构建专利护城河</w:t>
      </w:r>
    </w:p>
    <w:p>
      <w:pPr>
        <w:numPr>
          <w:ilvl w:val="0"/>
          <w:numId w:val="1007"/>
        </w:numPr>
        <w:pStyle w:val="Compact"/>
      </w:pPr>
      <w:r>
        <w:rPr>
          <w:bCs/>
          <w:b/>
        </w:rPr>
        <w:t xml:space="preserve">供应链波动风险</w:t>
      </w:r>
      <w:r>
        <w:t xml:space="preserve">：建立多源供应体系，保持供应链弹性</w:t>
      </w:r>
    </w:p>
    <w:p>
      <w:r>
        <w:pict>
          <v:rect style="width:0;height:1.5pt" o:hralign="center" o:hrstd="t" o:hr="t"/>
        </w:pict>
      </w:r>
    </w:p>
    <w:p>
      <w:pPr>
        <w:pStyle w:val="FirstParagraph"/>
      </w:pPr>
      <w:r>
        <w:rPr>
          <w:bCs/>
          <w:b/>
        </w:rPr>
        <w:t xml:space="preserve">本章小结</w:t>
      </w:r>
      <w:r>
        <w:t xml:space="preserve">：本章系统阐述了HSM战略转型的实施路径，针对三条产品线的不同特点制定了差异化的技术、市场、组织、数字化和生态合作策略。通过聚焦标准化产品的效率提升和项目化产品的模式转型，HSM将实现从技术驱动到市场驱动、从项目制到产品制、从资源消耗到价值创造的战略转型，为企业的可持续发展奠定坚实基础。</w:t>
      </w:r>
    </w:p>
    <w:bookmarkEnd w:id="111"/>
    <w:bookmarkEnd w:id="112"/>
    <w:bookmarkEnd w:id="113"/>
    <w:bookmarkStart w:id="153" w:name="第六章-市场分析与商业模式优化"/>
    <w:p>
      <w:pPr>
        <w:pStyle w:val="2"/>
      </w:pPr>
      <w:r>
        <w:t xml:space="preserve">第六章 市场分析与商业模式优化</w:t>
      </w:r>
    </w:p>
    <w:bookmarkStart w:id="119" w:name="国内基础设施安全监测市场概况"/>
    <w:p>
      <w:pPr>
        <w:pStyle w:val="3"/>
      </w:pPr>
      <w:r>
        <w:t xml:space="preserve">6.1 国内基础设施安全监测市场概况</w:t>
      </w:r>
    </w:p>
    <w:bookmarkStart w:id="114" w:name="市场整体规模与发展趋势"/>
    <w:p>
      <w:pPr>
        <w:pStyle w:val="4"/>
      </w:pPr>
      <w:r>
        <w:t xml:space="preserve">6.1.1 市场整体规模与发展趋势</w:t>
      </w:r>
    </w:p>
    <w:p>
      <w:pPr>
        <w:pStyle w:val="FirstParagraph"/>
      </w:pPr>
      <w:r>
        <w:t xml:space="preserve">根据Global Market Insights的研究报告，2023年全球结构健康监测（Structural Health Monitoring, SHM）市场规模超过31亿美元，预计2024年至2032年期间的复合年增长率（CAGR）将超过10%，到2032年市场规模将达到70亿美元。其中，硬件部分占整体市场的40%以上，显示了监测设备市场的巨大潜力。</w:t>
      </w:r>
    </w:p>
    <w:p>
      <w:pPr>
        <w:pStyle w:val="BodyText"/>
      </w:pPr>
      <w:r>
        <w:t xml:space="preserve">在中国市场，基础设施安全监测领域呈现出快速增长态势。2024年中国基础设施安全监测市场规模已达到850亿元，预计到2027年将突破1500亿元，年复合增长率超过20%。这一快速增长主要受到以下因素驱动：</w:t>
      </w:r>
    </w:p>
    <w:p>
      <w:pPr>
        <w:numPr>
          <w:ilvl w:val="0"/>
          <w:numId w:val="1008"/>
        </w:numPr>
      </w:pPr>
      <w:r>
        <w:rPr>
          <w:bCs/>
          <w:b/>
        </w:rPr>
        <w:t xml:space="preserve">政策红利持续释放</w:t>
      </w:r>
      <w:r>
        <w:t xml:space="preserve">：国家”十四五”规划明确提出要加强城市安全韧性建设，推动基础设施智能化监测。《城市生命线工程安全运行监测系统建设导则》等政策文件的出台，为行业提供了明确的发展方向和政策支持。</w:t>
      </w:r>
    </w:p>
    <w:p>
      <w:pPr>
        <w:numPr>
          <w:ilvl w:val="0"/>
          <w:numId w:val="1008"/>
        </w:numPr>
      </w:pPr>
      <w:r>
        <w:rPr>
          <w:bCs/>
          <w:b/>
        </w:rPr>
        <w:t xml:space="preserve">技术革新推动产业升级</w:t>
      </w:r>
      <w:r>
        <w:t xml:space="preserve">：机器视觉监测技术市场份额从2022年的15%快速增长至2024年的35%，技术替代效应明显。特别是数字图像相关（DIC）技术为代表的视觉测量技术，正逐步取代传统接触式测量方法。</w:t>
      </w:r>
    </w:p>
    <w:p>
      <w:pPr>
        <w:numPr>
          <w:ilvl w:val="0"/>
          <w:numId w:val="1008"/>
        </w:numPr>
      </w:pPr>
      <w:r>
        <w:rPr>
          <w:bCs/>
          <w:b/>
        </w:rPr>
        <w:t xml:space="preserve">市场需求多元化发展</w:t>
      </w:r>
      <w:r>
        <w:t xml:space="preserve">：随着城市化进程加速和基础设施老化问题凸显，桥梁、隧道、边坡等基础设施的安全监测需求日益迫切。根据交通运输部数据，中国现有公路桥梁超过100万座，其中大量桥梁已进入”老龄化”阶段，急需系统化的健康监测。</w:t>
      </w:r>
    </w:p>
    <w:bookmarkEnd w:id="114"/>
    <w:bookmarkStart w:id="118" w:name="细分市场分析"/>
    <w:p>
      <w:pPr>
        <w:pStyle w:val="4"/>
      </w:pPr>
      <w:r>
        <w:t xml:space="preserve">6.1.2 细分市场分析</w:t>
      </w:r>
    </w:p>
    <w:bookmarkStart w:id="115" w:name="桥梁健康监测市场"/>
    <w:p>
      <w:pPr>
        <w:pStyle w:val="Heading4"/>
      </w:pPr>
      <w:r>
        <w:t xml:space="preserve">桥梁健康监测市场</w:t>
      </w:r>
    </w:p>
    <w:p>
      <w:pPr>
        <w:pStyle w:val="FirstParagraph"/>
      </w:pPr>
      <w:r>
        <w:t xml:space="preserve">根据恒州博智研究中心的调研报告，2024-2030年全球与中国桥梁健康监测市场将保持快速增长。中国作为世界最大的基础设施建设市场，桥梁健康监测市场规模预计将从2024年的120亿元增长至2030年的250亿元，年复合增长率达到12%。</w:t>
      </w:r>
    </w:p>
    <w:p>
      <w:pPr>
        <w:pStyle w:val="BodyText"/>
      </w:pPr>
      <w:r>
        <w:t xml:space="preserve">市场驱动因素包括：</w:t>
      </w:r>
      <w:r>
        <w:t xml:space="preserve"> </w:t>
      </w:r>
      <w:r>
        <w:t xml:space="preserve">-</w:t>
      </w:r>
      <w:r>
        <w:t xml:space="preserve"> </w:t>
      </w:r>
      <w:r>
        <w:rPr>
          <w:bCs/>
          <w:b/>
        </w:rPr>
        <w:t xml:space="preserve">政策强制要求</w:t>
      </w:r>
      <w:r>
        <w:t xml:space="preserve">：交通运输部要求对长大桥梁实施结构健康监测</w:t>
      </w:r>
      <w:r>
        <w:t xml:space="preserve"> </w:t>
      </w:r>
      <w:r>
        <w:t xml:space="preserve">-</w:t>
      </w:r>
      <w:r>
        <w:t xml:space="preserve"> </w:t>
      </w:r>
      <w:r>
        <w:rPr>
          <w:bCs/>
          <w:b/>
        </w:rPr>
        <w:t xml:space="preserve">安全监管趋严</w:t>
      </w:r>
      <w:r>
        <w:t xml:space="preserve">：桥梁安全事故频发促使监管加强</w:t>
      </w:r>
      <w:r>
        <w:t xml:space="preserve"> </w:t>
      </w:r>
      <w:r>
        <w:t xml:space="preserve">-</w:t>
      </w:r>
      <w:r>
        <w:t xml:space="preserve"> </w:t>
      </w:r>
      <w:r>
        <w:rPr>
          <w:bCs/>
          <w:b/>
        </w:rPr>
        <w:t xml:space="preserve">技术成本下降</w:t>
      </w:r>
      <w:r>
        <w:t xml:space="preserve">：监测设备成本持续降低，推动普及应用</w:t>
      </w:r>
    </w:p>
    <w:bookmarkEnd w:id="115"/>
    <w:bookmarkStart w:id="116" w:name="隧道监测市场"/>
    <w:p>
      <w:pPr>
        <w:pStyle w:val="Heading4"/>
      </w:pPr>
      <w:r>
        <w:t xml:space="preserve">隧道监测市场</w:t>
      </w:r>
    </w:p>
    <w:p>
      <w:pPr>
        <w:pStyle w:val="FirstParagraph"/>
      </w:pPr>
      <w:r>
        <w:t xml:space="preserve">隧道监测系统市场规模在2024年估计为54.21亿美元，预计从2025年的57.52亿美元增长到2035年的103.9亿美元，2025-2035年复合年增长率为6.9%。在中国市场，随着铁路、公路、地铁等隧道工程的大规模建设，隧道监测需求持续增长。</w:t>
      </w:r>
    </w:p>
    <w:bookmarkEnd w:id="116"/>
    <w:bookmarkStart w:id="117" w:name="边坡监测市场"/>
    <w:p>
      <w:pPr>
        <w:pStyle w:val="Heading4"/>
      </w:pPr>
      <w:r>
        <w:t xml:space="preserve">边坡监测市场</w:t>
      </w:r>
    </w:p>
    <w:p>
      <w:pPr>
        <w:pStyle w:val="FirstParagraph"/>
      </w:pPr>
      <w:r>
        <w:t xml:space="preserve">边坡监测作为地质灾害防治的重要组成部分，市场规模随着矿山安全、交通基础设施安全的重视而快速增长。特别是在露天矿山、高速公路边坡、水利工程边坡等领域，监测需求旺盛。</w:t>
      </w:r>
    </w:p>
    <w:bookmarkEnd w:id="117"/>
    <w:bookmarkEnd w:id="118"/>
    <w:bookmarkEnd w:id="119"/>
    <w:bookmarkStart w:id="122" w:name="方案厂家体量与竞争格局"/>
    <w:p>
      <w:pPr>
        <w:pStyle w:val="3"/>
      </w:pPr>
      <w:r>
        <w:t xml:space="preserve">6.2 方案厂家体量与竞争格局</w:t>
      </w:r>
    </w:p>
    <w:bookmarkStart w:id="120" w:name="主要厂家分析"/>
    <w:p>
      <w:pPr>
        <w:pStyle w:val="4"/>
      </w:pPr>
      <w:r>
        <w:t xml:space="preserve">6.2.1 主要厂家分析</w:t>
      </w:r>
    </w:p>
    <w:p>
      <w:pPr>
        <w:pStyle w:val="FirstParagraph"/>
      </w:pPr>
      <w:r>
        <w:t xml:space="preserve">国内基础设施安全监测市场的主要参与者包括：</w:t>
      </w:r>
    </w:p>
    <w:p>
      <w:pPr>
        <w:numPr>
          <w:ilvl w:val="0"/>
          <w:numId w:val="1009"/>
        </w:numPr>
      </w:pPr>
      <w:r>
        <w:rPr>
          <w:bCs/>
          <w:b/>
        </w:rPr>
        <w:t xml:space="preserve">海塞姆科技有限公司</w:t>
      </w:r>
      <w:r>
        <w:t xml:space="preserve">：作为DIC视觉传感技术的领先企业，HSM专注于视频跟踪仪、视频引伸计等视觉测量设备的研发和生产。公司在DIC技术领域拥有自主知识产权，已申请专利50项，其中发明专利30项。</w:t>
      </w:r>
    </w:p>
    <w:p>
      <w:pPr>
        <w:numPr>
          <w:ilvl w:val="0"/>
          <w:numId w:val="1009"/>
        </w:numPr>
      </w:pPr>
      <w:r>
        <w:rPr>
          <w:bCs/>
          <w:b/>
        </w:rPr>
        <w:t xml:space="preserve">北京思莫特科技有限公司</w:t>
      </w:r>
      <w:r>
        <w:t xml:space="preserve">：推出SMT-M视频位移计，采用数字图像相关（DIC）技术和物联网技术，实现多点位移监测和预警。</w:t>
      </w:r>
    </w:p>
    <w:p>
      <w:pPr>
        <w:numPr>
          <w:ilvl w:val="0"/>
          <w:numId w:val="1009"/>
        </w:numPr>
      </w:pPr>
      <w:r>
        <w:rPr>
          <w:bCs/>
          <w:b/>
        </w:rPr>
        <w:t xml:space="preserve">飞尚科技</w:t>
      </w:r>
      <w:r>
        <w:t xml:space="preserve">：提供边坡监测解决方案，集成多种传感技术和物联网平台。</w:t>
      </w:r>
    </w:p>
    <w:p>
      <w:pPr>
        <w:numPr>
          <w:ilvl w:val="0"/>
          <w:numId w:val="1009"/>
        </w:numPr>
      </w:pPr>
      <w:r>
        <w:rPr>
          <w:bCs/>
          <w:b/>
        </w:rPr>
        <w:t xml:space="preserve">传统传感器厂家</w:t>
      </w:r>
      <w:r>
        <w:t xml:space="preserve">：如基康仪器、南自科技等，主要提供传统应变片、位移传感器等接触式测量设备。</w:t>
      </w:r>
    </w:p>
    <w:bookmarkEnd w:id="120"/>
    <w:bookmarkStart w:id="121" w:name="市场集中度与竞争态势"/>
    <w:p>
      <w:pPr>
        <w:pStyle w:val="4"/>
      </w:pPr>
      <w:r>
        <w:t xml:space="preserve">6.2.2 市场集中度与竞争态势</w:t>
      </w:r>
    </w:p>
    <w:p>
      <w:pPr>
        <w:pStyle w:val="FirstParagraph"/>
      </w:pPr>
      <w:r>
        <w:t xml:space="preserve">结构健康监测市场份额相对分散，西门子集团和新梅特克公司在全球市场占有10%以上的份额。在中国市场，尚未形成绝对的垄断格局，呈现出以下特点：</w:t>
      </w:r>
    </w:p>
    <w:p>
      <w:pPr>
        <w:numPr>
          <w:ilvl w:val="0"/>
          <w:numId w:val="1010"/>
        </w:numPr>
        <w:pStyle w:val="Compact"/>
      </w:pPr>
      <w:r>
        <w:rPr>
          <w:bCs/>
          <w:b/>
        </w:rPr>
        <w:t xml:space="preserve">技术路线多元化</w:t>
      </w:r>
      <w:r>
        <w:t xml:space="preserve">：传统传感器厂商、机器视觉厂商、物联网平台厂商等多方参与</w:t>
      </w:r>
    </w:p>
    <w:p>
      <w:pPr>
        <w:numPr>
          <w:ilvl w:val="0"/>
          <w:numId w:val="1010"/>
        </w:numPr>
        <w:pStyle w:val="Compact"/>
      </w:pPr>
      <w:r>
        <w:rPr>
          <w:bCs/>
          <w:b/>
        </w:rPr>
        <w:t xml:space="preserve">区域市场分割</w:t>
      </w:r>
      <w:r>
        <w:t xml:space="preserve">：不同区域有不同的主导厂商，市场集中度不高</w:t>
      </w:r>
    </w:p>
    <w:p>
      <w:pPr>
        <w:numPr>
          <w:ilvl w:val="0"/>
          <w:numId w:val="1010"/>
        </w:numPr>
        <w:pStyle w:val="Compact"/>
      </w:pPr>
      <w:r>
        <w:rPr>
          <w:bCs/>
          <w:b/>
        </w:rPr>
        <w:t xml:space="preserve">专业化分工</w:t>
      </w:r>
      <w:r>
        <w:t xml:space="preserve">：部分厂商专注于特定领域（如桥梁、隧道、边坡），形成细分市场优势</w:t>
      </w:r>
    </w:p>
    <w:bookmarkEnd w:id="121"/>
    <w:bookmarkEnd w:id="122"/>
    <w:bookmarkStart w:id="129" w:name="视频跟踪仪应用规模分析"/>
    <w:p>
      <w:pPr>
        <w:pStyle w:val="3"/>
      </w:pPr>
      <w:r>
        <w:t xml:space="preserve">6.3 视频跟踪仪应用规模分析</w:t>
      </w:r>
    </w:p>
    <w:bookmarkStart w:id="123" w:name="视频跟踪仪技术特点"/>
    <w:p>
      <w:pPr>
        <w:pStyle w:val="4"/>
      </w:pPr>
      <w:r>
        <w:t xml:space="preserve">6.3.1 视频跟踪仪技术特点</w:t>
      </w:r>
    </w:p>
    <w:p>
      <w:pPr>
        <w:pStyle w:val="FirstParagraph"/>
      </w:pPr>
      <w:r>
        <w:t xml:space="preserve">视频跟踪仪（视觉位移测量系统）基于数字图像相关（DIC）技术，通过非接触方式实现对结构变形、位移的高精度测量。与传统接触式传感器相比，视频跟踪仪具有以下优势：</w:t>
      </w:r>
    </w:p>
    <w:p>
      <w:pPr>
        <w:numPr>
          <w:ilvl w:val="0"/>
          <w:numId w:val="1011"/>
        </w:numPr>
        <w:pStyle w:val="Compact"/>
      </w:pPr>
      <w:r>
        <w:rPr>
          <w:bCs/>
          <w:b/>
        </w:rPr>
        <w:t xml:space="preserve">非接触测量</w:t>
      </w:r>
      <w:r>
        <w:t xml:space="preserve">：无需在被测物表面安装传感器，避免了对结构的破坏</w:t>
      </w:r>
    </w:p>
    <w:p>
      <w:pPr>
        <w:numPr>
          <w:ilvl w:val="0"/>
          <w:numId w:val="1011"/>
        </w:numPr>
        <w:pStyle w:val="Compact"/>
      </w:pPr>
      <w:r>
        <w:rPr>
          <w:bCs/>
          <w:b/>
        </w:rPr>
        <w:t xml:space="preserve">多点同时测量</w:t>
      </w:r>
      <w:r>
        <w:t xml:space="preserve">：单一系统可同时监测多个测点，降低设备成本</w:t>
      </w:r>
    </w:p>
    <w:p>
      <w:pPr>
        <w:numPr>
          <w:ilvl w:val="0"/>
          <w:numId w:val="1011"/>
        </w:numPr>
        <w:pStyle w:val="Compact"/>
      </w:pPr>
      <w:r>
        <w:rPr>
          <w:bCs/>
          <w:b/>
        </w:rPr>
        <w:t xml:space="preserve">安装维护简便</w:t>
      </w:r>
      <w:r>
        <w:t xml:space="preserve">：无需复杂布线，可采用太阳能供电和无线数据传输</w:t>
      </w:r>
    </w:p>
    <w:p>
      <w:pPr>
        <w:numPr>
          <w:ilvl w:val="0"/>
          <w:numId w:val="1011"/>
        </w:numPr>
        <w:pStyle w:val="Compact"/>
      </w:pPr>
      <w:r>
        <w:rPr>
          <w:bCs/>
          <w:b/>
        </w:rPr>
        <w:t xml:space="preserve">适应恶劣环境</w:t>
      </w:r>
      <w:r>
        <w:t xml:space="preserve">：内置温度、湿度补偿功能，在风霜雨雪等恶劣条件下仍可工作</w:t>
      </w:r>
    </w:p>
    <w:bookmarkEnd w:id="123"/>
    <w:bookmarkStart w:id="127" w:name="应用场景与市场规模"/>
    <w:p>
      <w:pPr>
        <w:pStyle w:val="4"/>
      </w:pPr>
      <w:r>
        <w:t xml:space="preserve">6.3.2 应用场景与市场规模</w:t>
      </w:r>
    </w:p>
    <w:p>
      <w:pPr>
        <w:pStyle w:val="FirstParagraph"/>
      </w:pPr>
      <w:r>
        <w:t xml:space="preserve">视频跟踪仪在基础设施安全监测领域的应用主要包括：</w:t>
      </w:r>
    </w:p>
    <w:bookmarkStart w:id="124" w:name="桥梁监测应用"/>
    <w:p>
      <w:pPr>
        <w:pStyle w:val="Heading4"/>
      </w:pPr>
      <w:r>
        <w:t xml:space="preserve">桥梁监测应用</w:t>
      </w:r>
    </w:p>
    <w:p>
      <w:pPr>
        <w:numPr>
          <w:ilvl w:val="0"/>
          <w:numId w:val="1012"/>
        </w:numPr>
        <w:pStyle w:val="Compact"/>
      </w:pPr>
      <w:r>
        <w:rPr>
          <w:bCs/>
          <w:b/>
        </w:rPr>
        <w:t xml:space="preserve">监测内容</w:t>
      </w:r>
      <w:r>
        <w:t xml:space="preserve">：桥梁振动、挠度、裂缝发展等</w:t>
      </w:r>
    </w:p>
    <w:p>
      <w:pPr>
        <w:numPr>
          <w:ilvl w:val="0"/>
          <w:numId w:val="1012"/>
        </w:numPr>
        <w:pStyle w:val="Compact"/>
      </w:pPr>
      <w:r>
        <w:rPr>
          <w:bCs/>
          <w:b/>
        </w:rPr>
        <w:t xml:space="preserve">应用规模</w:t>
      </w:r>
      <w:r>
        <w:t xml:space="preserve">：根据行业调研，视频跟踪仪在新建桥梁监测市场的渗透率约为15%，在既有桥梁改造市场的渗透率约为8%</w:t>
      </w:r>
    </w:p>
    <w:p>
      <w:pPr>
        <w:numPr>
          <w:ilvl w:val="0"/>
          <w:numId w:val="1012"/>
        </w:numPr>
        <w:pStyle w:val="Compact"/>
      </w:pPr>
      <w:r>
        <w:rPr>
          <w:bCs/>
          <w:b/>
        </w:rPr>
        <w:t xml:space="preserve">市场规模估算</w:t>
      </w:r>
      <w:r>
        <w:t xml:space="preserve">：假设中国每年新建大型桥梁500座，既有桥梁改造1000座，每座桥梁视频跟踪仪投资约50万元，则年度市场规模约为(500×15% + 1000×8%) × 50万 = 8750万元</w:t>
      </w:r>
    </w:p>
    <w:bookmarkEnd w:id="124"/>
    <w:bookmarkStart w:id="125" w:name="隧道监测应用"/>
    <w:p>
      <w:pPr>
        <w:pStyle w:val="Heading4"/>
      </w:pPr>
      <w:r>
        <w:t xml:space="preserve">隧道监测应用</w:t>
      </w:r>
    </w:p>
    <w:p>
      <w:pPr>
        <w:numPr>
          <w:ilvl w:val="0"/>
          <w:numId w:val="1013"/>
        </w:numPr>
        <w:pStyle w:val="Compact"/>
      </w:pPr>
      <w:r>
        <w:rPr>
          <w:bCs/>
          <w:b/>
        </w:rPr>
        <w:t xml:space="preserve">监测内容</w:t>
      </w:r>
      <w:r>
        <w:t xml:space="preserve">：隧道收敛变形、裂缝发展、沉降等</w:t>
      </w:r>
    </w:p>
    <w:p>
      <w:pPr>
        <w:numPr>
          <w:ilvl w:val="0"/>
          <w:numId w:val="1013"/>
        </w:numPr>
        <w:pStyle w:val="Compact"/>
      </w:pPr>
      <w:r>
        <w:rPr>
          <w:bCs/>
          <w:b/>
        </w:rPr>
        <w:t xml:space="preserve">应用规模</w:t>
      </w:r>
      <w:r>
        <w:t xml:space="preserve">：视频跟踪仪在长大隧道监测中的应用逐渐增多，渗透率约为10%</w:t>
      </w:r>
    </w:p>
    <w:p>
      <w:pPr>
        <w:numPr>
          <w:ilvl w:val="0"/>
          <w:numId w:val="1013"/>
        </w:numPr>
        <w:pStyle w:val="Compact"/>
      </w:pPr>
      <w:r>
        <w:rPr>
          <w:bCs/>
          <w:b/>
        </w:rPr>
        <w:t xml:space="preserve">市场规模估算</w:t>
      </w:r>
      <w:r>
        <w:t xml:space="preserve">：中国每年新建隧道约2000公里，改造隧道约1000公里，每公里隧道监测投资约100万元，视频跟踪仪占比10%，则年度市场规模约为3000×100万×10% = 3亿元</w:t>
      </w:r>
    </w:p>
    <w:bookmarkEnd w:id="125"/>
    <w:bookmarkStart w:id="126" w:name="边坡监测应用"/>
    <w:p>
      <w:pPr>
        <w:pStyle w:val="Heading4"/>
      </w:pPr>
      <w:r>
        <w:t xml:space="preserve">边坡监测应用</w:t>
      </w:r>
    </w:p>
    <w:p>
      <w:pPr>
        <w:numPr>
          <w:ilvl w:val="0"/>
          <w:numId w:val="1014"/>
        </w:numPr>
        <w:pStyle w:val="Compact"/>
      </w:pPr>
      <w:r>
        <w:rPr>
          <w:bCs/>
          <w:b/>
        </w:rPr>
        <w:t xml:space="preserve">监测内容</w:t>
      </w:r>
      <w:r>
        <w:t xml:space="preserve">：边坡位移、裂缝、沉降等</w:t>
      </w:r>
    </w:p>
    <w:p>
      <w:pPr>
        <w:numPr>
          <w:ilvl w:val="0"/>
          <w:numId w:val="1014"/>
        </w:numPr>
        <w:pStyle w:val="Compact"/>
      </w:pPr>
      <w:r>
        <w:rPr>
          <w:bCs/>
          <w:b/>
        </w:rPr>
        <w:t xml:space="preserve">应用规模</w:t>
      </w:r>
      <w:r>
        <w:t xml:space="preserve">：在矿山边坡、公路边坡等领域的应用渗透率约为12%</w:t>
      </w:r>
    </w:p>
    <w:p>
      <w:pPr>
        <w:numPr>
          <w:ilvl w:val="0"/>
          <w:numId w:val="1014"/>
        </w:numPr>
        <w:pStyle w:val="Compact"/>
      </w:pPr>
      <w:r>
        <w:rPr>
          <w:bCs/>
          <w:b/>
        </w:rPr>
        <w:t xml:space="preserve">市场规模估算</w:t>
      </w:r>
      <w:r>
        <w:t xml:space="preserve">：中国每年新增边坡监测项目约5000个，每个项目平均投资80万元，视频跟踪仪占比12%，则年度市场规模约为5000×80万×12% = 4.8亿元</w:t>
      </w:r>
    </w:p>
    <w:bookmarkEnd w:id="126"/>
    <w:bookmarkEnd w:id="127"/>
    <w:bookmarkStart w:id="128" w:name="总体市场规模预测"/>
    <w:p>
      <w:pPr>
        <w:pStyle w:val="4"/>
      </w:pPr>
      <w:r>
        <w:t xml:space="preserve">6.3.3 总体市场规模预测</w:t>
      </w:r>
    </w:p>
    <w:p>
      <w:pPr>
        <w:pStyle w:val="FirstParagraph"/>
      </w:pPr>
      <w:r>
        <w:t xml:space="preserve">综合以上分析，视频跟踪仪在基础设施安全监测领域的年度市场规模约为：</w:t>
      </w:r>
      <w:r>
        <w:t xml:space="preserve"> </w:t>
      </w:r>
      <w:r>
        <w:t xml:space="preserve">- 桥梁监测：0.875亿元</w:t>
      </w:r>
      <w:r>
        <w:t xml:space="preserve"> </w:t>
      </w:r>
      <w:r>
        <w:t xml:space="preserve">- 隧道监测：3.0亿元</w:t>
      </w:r>
      <w:r>
        <w:br/>
      </w:r>
      <w:r>
        <w:t xml:space="preserve">- 边坡监测：4.8亿元</w:t>
      </w:r>
      <w:r>
        <w:t xml:space="preserve"> </w:t>
      </w:r>
      <w:r>
        <w:t xml:space="preserve">-</w:t>
      </w:r>
      <w:r>
        <w:t xml:space="preserve"> </w:t>
      </w:r>
      <w:r>
        <w:rPr>
          <w:bCs/>
          <w:b/>
        </w:rPr>
        <w:t xml:space="preserve">合计：约8.675亿元</w:t>
      </w:r>
    </w:p>
    <w:p>
      <w:pPr>
        <w:pStyle w:val="BodyText"/>
      </w:pPr>
      <w:r>
        <w:t xml:space="preserve">考虑到其他应用领域（如大坝监测、建筑结构监测等），视频跟踪仪在基础设施安全监测领域的总体市场规模预计超过10亿元，并保持20%以上的年增长率。</w:t>
      </w:r>
    </w:p>
    <w:bookmarkEnd w:id="128"/>
    <w:bookmarkEnd w:id="129"/>
    <w:bookmarkStart w:id="141" w:name="商业模式优化成本优势与产品优势分析"/>
    <w:p>
      <w:pPr>
        <w:pStyle w:val="3"/>
      </w:pPr>
      <w:r>
        <w:t xml:space="preserve">6.4 商业模式优化：成本优势与产品优势分析</w:t>
      </w:r>
    </w:p>
    <w:bookmarkStart w:id="133" w:name="成本优势分析"/>
    <w:p>
      <w:pPr>
        <w:pStyle w:val="4"/>
      </w:pPr>
      <w:r>
        <w:t xml:space="preserve">6.4.1 成本优势分析</w:t>
      </w:r>
    </w:p>
    <w:p>
      <w:pPr>
        <w:pStyle w:val="FirstParagraph"/>
      </w:pPr>
      <w:r>
        <w:t xml:space="preserve">视频跟踪仪相比传统传感器在成本方面具有显著优势，主要体现在全生命周期成本（Total Cost of Ownership, TCO）的降低：</w:t>
      </w:r>
    </w:p>
    <w:bookmarkStart w:id="130" w:name="初始投资成本对比"/>
    <w:p>
      <w:pPr>
        <w:pStyle w:val="Heading4"/>
      </w:pPr>
      <w:r>
        <w:t xml:space="preserve">初始投资成本对比</w:t>
      </w:r>
    </w:p>
    <w:p>
      <w:pPr>
        <w:pStyle w:val="FirstParagraph"/>
      </w:pPr>
      <w:r>
        <w:rPr>
          <w:bCs/>
          <w:b/>
        </w:rPr>
        <w:t xml:space="preserve">表6-1：初始投资成本对比</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成本项目</w:t>
            </w:r>
          </w:p>
        </w:tc>
        <w:tc>
          <w:tcPr/>
          <w:p>
            <w:pPr>
              <w:pStyle w:val="Compact"/>
              <w:jc w:val="left"/>
            </w:pPr>
            <w:r>
              <w:t xml:space="preserve">传统传感器方案</w:t>
            </w:r>
          </w:p>
        </w:tc>
        <w:tc>
          <w:tcPr/>
          <w:p>
            <w:pPr>
              <w:pStyle w:val="Compact"/>
              <w:jc w:val="left"/>
            </w:pPr>
            <w:r>
              <w:t xml:space="preserve">视频跟踪仪方案</w:t>
            </w:r>
          </w:p>
        </w:tc>
        <w:tc>
          <w:tcPr/>
          <w:p>
            <w:pPr>
              <w:pStyle w:val="Compact"/>
              <w:jc w:val="left"/>
            </w:pPr>
            <w:r>
              <w:t xml:space="preserve">成本节约比例</w:t>
            </w:r>
          </w:p>
        </w:tc>
      </w:tr>
      <w:tr>
        <w:tc>
          <w:tcPr/>
          <w:p>
            <w:pPr>
              <w:pStyle w:val="Compact"/>
              <w:jc w:val="left"/>
            </w:pPr>
            <w:r>
              <w:t xml:space="preserve">传感器设备</w:t>
            </w:r>
          </w:p>
        </w:tc>
        <w:tc>
          <w:tcPr/>
          <w:p>
            <w:pPr>
              <w:pStyle w:val="Compact"/>
              <w:jc w:val="left"/>
            </w:pPr>
            <w:r>
              <w:t xml:space="preserve">高（需多点布置）</w:t>
            </w:r>
          </w:p>
        </w:tc>
        <w:tc>
          <w:tcPr/>
          <w:p>
            <w:pPr>
              <w:pStyle w:val="Compact"/>
              <w:jc w:val="left"/>
            </w:pPr>
            <w:r>
              <w:t xml:space="preserve">中（单点可测多点）</w:t>
            </w:r>
          </w:p>
        </w:tc>
        <w:tc>
          <w:tcPr/>
          <w:p>
            <w:pPr>
              <w:pStyle w:val="Compact"/>
              <w:jc w:val="left"/>
            </w:pPr>
            <w:r>
              <w:t xml:space="preserve">30-50%</w:t>
            </w:r>
          </w:p>
        </w:tc>
      </w:tr>
      <w:tr>
        <w:tc>
          <w:tcPr/>
          <w:p>
            <w:pPr>
              <w:pStyle w:val="Compact"/>
              <w:jc w:val="left"/>
            </w:pPr>
            <w:r>
              <w:t xml:space="preserve">安装施工</w:t>
            </w:r>
          </w:p>
        </w:tc>
        <w:tc>
          <w:tcPr/>
          <w:p>
            <w:pPr>
              <w:pStyle w:val="Compact"/>
              <w:jc w:val="left"/>
            </w:pPr>
            <w:r>
              <w:t xml:space="preserve">高（需布设线缆）</w:t>
            </w:r>
          </w:p>
        </w:tc>
        <w:tc>
          <w:tcPr/>
          <w:p>
            <w:pPr>
              <w:pStyle w:val="Compact"/>
              <w:jc w:val="left"/>
            </w:pPr>
            <w:r>
              <w:t xml:space="preserve">低（无线安装）</w:t>
            </w:r>
          </w:p>
        </w:tc>
        <w:tc>
          <w:tcPr/>
          <w:p>
            <w:pPr>
              <w:pStyle w:val="Compact"/>
              <w:jc w:val="left"/>
            </w:pPr>
            <w:r>
              <w:t xml:space="preserve">60-80%</w:t>
            </w:r>
          </w:p>
        </w:tc>
      </w:tr>
      <w:tr>
        <w:tc>
          <w:tcPr/>
          <w:p>
            <w:pPr>
              <w:pStyle w:val="Compact"/>
              <w:jc w:val="left"/>
            </w:pPr>
            <w:r>
              <w:t xml:space="preserve">辅助设备</w:t>
            </w:r>
          </w:p>
        </w:tc>
        <w:tc>
          <w:tcPr/>
          <w:p>
            <w:pPr>
              <w:pStyle w:val="Compact"/>
              <w:jc w:val="left"/>
            </w:pPr>
            <w:r>
              <w:t xml:space="preserve">中（数据采集器）</w:t>
            </w:r>
          </w:p>
        </w:tc>
        <w:tc>
          <w:tcPr/>
          <w:p>
            <w:pPr>
              <w:pStyle w:val="Compact"/>
              <w:jc w:val="left"/>
            </w:pPr>
            <w:r>
              <w:t xml:space="preserve">低（集成度高）</w:t>
            </w:r>
          </w:p>
        </w:tc>
        <w:tc>
          <w:tcPr/>
          <w:p>
            <w:pPr>
              <w:pStyle w:val="Compact"/>
              <w:jc w:val="left"/>
            </w:pPr>
            <w:r>
              <w:t xml:space="preserve">40-60%</w:t>
            </w:r>
          </w:p>
        </w:tc>
      </w:tr>
      <w:tr>
        <w:tc>
          <w:tcPr/>
          <w:p>
            <w:pPr>
              <w:pStyle w:val="Compact"/>
              <w:jc w:val="left"/>
            </w:pPr>
            <w:r>
              <w:rPr>
                <w:bCs/>
                <w:b/>
              </w:rPr>
              <w:t xml:space="preserve">合计</w:t>
            </w:r>
          </w:p>
        </w:tc>
        <w:tc>
          <w:tcPr/>
          <w:p>
            <w:pPr>
              <w:pStyle w:val="Compact"/>
              <w:jc w:val="left"/>
            </w:pPr>
            <w:r>
              <w:rPr>
                <w:bCs/>
                <w:b/>
              </w:rPr>
              <w:t xml:space="preserve">高</w:t>
            </w:r>
          </w:p>
        </w:tc>
        <w:tc>
          <w:tcPr/>
          <w:p>
            <w:pPr>
              <w:pStyle w:val="Compact"/>
              <w:jc w:val="left"/>
            </w:pPr>
            <w:r>
              <w:rPr>
                <w:bCs/>
                <w:b/>
              </w:rPr>
              <w:t xml:space="preserve">中低</w:t>
            </w:r>
          </w:p>
        </w:tc>
        <w:tc>
          <w:tcPr/>
          <w:p>
            <w:pPr>
              <w:pStyle w:val="Compact"/>
              <w:jc w:val="left"/>
            </w:pPr>
            <w:r>
              <w:rPr>
                <w:bCs/>
                <w:b/>
              </w:rPr>
              <w:t xml:space="preserve">40-60%</w:t>
            </w:r>
          </w:p>
        </w:tc>
      </w:tr>
    </w:tbl>
    <w:bookmarkEnd w:id="130"/>
    <w:bookmarkStart w:id="131" w:name="运营维护成本对比"/>
    <w:p>
      <w:pPr>
        <w:pStyle w:val="Heading4"/>
      </w:pPr>
      <w:r>
        <w:t xml:space="preserve">运营维护成本对比</w:t>
      </w:r>
    </w:p>
    <w:p>
      <w:pPr>
        <w:pStyle w:val="FirstParagraph"/>
      </w:pPr>
      <w:r>
        <w:rPr>
          <w:bCs/>
          <w:b/>
        </w:rPr>
        <w:t xml:space="preserve">表6-2：运营维护成本对比</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成本项目</w:t>
            </w:r>
          </w:p>
        </w:tc>
        <w:tc>
          <w:tcPr/>
          <w:p>
            <w:pPr>
              <w:pStyle w:val="Compact"/>
              <w:jc w:val="left"/>
            </w:pPr>
            <w:r>
              <w:t xml:space="preserve">传统传感器方案</w:t>
            </w:r>
          </w:p>
        </w:tc>
        <w:tc>
          <w:tcPr/>
          <w:p>
            <w:pPr>
              <w:pStyle w:val="Compact"/>
              <w:jc w:val="left"/>
            </w:pPr>
            <w:r>
              <w:t xml:space="preserve">视频跟踪仪方案</w:t>
            </w:r>
          </w:p>
        </w:tc>
        <w:tc>
          <w:tcPr/>
          <w:p>
            <w:pPr>
              <w:pStyle w:val="Compact"/>
              <w:jc w:val="left"/>
            </w:pPr>
            <w:r>
              <w:t xml:space="preserve">成本节约比例</w:t>
            </w:r>
          </w:p>
        </w:tc>
      </w:tr>
      <w:tr>
        <w:tc>
          <w:tcPr/>
          <w:p>
            <w:pPr>
              <w:pStyle w:val="Compact"/>
              <w:jc w:val="left"/>
            </w:pPr>
            <w:r>
              <w:t xml:space="preserve">定期校准</w:t>
            </w:r>
          </w:p>
        </w:tc>
        <w:tc>
          <w:tcPr/>
          <w:p>
            <w:pPr>
              <w:pStyle w:val="Compact"/>
              <w:jc w:val="left"/>
            </w:pPr>
            <w:r>
              <w:t xml:space="preserve">高（需现场校准）</w:t>
            </w:r>
          </w:p>
        </w:tc>
        <w:tc>
          <w:tcPr/>
          <w:p>
            <w:pPr>
              <w:pStyle w:val="Compact"/>
              <w:jc w:val="left"/>
            </w:pPr>
            <w:r>
              <w:t xml:space="preserve">低（软件校准）</w:t>
            </w:r>
          </w:p>
        </w:tc>
        <w:tc>
          <w:tcPr/>
          <w:p>
            <w:pPr>
              <w:pStyle w:val="Compact"/>
              <w:jc w:val="left"/>
            </w:pPr>
            <w:r>
              <w:t xml:space="preserve">70-80%</w:t>
            </w:r>
          </w:p>
        </w:tc>
      </w:tr>
      <w:tr>
        <w:tc>
          <w:tcPr/>
          <w:p>
            <w:pPr>
              <w:pStyle w:val="Compact"/>
              <w:jc w:val="left"/>
            </w:pPr>
            <w:r>
              <w:t xml:space="preserve">故障维修</w:t>
            </w:r>
          </w:p>
        </w:tc>
        <w:tc>
          <w:tcPr/>
          <w:p>
            <w:pPr>
              <w:pStyle w:val="Compact"/>
              <w:jc w:val="left"/>
            </w:pPr>
            <w:r>
              <w:t xml:space="preserve">高（传感器易损）</w:t>
            </w:r>
          </w:p>
        </w:tc>
        <w:tc>
          <w:tcPr/>
          <w:p>
            <w:pPr>
              <w:pStyle w:val="Compact"/>
              <w:jc w:val="left"/>
            </w:pPr>
            <w:r>
              <w:t xml:space="preserve">低（非接触耐用）</w:t>
            </w:r>
          </w:p>
        </w:tc>
        <w:tc>
          <w:tcPr/>
          <w:p>
            <w:pPr>
              <w:pStyle w:val="Compact"/>
              <w:jc w:val="left"/>
            </w:pPr>
            <w:r>
              <w:t xml:space="preserve">50-70%</w:t>
            </w:r>
          </w:p>
        </w:tc>
      </w:tr>
      <w:tr>
        <w:tc>
          <w:tcPr/>
          <w:p>
            <w:pPr>
              <w:pStyle w:val="Compact"/>
              <w:jc w:val="left"/>
            </w:pPr>
            <w:r>
              <w:t xml:space="preserve">数据维护</w:t>
            </w:r>
          </w:p>
        </w:tc>
        <w:tc>
          <w:tcPr/>
          <w:p>
            <w:pPr>
              <w:pStyle w:val="Compact"/>
              <w:jc w:val="left"/>
            </w:pPr>
            <w:r>
              <w:t xml:space="preserve">中（需专业维护）</w:t>
            </w:r>
          </w:p>
        </w:tc>
        <w:tc>
          <w:tcPr/>
          <w:p>
            <w:pPr>
              <w:pStyle w:val="Compact"/>
              <w:jc w:val="left"/>
            </w:pPr>
            <w:r>
              <w:t xml:space="preserve">低（自动上传）</w:t>
            </w:r>
          </w:p>
        </w:tc>
        <w:tc>
          <w:tcPr/>
          <w:p>
            <w:pPr>
              <w:pStyle w:val="Compact"/>
              <w:jc w:val="left"/>
            </w:pPr>
            <w:r>
              <w:t xml:space="preserve">60-80%</w:t>
            </w:r>
          </w:p>
        </w:tc>
      </w:tr>
      <w:tr>
        <w:tc>
          <w:tcPr/>
          <w:p>
            <w:pPr>
              <w:pStyle w:val="Compact"/>
              <w:jc w:val="left"/>
            </w:pPr>
            <w:r>
              <w:rPr>
                <w:bCs/>
                <w:b/>
              </w:rPr>
              <w:t xml:space="preserve">年维护成本</w:t>
            </w:r>
          </w:p>
        </w:tc>
        <w:tc>
          <w:tcPr/>
          <w:p>
            <w:pPr>
              <w:pStyle w:val="Compact"/>
              <w:jc w:val="left"/>
            </w:pPr>
            <w:r>
              <w:rPr>
                <w:bCs/>
                <w:b/>
              </w:rPr>
              <w:t xml:space="preserve">设备价值15-20%</w:t>
            </w:r>
          </w:p>
        </w:tc>
        <w:tc>
          <w:tcPr/>
          <w:p>
            <w:pPr>
              <w:pStyle w:val="Compact"/>
              <w:jc w:val="left"/>
            </w:pPr>
            <w:r>
              <w:rPr>
                <w:bCs/>
                <w:b/>
              </w:rPr>
              <w:t xml:space="preserve">设备价值5-8%</w:t>
            </w:r>
          </w:p>
        </w:tc>
        <w:tc>
          <w:tcPr/>
          <w:p>
            <w:pPr>
              <w:pStyle w:val="Compact"/>
              <w:jc w:val="left"/>
            </w:pPr>
            <w:r>
              <w:rPr>
                <w:bCs/>
                <w:b/>
              </w:rPr>
              <w:t xml:space="preserve">60-70%</w:t>
            </w:r>
          </w:p>
        </w:tc>
      </w:tr>
    </w:tbl>
    <w:bookmarkEnd w:id="131"/>
    <w:bookmarkStart w:id="132" w:name="全生命周期成本分析"/>
    <w:p>
      <w:pPr>
        <w:pStyle w:val="Heading4"/>
      </w:pPr>
      <w:r>
        <w:t xml:space="preserve">全生命周期成本分析</w:t>
      </w:r>
    </w:p>
    <w:p>
      <w:pPr>
        <w:pStyle w:val="FirstParagraph"/>
      </w:pPr>
      <w:r>
        <w:t xml:space="preserve">以一座中型桥梁监测项目为例，监测周期10年：</w:t>
      </w:r>
      <w:r>
        <w:t xml:space="preserve"> </w:t>
      </w:r>
      <w:r>
        <w:t xml:space="preserve">-</w:t>
      </w:r>
      <w:r>
        <w:t xml:space="preserve"> </w:t>
      </w:r>
      <w:r>
        <w:rPr>
          <w:bCs/>
          <w:b/>
        </w:rPr>
        <w:t xml:space="preserve">传统传感器方案</w:t>
      </w:r>
      <w:r>
        <w:t xml:space="preserve">：初始投资120万元，年维护费用18万元，10年总成本=120+18×10=300万元</w:t>
      </w:r>
      <w:r>
        <w:t xml:space="preserve"> </w:t>
      </w:r>
      <w:r>
        <w:t xml:space="preserve">-</w:t>
      </w:r>
      <w:r>
        <w:t xml:space="preserve"> </w:t>
      </w:r>
      <w:r>
        <w:rPr>
          <w:bCs/>
          <w:b/>
        </w:rPr>
        <w:t xml:space="preserve">视频跟踪仪方案</w:t>
      </w:r>
      <w:r>
        <w:t xml:space="preserve">：初始投资70万元，年维护费用5.6万元，10年总成本=70+5.6×10=126万元</w:t>
      </w:r>
      <w:r>
        <w:t xml:space="preserve"> </w:t>
      </w:r>
      <w:r>
        <w:t xml:space="preserve">-</w:t>
      </w:r>
      <w:r>
        <w:t xml:space="preserve"> </w:t>
      </w:r>
      <w:r>
        <w:rPr>
          <w:bCs/>
          <w:b/>
        </w:rPr>
        <w:t xml:space="preserve">成本节约</w:t>
      </w:r>
      <w:r>
        <w:t xml:space="preserve">：300-126=174万元，节约比例58%</w:t>
      </w:r>
    </w:p>
    <w:bookmarkEnd w:id="132"/>
    <w:bookmarkEnd w:id="133"/>
    <w:bookmarkStart w:id="136" w:name="产品优势分析"/>
    <w:p>
      <w:pPr>
        <w:pStyle w:val="4"/>
      </w:pPr>
      <w:r>
        <w:t xml:space="preserve">6.4.2 产品优势分析</w:t>
      </w:r>
    </w:p>
    <w:p>
      <w:pPr>
        <w:pStyle w:val="FirstParagraph"/>
      </w:pPr>
      <w:r>
        <w:t xml:space="preserve">视频跟踪仪在产品性能和技术先进性方面具有明显优势：</w:t>
      </w:r>
    </w:p>
    <w:bookmarkStart w:id="134" w:name="技术性能优势"/>
    <w:p>
      <w:pPr>
        <w:pStyle w:val="Heading4"/>
      </w:pPr>
      <w:r>
        <w:t xml:space="preserve">技术性能优势</w:t>
      </w:r>
    </w:p>
    <w:p>
      <w:pPr>
        <w:numPr>
          <w:ilvl w:val="0"/>
          <w:numId w:val="1015"/>
        </w:numPr>
        <w:pStyle w:val="Compact"/>
      </w:pPr>
      <w:r>
        <w:rPr>
          <w:bCs/>
          <w:b/>
        </w:rPr>
        <w:t xml:space="preserve">测量精度</w:t>
      </w:r>
      <w:r>
        <w:t xml:space="preserve">：亚像素级精度（0.01像素），优于传统传感器的0.1%FS精度</w:t>
      </w:r>
    </w:p>
    <w:p>
      <w:pPr>
        <w:numPr>
          <w:ilvl w:val="0"/>
          <w:numId w:val="1015"/>
        </w:numPr>
        <w:pStyle w:val="Compact"/>
      </w:pPr>
      <w:r>
        <w:rPr>
          <w:bCs/>
          <w:b/>
        </w:rPr>
        <w:t xml:space="preserve">测量范围</w:t>
      </w:r>
      <w:r>
        <w:t xml:space="preserve">：单点可同时测量二维位移，传统传感器多为单方向测量</w:t>
      </w:r>
    </w:p>
    <w:p>
      <w:pPr>
        <w:numPr>
          <w:ilvl w:val="0"/>
          <w:numId w:val="1015"/>
        </w:numPr>
        <w:pStyle w:val="Compact"/>
      </w:pPr>
      <w:r>
        <w:rPr>
          <w:bCs/>
          <w:b/>
        </w:rPr>
        <w:t xml:space="preserve">采样频率</w:t>
      </w:r>
      <w:r>
        <w:t xml:space="preserve">：最高可达1000Hz，满足动态监测需求</w:t>
      </w:r>
    </w:p>
    <w:p>
      <w:pPr>
        <w:numPr>
          <w:ilvl w:val="0"/>
          <w:numId w:val="1015"/>
        </w:numPr>
        <w:pStyle w:val="Compact"/>
      </w:pPr>
      <w:r>
        <w:rPr>
          <w:bCs/>
          <w:b/>
        </w:rPr>
        <w:t xml:space="preserve">环境适应性</w:t>
      </w:r>
      <w:r>
        <w:t xml:space="preserve">：-20℃~60℃工作温度，IP67防护等级</w:t>
      </w:r>
    </w:p>
    <w:bookmarkEnd w:id="134"/>
    <w:bookmarkStart w:id="135" w:name="功能集成优势"/>
    <w:p>
      <w:pPr>
        <w:pStyle w:val="Heading4"/>
      </w:pPr>
      <w:r>
        <w:t xml:space="preserve">功能集成优势</w:t>
      </w:r>
    </w:p>
    <w:p>
      <w:pPr>
        <w:numPr>
          <w:ilvl w:val="0"/>
          <w:numId w:val="1016"/>
        </w:numPr>
        <w:pStyle w:val="Compact"/>
      </w:pPr>
      <w:r>
        <w:rPr>
          <w:bCs/>
          <w:b/>
        </w:rPr>
        <w:t xml:space="preserve">多参数测量</w:t>
      </w:r>
      <w:r>
        <w:t xml:space="preserve">：同时监测位移、振动频率、振幅等多个参数</w:t>
      </w:r>
    </w:p>
    <w:p>
      <w:pPr>
        <w:numPr>
          <w:ilvl w:val="0"/>
          <w:numId w:val="1016"/>
        </w:numPr>
        <w:pStyle w:val="Compact"/>
      </w:pPr>
      <w:r>
        <w:rPr>
          <w:bCs/>
          <w:b/>
        </w:rPr>
        <w:t xml:space="preserve">智能分析</w:t>
      </w:r>
      <w:r>
        <w:t xml:space="preserve">：内置AI算法，自动识别异常和预警</w:t>
      </w:r>
    </w:p>
    <w:p>
      <w:pPr>
        <w:numPr>
          <w:ilvl w:val="0"/>
          <w:numId w:val="1016"/>
        </w:numPr>
        <w:pStyle w:val="Compact"/>
      </w:pPr>
      <w:r>
        <w:rPr>
          <w:bCs/>
          <w:b/>
        </w:rPr>
        <w:t xml:space="preserve">云平台集成</w:t>
      </w:r>
      <w:r>
        <w:t xml:space="preserve">：支持数据实时上传和远程监控</w:t>
      </w:r>
    </w:p>
    <w:p>
      <w:pPr>
        <w:numPr>
          <w:ilvl w:val="0"/>
          <w:numId w:val="1016"/>
        </w:numPr>
        <w:pStyle w:val="Compact"/>
      </w:pPr>
      <w:r>
        <w:rPr>
          <w:bCs/>
          <w:b/>
        </w:rPr>
        <w:t xml:space="preserve">扩展性强</w:t>
      </w:r>
      <w:r>
        <w:t xml:space="preserve">：支持多设备组网和系统集成</w:t>
      </w:r>
    </w:p>
    <w:bookmarkEnd w:id="135"/>
    <w:bookmarkEnd w:id="136"/>
    <w:bookmarkStart w:id="140" w:name="商业模式优化策略"/>
    <w:p>
      <w:pPr>
        <w:pStyle w:val="4"/>
      </w:pPr>
      <w:r>
        <w:t xml:space="preserve">6.4.3 商业模式优化策略</w:t>
      </w:r>
    </w:p>
    <w:p>
      <w:pPr>
        <w:pStyle w:val="FirstParagraph"/>
      </w:pPr>
      <w:r>
        <w:t xml:space="preserve">基于成本优势和产品优势，HSM可以构建以下商业模式优化策略：</w:t>
      </w:r>
    </w:p>
    <w:bookmarkStart w:id="137" w:name="产品标准化与模块化"/>
    <w:p>
      <w:pPr>
        <w:pStyle w:val="Heading4"/>
      </w:pPr>
      <w:r>
        <w:t xml:space="preserve">产品标准化与模块化</w:t>
      </w:r>
    </w:p>
    <w:p>
      <w:pPr>
        <w:numPr>
          <w:ilvl w:val="0"/>
          <w:numId w:val="1017"/>
        </w:numPr>
        <w:pStyle w:val="Compact"/>
      </w:pPr>
      <w:r>
        <w:rPr>
          <w:bCs/>
          <w:b/>
        </w:rPr>
        <w:t xml:space="preserve">标准化产品系列</w:t>
      </w:r>
      <w:r>
        <w:t xml:space="preserve">：开发针对不同应用场景的标准化产品，降低定制化成本</w:t>
      </w:r>
    </w:p>
    <w:p>
      <w:pPr>
        <w:numPr>
          <w:ilvl w:val="0"/>
          <w:numId w:val="1017"/>
        </w:numPr>
        <w:pStyle w:val="Compact"/>
      </w:pPr>
      <w:r>
        <w:rPr>
          <w:bCs/>
          <w:b/>
        </w:rPr>
        <w:t xml:space="preserve">模块化设计</w:t>
      </w:r>
      <w:r>
        <w:t xml:space="preserve">：硬件和软件模块化，便于快速配置和部署</w:t>
      </w:r>
    </w:p>
    <w:p>
      <w:pPr>
        <w:numPr>
          <w:ilvl w:val="0"/>
          <w:numId w:val="1017"/>
        </w:numPr>
        <w:pStyle w:val="Compact"/>
      </w:pPr>
      <w:r>
        <w:rPr>
          <w:bCs/>
          <w:b/>
        </w:rPr>
        <w:t xml:space="preserve">平台化架构</w:t>
      </w:r>
      <w:r>
        <w:t xml:space="preserve">：构建统一的监测云平台，支持多设备接入和数据整合</w:t>
      </w:r>
    </w:p>
    <w:bookmarkEnd w:id="137"/>
    <w:bookmarkStart w:id="138" w:name="服务模式创新"/>
    <w:p>
      <w:pPr>
        <w:pStyle w:val="Heading4"/>
      </w:pPr>
      <w:r>
        <w:t xml:space="preserve">服务模式创新</w:t>
      </w:r>
    </w:p>
    <w:p>
      <w:pPr>
        <w:numPr>
          <w:ilvl w:val="0"/>
          <w:numId w:val="1018"/>
        </w:numPr>
        <w:pStyle w:val="Compact"/>
      </w:pPr>
      <w:r>
        <w:rPr>
          <w:bCs/>
          <w:b/>
        </w:rPr>
        <w:t xml:space="preserve">监测即服务（MaaS）</w:t>
      </w:r>
      <w:r>
        <w:t xml:space="preserve">：提供按需付费的监测服务，降低客户初始投资</w:t>
      </w:r>
    </w:p>
    <w:p>
      <w:pPr>
        <w:numPr>
          <w:ilvl w:val="0"/>
          <w:numId w:val="1018"/>
        </w:numPr>
        <w:pStyle w:val="Compact"/>
      </w:pPr>
      <w:r>
        <w:rPr>
          <w:bCs/>
          <w:b/>
        </w:rPr>
        <w:t xml:space="preserve">数据增值服务</w:t>
      </w:r>
      <w:r>
        <w:t xml:space="preserve">：基于监测数据提供分析报告、预警服务等增值服务</w:t>
      </w:r>
    </w:p>
    <w:p>
      <w:pPr>
        <w:numPr>
          <w:ilvl w:val="0"/>
          <w:numId w:val="1018"/>
        </w:numPr>
        <w:pStyle w:val="Compact"/>
      </w:pPr>
      <w:r>
        <w:rPr>
          <w:bCs/>
          <w:b/>
        </w:rPr>
        <w:t xml:space="preserve">运维外包服务</w:t>
      </w:r>
      <w:r>
        <w:t xml:space="preserve">：提供专业的设备运维和数据管理服务</w:t>
      </w:r>
    </w:p>
    <w:bookmarkEnd w:id="138"/>
    <w:bookmarkStart w:id="139" w:name="合作伙伴生态建设"/>
    <w:p>
      <w:pPr>
        <w:pStyle w:val="Heading4"/>
      </w:pPr>
      <w:r>
        <w:t xml:space="preserve">合作伙伴生态建设</w:t>
      </w:r>
    </w:p>
    <w:p>
      <w:pPr>
        <w:numPr>
          <w:ilvl w:val="0"/>
          <w:numId w:val="1019"/>
        </w:numPr>
        <w:pStyle w:val="Compact"/>
      </w:pPr>
      <w:r>
        <w:rPr>
          <w:bCs/>
          <w:b/>
        </w:rPr>
        <w:t xml:space="preserve">系统集成商合作</w:t>
      </w:r>
      <w:r>
        <w:t xml:space="preserve">：与行业系统集成商建立深度合作，共同拓展市场</w:t>
      </w:r>
    </w:p>
    <w:p>
      <w:pPr>
        <w:numPr>
          <w:ilvl w:val="0"/>
          <w:numId w:val="1019"/>
        </w:numPr>
        <w:pStyle w:val="Compact"/>
      </w:pPr>
      <w:r>
        <w:rPr>
          <w:bCs/>
          <w:b/>
        </w:rPr>
        <w:t xml:space="preserve">地区合作伙伴</w:t>
      </w:r>
      <w:r>
        <w:t xml:space="preserve">：发展地区合作伙伴，提供本地化服务支持</w:t>
      </w:r>
    </w:p>
    <w:p>
      <w:pPr>
        <w:numPr>
          <w:ilvl w:val="0"/>
          <w:numId w:val="1019"/>
        </w:numPr>
        <w:pStyle w:val="Compact"/>
      </w:pPr>
      <w:r>
        <w:rPr>
          <w:bCs/>
          <w:b/>
        </w:rPr>
        <w:t xml:space="preserve">产学研合作</w:t>
      </w:r>
      <w:r>
        <w:t xml:space="preserve">：与高校、科研院所合作，推动技术创新和标准制定</w:t>
      </w:r>
    </w:p>
    <w:bookmarkEnd w:id="139"/>
    <w:bookmarkEnd w:id="140"/>
    <w:bookmarkEnd w:id="141"/>
    <w:bookmarkStart w:id="145" w:name="长期战略合作伙伴关系构建"/>
    <w:p>
      <w:pPr>
        <w:pStyle w:val="3"/>
      </w:pPr>
      <w:r>
        <w:t xml:space="preserve">6.5 长期战略合作伙伴关系构建</w:t>
      </w:r>
    </w:p>
    <w:bookmarkStart w:id="142" w:name="合作伙伴选择标准"/>
    <w:p>
      <w:pPr>
        <w:pStyle w:val="4"/>
      </w:pPr>
      <w:r>
        <w:t xml:space="preserve">6.5.1 合作伙伴选择标准</w:t>
      </w:r>
    </w:p>
    <w:p>
      <w:pPr>
        <w:pStyle w:val="FirstParagraph"/>
      </w:pPr>
      <w:r>
        <w:t xml:space="preserve">基于视频跟踪仪行业特点，HSM应建立以下合作伙伴选择标准：</w:t>
      </w:r>
    </w:p>
    <w:p>
      <w:pPr>
        <w:numPr>
          <w:ilvl w:val="0"/>
          <w:numId w:val="1020"/>
        </w:numPr>
        <w:pStyle w:val="Compact"/>
      </w:pPr>
      <w:r>
        <w:rPr>
          <w:bCs/>
          <w:b/>
        </w:rPr>
        <w:t xml:space="preserve">技术能力</w:t>
      </w:r>
      <w:r>
        <w:t xml:space="preserve">：具备一定的技术实施和运维能力</w:t>
      </w:r>
    </w:p>
    <w:p>
      <w:pPr>
        <w:numPr>
          <w:ilvl w:val="0"/>
          <w:numId w:val="1020"/>
        </w:numPr>
        <w:pStyle w:val="Compact"/>
      </w:pPr>
      <w:r>
        <w:rPr>
          <w:bCs/>
          <w:b/>
        </w:rPr>
        <w:t xml:space="preserve">行业经验</w:t>
      </w:r>
      <w:r>
        <w:t xml:space="preserve">：在基础设施监测领域有项目经验</w:t>
      </w:r>
    </w:p>
    <w:p>
      <w:pPr>
        <w:numPr>
          <w:ilvl w:val="0"/>
          <w:numId w:val="1020"/>
        </w:numPr>
        <w:pStyle w:val="Compact"/>
      </w:pPr>
      <w:r>
        <w:rPr>
          <w:bCs/>
          <w:b/>
        </w:rPr>
        <w:t xml:space="preserve">市场覆盖</w:t>
      </w:r>
      <w:r>
        <w:t xml:space="preserve">：在特定区域或行业有市场资源</w:t>
      </w:r>
    </w:p>
    <w:p>
      <w:pPr>
        <w:numPr>
          <w:ilvl w:val="0"/>
          <w:numId w:val="1020"/>
        </w:numPr>
        <w:pStyle w:val="Compact"/>
      </w:pPr>
      <w:r>
        <w:rPr>
          <w:bCs/>
          <w:b/>
        </w:rPr>
        <w:t xml:space="preserve">资金实力</w:t>
      </w:r>
      <w:r>
        <w:t xml:space="preserve">：能够承担项目垫资和设备投入</w:t>
      </w:r>
    </w:p>
    <w:p>
      <w:pPr>
        <w:numPr>
          <w:ilvl w:val="0"/>
          <w:numId w:val="1020"/>
        </w:numPr>
        <w:pStyle w:val="Compact"/>
      </w:pPr>
      <w:r>
        <w:rPr>
          <w:bCs/>
          <w:b/>
        </w:rPr>
        <w:t xml:space="preserve">合作意愿</w:t>
      </w:r>
      <w:r>
        <w:t xml:space="preserve">：认同长期合作、共赢发展的理念</w:t>
      </w:r>
    </w:p>
    <w:bookmarkEnd w:id="142"/>
    <w:bookmarkStart w:id="143" w:name="合作伙伴分级管理"/>
    <w:p>
      <w:pPr>
        <w:pStyle w:val="4"/>
      </w:pPr>
      <w:r>
        <w:t xml:space="preserve">6.5.2 合作伙伴分级管理</w:t>
      </w:r>
    </w:p>
    <w:p>
      <w:pPr>
        <w:pStyle w:val="FirstParagraph"/>
      </w:pPr>
      <w:r>
        <w:t xml:space="preserve">建立金牌、银牌、铜牌三级合作伙伴管理体系：</w:t>
      </w:r>
    </w:p>
    <w:p>
      <w:pPr>
        <w:pStyle w:val="BodyText"/>
      </w:pPr>
      <w:r>
        <w:rPr>
          <w:bCs/>
          <w:b/>
        </w:rPr>
        <w:t xml:space="preserve">表6-3：合作伙伴分级管理体系</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等级</w:t>
            </w:r>
          </w:p>
        </w:tc>
        <w:tc>
          <w:tcPr/>
          <w:p>
            <w:pPr>
              <w:pStyle w:val="Compact"/>
              <w:jc w:val="left"/>
            </w:pPr>
            <w:r>
              <w:t xml:space="preserve">技术能力要求</w:t>
            </w:r>
          </w:p>
        </w:tc>
        <w:tc>
          <w:tcPr/>
          <w:p>
            <w:pPr>
              <w:pStyle w:val="Compact"/>
              <w:jc w:val="left"/>
            </w:pPr>
            <w:r>
              <w:t xml:space="preserve">年项目能力</w:t>
            </w:r>
          </w:p>
        </w:tc>
        <w:tc>
          <w:tcPr/>
          <w:p>
            <w:pPr>
              <w:pStyle w:val="Compact"/>
              <w:jc w:val="left"/>
            </w:pPr>
            <w:r>
              <w:t xml:space="preserve">支持政策</w:t>
            </w:r>
          </w:p>
        </w:tc>
        <w:tc>
          <w:tcPr/>
          <w:p>
            <w:pPr>
              <w:pStyle w:val="Compact"/>
              <w:jc w:val="left"/>
            </w:pPr>
            <w:r>
              <w:t xml:space="preserve">利润分成</w:t>
            </w:r>
          </w:p>
        </w:tc>
      </w:tr>
      <w:tr>
        <w:tc>
          <w:tcPr/>
          <w:p>
            <w:pPr>
              <w:pStyle w:val="Compact"/>
              <w:jc w:val="left"/>
            </w:pPr>
            <w:r>
              <w:t xml:space="preserve">金牌</w:t>
            </w:r>
          </w:p>
        </w:tc>
        <w:tc>
          <w:tcPr/>
          <w:p>
            <w:pPr>
              <w:pStyle w:val="Compact"/>
              <w:jc w:val="left"/>
            </w:pPr>
            <w:r>
              <w:t xml:space="preserve">自有研发团队</w:t>
            </w:r>
          </w:p>
        </w:tc>
        <w:tc>
          <w:tcPr/>
          <w:p>
            <w:pPr>
              <w:pStyle w:val="Compact"/>
              <w:jc w:val="left"/>
            </w:pPr>
            <w:r>
              <w:t xml:space="preserve">10个以上</w:t>
            </w:r>
          </w:p>
        </w:tc>
        <w:tc>
          <w:tcPr/>
          <w:p>
            <w:pPr>
              <w:pStyle w:val="Compact"/>
              <w:jc w:val="left"/>
            </w:pPr>
            <w:r>
              <w:t xml:space="preserve">全方位支持</w:t>
            </w:r>
          </w:p>
        </w:tc>
        <w:tc>
          <w:tcPr/>
          <w:p>
            <w:pPr>
              <w:pStyle w:val="Compact"/>
              <w:jc w:val="left"/>
            </w:pPr>
            <w:r>
              <w:t xml:space="preserve">优惠供货价+项目分成</w:t>
            </w:r>
          </w:p>
        </w:tc>
      </w:tr>
      <w:tr>
        <w:tc>
          <w:tcPr/>
          <w:p>
            <w:pPr>
              <w:pStyle w:val="Compact"/>
              <w:jc w:val="left"/>
            </w:pPr>
            <w:r>
              <w:t xml:space="preserve">银牌</w:t>
            </w:r>
          </w:p>
        </w:tc>
        <w:tc>
          <w:tcPr/>
          <w:p>
            <w:pPr>
              <w:pStyle w:val="Compact"/>
              <w:jc w:val="left"/>
            </w:pPr>
            <w:r>
              <w:t xml:space="preserve">技术实施团队</w:t>
            </w:r>
          </w:p>
        </w:tc>
        <w:tc>
          <w:tcPr/>
          <w:p>
            <w:pPr>
              <w:pStyle w:val="Compact"/>
              <w:jc w:val="left"/>
            </w:pPr>
            <w:r>
              <w:t xml:space="preserve">5-10个</w:t>
            </w:r>
          </w:p>
        </w:tc>
        <w:tc>
          <w:tcPr/>
          <w:p>
            <w:pPr>
              <w:pStyle w:val="Compact"/>
              <w:jc w:val="left"/>
            </w:pPr>
            <w:r>
              <w:t xml:space="preserve">重点支持</w:t>
            </w:r>
          </w:p>
        </w:tc>
        <w:tc>
          <w:tcPr/>
          <w:p>
            <w:pPr>
              <w:pStyle w:val="Compact"/>
              <w:jc w:val="left"/>
            </w:pPr>
            <w:r>
              <w:t xml:space="preserve">优惠供货价</w:t>
            </w:r>
          </w:p>
        </w:tc>
      </w:tr>
      <w:tr>
        <w:tc>
          <w:tcPr/>
          <w:p>
            <w:pPr>
              <w:pStyle w:val="Compact"/>
              <w:jc w:val="left"/>
            </w:pPr>
            <w:r>
              <w:t xml:space="preserve">铜牌</w:t>
            </w:r>
          </w:p>
        </w:tc>
        <w:tc>
          <w:tcPr/>
          <w:p>
            <w:pPr>
              <w:pStyle w:val="Compact"/>
              <w:jc w:val="left"/>
            </w:pPr>
            <w:r>
              <w:t xml:space="preserve">基础技术能力</w:t>
            </w:r>
          </w:p>
        </w:tc>
        <w:tc>
          <w:tcPr/>
          <w:p>
            <w:pPr>
              <w:pStyle w:val="Compact"/>
              <w:jc w:val="left"/>
            </w:pPr>
            <w:r>
              <w:t xml:space="preserve">1-5个</w:t>
            </w:r>
          </w:p>
        </w:tc>
        <w:tc>
          <w:tcPr/>
          <w:p>
            <w:pPr>
              <w:pStyle w:val="Compact"/>
              <w:jc w:val="left"/>
            </w:pPr>
            <w:r>
              <w:t xml:space="preserve">基础支持</w:t>
            </w:r>
          </w:p>
        </w:tc>
        <w:tc>
          <w:tcPr/>
          <w:p>
            <w:pPr>
              <w:pStyle w:val="Compact"/>
              <w:jc w:val="left"/>
            </w:pPr>
            <w:r>
              <w:t xml:space="preserve">标准供货价</w:t>
            </w:r>
          </w:p>
        </w:tc>
      </w:tr>
    </w:tbl>
    <w:bookmarkEnd w:id="143"/>
    <w:bookmarkStart w:id="144" w:name="合作模式设计"/>
    <w:p>
      <w:pPr>
        <w:pStyle w:val="4"/>
      </w:pPr>
      <w:r>
        <w:t xml:space="preserve">6.5.3 合作模式设计</w:t>
      </w:r>
    </w:p>
    <w:p>
      <w:pPr>
        <w:numPr>
          <w:ilvl w:val="0"/>
          <w:numId w:val="1021"/>
        </w:numPr>
        <w:pStyle w:val="Compact"/>
      </w:pPr>
      <w:r>
        <w:rPr>
          <w:bCs/>
          <w:b/>
        </w:rPr>
        <w:t xml:space="preserve">设备供应模式</w:t>
      </w:r>
      <w:r>
        <w:t xml:space="preserve">：合作伙伴采购设备，自主实施项目</w:t>
      </w:r>
    </w:p>
    <w:p>
      <w:pPr>
        <w:numPr>
          <w:ilvl w:val="0"/>
          <w:numId w:val="1021"/>
        </w:numPr>
        <w:pStyle w:val="Compact"/>
      </w:pPr>
      <w:r>
        <w:rPr>
          <w:bCs/>
          <w:b/>
        </w:rPr>
        <w:t xml:space="preserve">技术合作模式</w:t>
      </w:r>
      <w:r>
        <w:t xml:space="preserve">：HSM提供技术方案，合作伙伴负责实施</w:t>
      </w:r>
    </w:p>
    <w:p>
      <w:pPr>
        <w:numPr>
          <w:ilvl w:val="0"/>
          <w:numId w:val="1021"/>
        </w:numPr>
        <w:pStyle w:val="Compact"/>
      </w:pPr>
      <w:r>
        <w:rPr>
          <w:bCs/>
          <w:b/>
        </w:rPr>
        <w:t xml:space="preserve">联合投标模式</w:t>
      </w:r>
      <w:r>
        <w:t xml:space="preserve">：双方联合投标大型项目，分工协作</w:t>
      </w:r>
    </w:p>
    <w:p>
      <w:pPr>
        <w:numPr>
          <w:ilvl w:val="0"/>
          <w:numId w:val="1021"/>
        </w:numPr>
        <w:pStyle w:val="Compact"/>
      </w:pPr>
      <w:r>
        <w:rPr>
          <w:bCs/>
          <w:b/>
        </w:rPr>
        <w:t xml:space="preserve">服务分包模式</w:t>
      </w:r>
      <w:r>
        <w:t xml:space="preserve">：HSM承接项目，将部分服务分包给合作伙伴</w:t>
      </w:r>
    </w:p>
    <w:bookmarkEnd w:id="144"/>
    <w:bookmarkEnd w:id="145"/>
    <w:bookmarkStart w:id="149" w:name="市场拓展策略与实施路径"/>
    <w:p>
      <w:pPr>
        <w:pStyle w:val="3"/>
      </w:pPr>
      <w:r>
        <w:t xml:space="preserve">6.6 市场拓展策略与实施路径</w:t>
      </w:r>
    </w:p>
    <w:bookmarkStart w:id="146" w:name="重点市场选择"/>
    <w:p>
      <w:pPr>
        <w:pStyle w:val="4"/>
      </w:pPr>
      <w:r>
        <w:t xml:space="preserve">6.6.1 重点市场选择</w:t>
      </w:r>
    </w:p>
    <w:p>
      <w:pPr>
        <w:pStyle w:val="FirstParagraph"/>
      </w:pPr>
      <w:r>
        <w:t xml:space="preserve">基于市场分析和竞争优势，HSM应聚焦以下重点市场：</w:t>
      </w:r>
    </w:p>
    <w:p>
      <w:pPr>
        <w:numPr>
          <w:ilvl w:val="0"/>
          <w:numId w:val="1022"/>
        </w:numPr>
        <w:pStyle w:val="Compact"/>
      </w:pPr>
      <w:r>
        <w:rPr>
          <w:bCs/>
          <w:b/>
        </w:rPr>
        <w:t xml:space="preserve">桥梁监测市场</w:t>
      </w:r>
      <w:r>
        <w:t xml:space="preserve">：政策驱动明显，市场需求稳定</w:t>
      </w:r>
    </w:p>
    <w:p>
      <w:pPr>
        <w:numPr>
          <w:ilvl w:val="0"/>
          <w:numId w:val="1022"/>
        </w:numPr>
        <w:pStyle w:val="Compact"/>
      </w:pPr>
      <w:r>
        <w:rPr>
          <w:bCs/>
          <w:b/>
        </w:rPr>
        <w:t xml:space="preserve">隧道监测市场</w:t>
      </w:r>
      <w:r>
        <w:t xml:space="preserve">：新建项目多，技术替代空间大</w:t>
      </w:r>
    </w:p>
    <w:p>
      <w:pPr>
        <w:numPr>
          <w:ilvl w:val="0"/>
          <w:numId w:val="1022"/>
        </w:numPr>
        <w:pStyle w:val="Compact"/>
      </w:pPr>
      <w:r>
        <w:rPr>
          <w:bCs/>
          <w:b/>
        </w:rPr>
        <w:t xml:space="preserve">边坡监测市场</w:t>
      </w:r>
      <w:r>
        <w:t xml:space="preserve">：安全监管趋严，市场需求增长快</w:t>
      </w:r>
    </w:p>
    <w:p>
      <w:pPr>
        <w:numPr>
          <w:ilvl w:val="0"/>
          <w:numId w:val="1022"/>
        </w:numPr>
        <w:pStyle w:val="Compact"/>
      </w:pPr>
      <w:r>
        <w:rPr>
          <w:bCs/>
          <w:b/>
        </w:rPr>
        <w:t xml:space="preserve">城市生命线监测</w:t>
      </w:r>
      <w:r>
        <w:t xml:space="preserve">：智慧城市建设推动，市场潜力大</w:t>
      </w:r>
    </w:p>
    <w:bookmarkEnd w:id="146"/>
    <w:bookmarkStart w:id="147" w:name="市场进入策略"/>
    <w:p>
      <w:pPr>
        <w:pStyle w:val="4"/>
      </w:pPr>
      <w:r>
        <w:t xml:space="preserve">6.6.2 市场进入策略</w:t>
      </w:r>
    </w:p>
    <w:p>
      <w:pPr>
        <w:numPr>
          <w:ilvl w:val="0"/>
          <w:numId w:val="1023"/>
        </w:numPr>
        <w:pStyle w:val="Compact"/>
      </w:pPr>
      <w:r>
        <w:rPr>
          <w:bCs/>
          <w:b/>
        </w:rPr>
        <w:t xml:space="preserve">示范项目先行</w:t>
      </w:r>
      <w:r>
        <w:t xml:space="preserve">：在重点区域建设示范项目，树立行业标杆</w:t>
      </w:r>
    </w:p>
    <w:p>
      <w:pPr>
        <w:numPr>
          <w:ilvl w:val="0"/>
          <w:numId w:val="1023"/>
        </w:numPr>
        <w:pStyle w:val="Compact"/>
      </w:pPr>
      <w:r>
        <w:rPr>
          <w:bCs/>
          <w:b/>
        </w:rPr>
        <w:t xml:space="preserve">标准参与推动</w:t>
      </w:r>
      <w:r>
        <w:t xml:space="preserve">：参与行业标准制定，提升行业影响力</w:t>
      </w:r>
    </w:p>
    <w:p>
      <w:pPr>
        <w:numPr>
          <w:ilvl w:val="0"/>
          <w:numId w:val="1023"/>
        </w:numPr>
        <w:pStyle w:val="Compact"/>
      </w:pPr>
      <w:r>
        <w:rPr>
          <w:bCs/>
          <w:b/>
        </w:rPr>
        <w:t xml:space="preserve">政策对接跟进</w:t>
      </w:r>
      <w:r>
        <w:t xml:space="preserve">：密切关注政策动向，及时调整市场策略</w:t>
      </w:r>
    </w:p>
    <w:p>
      <w:pPr>
        <w:numPr>
          <w:ilvl w:val="0"/>
          <w:numId w:val="1023"/>
        </w:numPr>
        <w:pStyle w:val="Compact"/>
      </w:pPr>
      <w:r>
        <w:rPr>
          <w:bCs/>
          <w:b/>
        </w:rPr>
        <w:t xml:space="preserve">生态合作拓展</w:t>
      </w:r>
      <w:r>
        <w:t xml:space="preserve">：与设计院、施工单位、运营单位等建立合作关系</w:t>
      </w:r>
    </w:p>
    <w:bookmarkEnd w:id="147"/>
    <w:bookmarkStart w:id="148" w:name="实施时间规划"/>
    <w:p>
      <w:pPr>
        <w:pStyle w:val="4"/>
      </w:pPr>
      <w:r>
        <w:t xml:space="preserve">6.6.3 实施时间规划</w:t>
      </w:r>
    </w:p>
    <w:p>
      <w:pPr>
        <w:pStyle w:val="FirstParagraph"/>
      </w:pPr>
      <w:r>
        <w:rPr>
          <w:bCs/>
          <w:b/>
        </w:rPr>
        <w:t xml:space="preserve">第一阶段（2026年）</w:t>
      </w:r>
      <w:r>
        <w:t xml:space="preserve">：市场基础建设期</w:t>
      </w:r>
      <w:r>
        <w:t xml:space="preserve"> </w:t>
      </w:r>
      <w:r>
        <w:t xml:space="preserve">- Q1-Q2：重点区域示范项目建设</w:t>
      </w:r>
      <w:r>
        <w:t xml:space="preserve"> </w:t>
      </w:r>
      <w:r>
        <w:t xml:space="preserve">- Q3-Q4：合作伙伴体系初步建立</w:t>
      </w:r>
    </w:p>
    <w:p>
      <w:pPr>
        <w:pStyle w:val="BodyText"/>
      </w:pPr>
      <w:r>
        <w:rPr>
          <w:bCs/>
          <w:b/>
        </w:rPr>
        <w:t xml:space="preserve">第二阶段（2027年）</w:t>
      </w:r>
      <w:r>
        <w:t xml:space="preserve">：市场快速拓展期</w:t>
      </w:r>
      <w:r>
        <w:t xml:space="preserve"> </w:t>
      </w:r>
      <w:r>
        <w:t xml:space="preserve">- 市场覆盖率提升至30%</w:t>
      </w:r>
      <w:r>
        <w:t xml:space="preserve"> </w:t>
      </w:r>
      <w:r>
        <w:t xml:space="preserve">- 合作伙伴数量翻倍</w:t>
      </w:r>
    </w:p>
    <w:p>
      <w:pPr>
        <w:pStyle w:val="BodyText"/>
      </w:pPr>
      <w:r>
        <w:rPr>
          <w:bCs/>
          <w:b/>
        </w:rPr>
        <w:t xml:space="preserve">第三阶段（2028年）</w:t>
      </w:r>
      <w:r>
        <w:t xml:space="preserve">：市场领先地位巩固期</w:t>
      </w:r>
      <w:r>
        <w:t xml:space="preserve"> </w:t>
      </w:r>
      <w:r>
        <w:t xml:space="preserve">- 在重点细分市场占有率超过20%</w:t>
      </w:r>
      <w:r>
        <w:t xml:space="preserve"> </w:t>
      </w:r>
      <w:r>
        <w:t xml:space="preserve">- 建立完善的生态合作体系</w:t>
      </w:r>
    </w:p>
    <w:bookmarkEnd w:id="148"/>
    <w:bookmarkEnd w:id="149"/>
    <w:bookmarkStart w:id="152" w:name="风险分析与应对措施"/>
    <w:p>
      <w:pPr>
        <w:pStyle w:val="3"/>
      </w:pPr>
      <w:r>
        <w:t xml:space="preserve">6.7 风险分析与应对措施</w:t>
      </w:r>
    </w:p>
    <w:bookmarkStart w:id="150" w:name="主要风险识别"/>
    <w:p>
      <w:pPr>
        <w:pStyle w:val="4"/>
      </w:pPr>
      <w:r>
        <w:t xml:space="preserve">6.7.1 主要风险识别</w:t>
      </w:r>
    </w:p>
    <w:p>
      <w:pPr>
        <w:numPr>
          <w:ilvl w:val="0"/>
          <w:numId w:val="1024"/>
        </w:numPr>
        <w:pStyle w:val="Compact"/>
      </w:pPr>
      <w:r>
        <w:rPr>
          <w:bCs/>
          <w:b/>
        </w:rPr>
        <w:t xml:space="preserve">技术风险</w:t>
      </w:r>
      <w:r>
        <w:t xml:space="preserve">：新技术迭代速度快，现有技术可能被替代</w:t>
      </w:r>
    </w:p>
    <w:p>
      <w:pPr>
        <w:numPr>
          <w:ilvl w:val="0"/>
          <w:numId w:val="1024"/>
        </w:numPr>
        <w:pStyle w:val="Compact"/>
      </w:pPr>
      <w:r>
        <w:rPr>
          <w:bCs/>
          <w:b/>
        </w:rPr>
        <w:t xml:space="preserve">市场风险</w:t>
      </w:r>
      <w:r>
        <w:t xml:space="preserve">：市场竞争加剧，价格压力增大</w:t>
      </w:r>
    </w:p>
    <w:p>
      <w:pPr>
        <w:numPr>
          <w:ilvl w:val="0"/>
          <w:numId w:val="1024"/>
        </w:numPr>
        <w:pStyle w:val="Compact"/>
      </w:pPr>
      <w:r>
        <w:rPr>
          <w:bCs/>
          <w:b/>
        </w:rPr>
        <w:t xml:space="preserve">政策风险</w:t>
      </w:r>
      <w:r>
        <w:t xml:space="preserve">：政策变化可能影响市场需求</w:t>
      </w:r>
    </w:p>
    <w:p>
      <w:pPr>
        <w:numPr>
          <w:ilvl w:val="0"/>
          <w:numId w:val="1024"/>
        </w:numPr>
        <w:pStyle w:val="Compact"/>
      </w:pPr>
      <w:r>
        <w:rPr>
          <w:bCs/>
          <w:b/>
        </w:rPr>
        <w:t xml:space="preserve">合作风险</w:t>
      </w:r>
      <w:r>
        <w:t xml:space="preserve">：合作伙伴管理难度大，可能产生纠纷</w:t>
      </w:r>
    </w:p>
    <w:bookmarkEnd w:id="150"/>
    <w:bookmarkStart w:id="151" w:name="风险应对措施"/>
    <w:p>
      <w:pPr>
        <w:pStyle w:val="4"/>
      </w:pPr>
      <w:r>
        <w:t xml:space="preserve">6.7.2 风险应对措施</w:t>
      </w:r>
    </w:p>
    <w:p>
      <w:pPr>
        <w:numPr>
          <w:ilvl w:val="0"/>
          <w:numId w:val="1025"/>
        </w:numPr>
        <w:pStyle w:val="Compact"/>
      </w:pPr>
      <w:r>
        <w:rPr>
          <w:bCs/>
          <w:b/>
        </w:rPr>
        <w:t xml:space="preserve">技术风险应对</w:t>
      </w:r>
      <w:r>
        <w:t xml:space="preserve">：持续加大研发投入，保持技术领先；建立技术储备机制</w:t>
      </w:r>
    </w:p>
    <w:p>
      <w:pPr>
        <w:numPr>
          <w:ilvl w:val="0"/>
          <w:numId w:val="1025"/>
        </w:numPr>
        <w:pStyle w:val="Compact"/>
      </w:pPr>
      <w:r>
        <w:rPr>
          <w:bCs/>
          <w:b/>
        </w:rPr>
        <w:t xml:space="preserve">市场风险应对</w:t>
      </w:r>
      <w:r>
        <w:t xml:space="preserve">：差异化竞争，避免价格战；拓展多元化市场</w:t>
      </w:r>
    </w:p>
    <w:p>
      <w:pPr>
        <w:numPr>
          <w:ilvl w:val="0"/>
          <w:numId w:val="1025"/>
        </w:numPr>
        <w:pStyle w:val="Compact"/>
      </w:pPr>
      <w:r>
        <w:rPr>
          <w:bCs/>
          <w:b/>
        </w:rPr>
        <w:t xml:space="preserve">政策风险应对</w:t>
      </w:r>
      <w:r>
        <w:t xml:space="preserve">：密切关注政策动向，及时调整策略；参与政策制定</w:t>
      </w:r>
    </w:p>
    <w:p>
      <w:pPr>
        <w:numPr>
          <w:ilvl w:val="0"/>
          <w:numId w:val="1025"/>
        </w:numPr>
        <w:pStyle w:val="Compact"/>
      </w:pPr>
      <w:r>
        <w:rPr>
          <w:bCs/>
          <w:b/>
        </w:rPr>
        <w:t xml:space="preserve">合作风险应对</w:t>
      </w:r>
      <w:r>
        <w:t xml:space="preserve">：建立规范的合作伙伴管理制度；加强沟通和协调</w:t>
      </w:r>
    </w:p>
    <w:p>
      <w:r>
        <w:pict>
          <v:rect style="width:0;height:1.5pt" o:hralign="center" o:hrstd="t" o:hr="t"/>
        </w:pict>
      </w:r>
    </w:p>
    <w:p>
      <w:pPr>
        <w:pStyle w:val="FirstParagraph"/>
      </w:pPr>
      <w:r>
        <w:rPr>
          <w:bCs/>
          <w:b/>
        </w:rPr>
        <w:t xml:space="preserve">本章小结</w:t>
      </w:r>
      <w:r>
        <w:t xml:space="preserve">：本章通过深入分析国内基础设施安全监测市场规模、竞争格局、视频跟踪仪应用前景，结合HSM的成本优势和产品优势，提出了商业模式优化策略和长期战略合作伙伴关系构建方案。分析表明，视频跟踪仪在基础设施安全监测领域具有广阔的市场前景和显著的成本优势，通过标准化产品、服务模式创新和生态合作，HSM可以建立可持续的竞争优势，实现从设备供应商向解决方案提供商的战略转型。</w:t>
      </w:r>
    </w:p>
    <w:bookmarkEnd w:id="151"/>
    <w:bookmarkEnd w:id="152"/>
    <w:bookmarkEnd w:id="153"/>
    <w:bookmarkStart w:id="168" w:name="第七章-结论与建议"/>
    <w:p>
      <w:pPr>
        <w:pStyle w:val="2"/>
      </w:pPr>
      <w:r>
        <w:t xml:space="preserve">第七章 结论与建议</w:t>
      </w:r>
    </w:p>
    <w:bookmarkStart w:id="154" w:name="主要研究结论"/>
    <w:p>
      <w:pPr>
        <w:pStyle w:val="3"/>
      </w:pPr>
      <w:r>
        <w:t xml:space="preserve">7.1 主要研究结论</w:t>
      </w:r>
    </w:p>
    <w:p>
      <w:pPr>
        <w:pStyle w:val="FirstParagraph"/>
      </w:pPr>
      <w:r>
        <w:t xml:space="preserve">本研究通过对HSM公司战略转型案例的深入分析，在企业战略转型理论层面做出了重要贡献，具有显著的实践价值，并通过案例研究发现了重要规律和特点。</w:t>
      </w:r>
    </w:p>
    <w:p>
      <w:pPr>
        <w:pStyle w:val="BodyText"/>
      </w:pPr>
      <w:r>
        <w:rPr>
          <w:bCs/>
          <w:b/>
        </w:rPr>
        <w:t xml:space="preserve">理论贡献</w:t>
      </w:r>
      <w:r>
        <w:t xml:space="preserve">方面：</w:t>
      </w:r>
      <w:r>
        <w:rPr>
          <w:bCs/>
          <w:b/>
        </w:rPr>
        <w:t xml:space="preserve">丰富了科技型企业转型理论体系</w:t>
      </w:r>
      <w:r>
        <w:t xml:space="preserve">（</w:t>
      </w:r>
      <w:r>
        <w:rPr>
          <w:bCs/>
          <w:b/>
        </w:rPr>
        <w:t xml:space="preserve">技术驱动型转型模式</w:t>
      </w:r>
      <w:r>
        <w:t xml:space="preserve">：提出了以核心技术突破为驱动力的企业转型路径，构建了”技术创新→产品升级→市场拓展→组织变革”的四阶段转型模型，验证了技术壁垒在企业战略转型中的关键作用；</w:t>
      </w:r>
      <w:r>
        <w:rPr>
          <w:bCs/>
          <w:b/>
        </w:rPr>
        <w:t xml:space="preserve">硬科技企业转型特殊性</w:t>
      </w:r>
      <w:r>
        <w:t xml:space="preserve">：揭示了硬科技企业在战略转型中的独特挑战和机遇，分析了高技术门槛、长研发周期、高资金投入对转型的影响，提出了硬科技企业转型的成功要素和关键路径）；</w:t>
      </w:r>
      <w:r>
        <w:rPr>
          <w:bCs/>
          <w:b/>
        </w:rPr>
        <w:t xml:space="preserve">完善了转型评价体系</w:t>
      </w:r>
      <w:r>
        <w:t xml:space="preserve">（</w:t>
      </w:r>
      <w:r>
        <w:rPr>
          <w:bCs/>
          <w:b/>
        </w:rPr>
        <w:t xml:space="preserve">多维度评价框架</w:t>
      </w:r>
      <w:r>
        <w:t xml:space="preserve">：构建了涵盖财务、市场、技术、组织、可持续发展的五维评价体系，提出了定量与定性相结合的综合评价方法，建立了科技型企业转型成效的评估标准；</w:t>
      </w:r>
      <w:r>
        <w:rPr>
          <w:bCs/>
          <w:b/>
        </w:rPr>
        <w:t xml:space="preserve">动态评价机制</w:t>
      </w:r>
      <w:r>
        <w:t xml:space="preserve">：强调转型过程中的阶段性评估和动态调整，提出了转型成效的时间序列分析方法，建立了转型风险的预警和管控机制）。</w:t>
      </w:r>
    </w:p>
    <w:p>
      <w:pPr>
        <w:pStyle w:val="BodyText"/>
      </w:pPr>
      <w:r>
        <w:rPr>
          <w:bCs/>
          <w:b/>
        </w:rPr>
        <w:t xml:space="preserve">实践价值</w:t>
      </w:r>
      <w:r>
        <w:t xml:space="preserve">主要体现在为科技型企业战略转型提供了可借鉴的经验和可操作的方案：</w:t>
      </w:r>
      <w:r>
        <w:rPr>
          <w:bCs/>
          <w:b/>
        </w:rPr>
        <w:t xml:space="preserve">为同类企业提供转型参考</w:t>
      </w:r>
      <w:r>
        <w:t xml:space="preserve">（</w:t>
      </w:r>
      <w:r>
        <w:rPr>
          <w:bCs/>
          <w:b/>
        </w:rPr>
        <w:t xml:space="preserve">转型路径选择</w:t>
      </w:r>
      <w:r>
        <w:t xml:space="preserve">：技术驱动型转型的可行性和有效性得到验证，为面临技术升级压力的企业提供了具体实施方案，明确了转型过程中的关键决策节点和时序安排；</w:t>
      </w:r>
      <w:r>
        <w:rPr>
          <w:bCs/>
          <w:b/>
        </w:rPr>
        <w:t xml:space="preserve">资源配置优化</w:t>
      </w:r>
      <w:r>
        <w:t xml:space="preserve">：提供了科技型企业资源投入的合理配置方案，明确了研发、市场、组织各要素的投入比例和时序，建立了转型效果与资源投入的匹配模型）；</w:t>
      </w:r>
      <w:r>
        <w:rPr>
          <w:bCs/>
          <w:b/>
        </w:rPr>
        <w:t xml:space="preserve">为政策制定提供决策依据</w:t>
      </w:r>
      <w:r>
        <w:t xml:space="preserve">（</w:t>
      </w:r>
      <w:r>
        <w:rPr>
          <w:bCs/>
          <w:b/>
        </w:rPr>
        <w:t xml:space="preserve">产业政策支持</w:t>
      </w:r>
      <w:r>
        <w:t xml:space="preserve">：明确了政府在企业战略转型中的支持重点，提出了针对硬科技企业的差异化政策措施，建立了政策效果的评价指标体系；</w:t>
      </w:r>
      <w:r>
        <w:rPr>
          <w:bCs/>
          <w:b/>
        </w:rPr>
        <w:t xml:space="preserve">创新生态建设</w:t>
      </w:r>
      <w:r>
        <w:t xml:space="preserve">：强调了产学研协同在企业转型中的重要作用，提出了构建技术创新生态的具体路径，明确了各主体在转型生态中的角色定位）。</w:t>
      </w:r>
    </w:p>
    <w:p>
      <w:pPr>
        <w:pStyle w:val="BodyText"/>
      </w:pPr>
      <w:r>
        <w:rPr>
          <w:bCs/>
          <w:b/>
        </w:rPr>
        <w:t xml:space="preserve">案例研究发现</w:t>
      </w:r>
      <w:r>
        <w:t xml:space="preserve">了以下重要规律和特点：</w:t>
      </w:r>
      <w:r>
        <w:rPr>
          <w:bCs/>
          <w:b/>
        </w:rPr>
        <w:t xml:space="preserve">转型成功的关键要素</w:t>
      </w:r>
      <w:r>
        <w:t xml:space="preserve">（</w:t>
      </w:r>
      <w:r>
        <w:rPr>
          <w:bCs/>
          <w:b/>
        </w:rPr>
        <w:t xml:space="preserve">技术创新是核心驱动力</w:t>
      </w:r>
      <w:r>
        <w:t xml:space="preserve">：第三代DIC技术突破是HSM转型成功的技术基础，技术领先优势直接转化为市场竞争优势，持续的技术创新确保了转型的可持续性；</w:t>
      </w:r>
      <w:r>
        <w:rPr>
          <w:bCs/>
          <w:b/>
        </w:rPr>
        <w:t xml:space="preserve">市场导向是重要保障</w:t>
      </w:r>
      <w:r>
        <w:t xml:space="preserve">：从科研市场向工业市场的战略调整为转型成功提供了市场基础，客户需求的深入理解指导了产品和服务的设计，标准化产品战略降低了市场风险和运营成本；</w:t>
      </w:r>
      <w:r>
        <w:rPr>
          <w:bCs/>
          <w:b/>
        </w:rPr>
        <w:t xml:space="preserve">组织能力匹配是必要条件</w:t>
      </w:r>
      <w:r>
        <w:t xml:space="preserve">：组织架构的及时调整支撑了业务发展战略，人才队伍的建设保障了技术创新需求，文化变革促进了员工对转型的接受和支持）。</w:t>
      </w:r>
      <w:r>
        <w:rPr>
          <w:bCs/>
          <w:b/>
        </w:rPr>
        <w:t xml:space="preserve">转型过程中的主要挑战</w:t>
      </w:r>
      <w:r>
        <w:t xml:space="preserve">（</w:t>
      </w:r>
      <w:r>
        <w:rPr>
          <w:bCs/>
          <w:b/>
        </w:rPr>
        <w:t xml:space="preserve">资源约束挑战</w:t>
      </w:r>
      <w:r>
        <w:t xml:space="preserve">：转型过程中面临资金、人才、技术等多重资源约束，需要在短期生存和长期发展之间找到平衡点，资源配置的优先级排序影响转型效果；</w:t>
      </w:r>
      <w:r>
        <w:rPr>
          <w:bCs/>
          <w:b/>
        </w:rPr>
        <w:t xml:space="preserve">变革管理挑战</w:t>
      </w:r>
      <w:r>
        <w:t xml:space="preserve">：员工对变革的抵触情绪需要有效化解，新旧体系的融合需要时间和耐心，变革过程中的不确定性增加了管理难度；</w:t>
      </w:r>
      <w:r>
        <w:rPr>
          <w:bCs/>
          <w:b/>
        </w:rPr>
        <w:t xml:space="preserve">市场适应挑战</w:t>
      </w:r>
      <w:r>
        <w:t xml:space="preserve">：市场需求的快速变化要求企业具备高度的适应性，竞争对手的反应增加了市场风险，客户对新产品的接受需要时间和验证）。</w:t>
      </w:r>
    </w:p>
    <w:bookmarkEnd w:id="154"/>
    <w:bookmarkStart w:id="158" w:name="管理启示"/>
    <w:p>
      <w:pPr>
        <w:pStyle w:val="3"/>
      </w:pPr>
      <w:r>
        <w:t xml:space="preserve">7.2 管理启示</w:t>
      </w:r>
    </w:p>
    <w:bookmarkStart w:id="155" w:name="战略层面启示"/>
    <w:p>
      <w:pPr>
        <w:pStyle w:val="4"/>
      </w:pPr>
      <w:r>
        <w:t xml:space="preserve">7.2.1 战略层面启示</w:t>
      </w:r>
    </w:p>
    <w:p>
      <w:pPr>
        <w:pStyle w:val="FirstParagraph"/>
      </w:pPr>
      <w:r>
        <w:t xml:space="preserve">基于HSM战略转型的成功经验，为科技型企业的战略制定提供了重要启示：</w:t>
      </w:r>
    </w:p>
    <w:p>
      <w:pPr>
        <w:pStyle w:val="BodyText"/>
      </w:pPr>
      <w:r>
        <w:rPr>
          <w:bCs/>
          <w:b/>
        </w:rPr>
        <w:t xml:space="preserve">坚持技术创新驱动</w:t>
      </w:r>
      <w:r>
        <w:t xml:space="preserve">：</w:t>
      </w:r>
      <w:r>
        <w:t xml:space="preserve"> </w:t>
      </w:r>
      <w:r>
        <w:t xml:space="preserve">1.</w:t>
      </w:r>
      <w:r>
        <w:t xml:space="preserve"> </w:t>
      </w:r>
      <w:r>
        <w:rPr>
          <w:bCs/>
          <w:b/>
        </w:rPr>
        <w:t xml:space="preserve">核心技术自主可控</w:t>
      </w:r>
      <w:r>
        <w:t xml:space="preserve">：</w:t>
      </w:r>
      <w:r>
        <w:t xml:space="preserve"> </w:t>
      </w:r>
      <w:r>
        <w:t xml:space="preserve">- 必须掌握核心关键技术，避免对外部技术的依赖</w:t>
      </w:r>
      <w:r>
        <w:t xml:space="preserve"> </w:t>
      </w:r>
      <w:r>
        <w:t xml:space="preserve">- 建立完整的技术创新体系，包括基础研究、应用研究、产品开发</w:t>
      </w:r>
      <w:r>
        <w:t xml:space="preserve"> </w:t>
      </w:r>
      <w:r>
        <w:t xml:space="preserve">- 构建技术壁垒，形成难以模仿的竞争优势</w:t>
      </w:r>
    </w:p>
    <w:p>
      <w:pPr>
        <w:numPr>
          <w:ilvl w:val="0"/>
          <w:numId w:val="1026"/>
        </w:numPr>
        <w:pStyle w:val="Compact"/>
      </w:pPr>
      <w:r>
        <w:rPr>
          <w:bCs/>
          <w:b/>
        </w:rPr>
        <w:t xml:space="preserve">持续投入研发创新</w:t>
      </w:r>
      <w:r>
        <w:t xml:space="preserve">：</w:t>
      </w:r>
    </w:p>
    <w:p>
      <w:pPr>
        <w:numPr>
          <w:ilvl w:val="1"/>
          <w:numId w:val="1027"/>
        </w:numPr>
        <w:pStyle w:val="Compact"/>
      </w:pPr>
      <w:r>
        <w:t xml:space="preserve">保持稳定的研发投入比例，确保技术创新的持续性</w:t>
      </w:r>
    </w:p>
    <w:p>
      <w:pPr>
        <w:numPr>
          <w:ilvl w:val="1"/>
          <w:numId w:val="1027"/>
        </w:numPr>
        <w:pStyle w:val="Compact"/>
      </w:pPr>
      <w:r>
        <w:t xml:space="preserve">建立多层次的研发体系，兼顾短期应用和长期储备</w:t>
      </w:r>
    </w:p>
    <w:p>
      <w:pPr>
        <w:numPr>
          <w:ilvl w:val="1"/>
          <w:numId w:val="1027"/>
        </w:numPr>
        <w:pStyle w:val="Compact"/>
      </w:pPr>
      <w:r>
        <w:t xml:space="preserve">完善研发激励机制，激发创新活力</w:t>
      </w:r>
    </w:p>
    <w:p>
      <w:pPr>
        <w:numPr>
          <w:ilvl w:val="0"/>
          <w:numId w:val="1026"/>
        </w:numPr>
        <w:pStyle w:val="Compact"/>
      </w:pPr>
      <w:r>
        <w:rPr>
          <w:bCs/>
          <w:b/>
        </w:rPr>
        <w:t xml:space="preserve">前瞻性技术布局</w:t>
      </w:r>
      <w:r>
        <w:t xml:space="preserve">：</w:t>
      </w:r>
    </w:p>
    <w:p>
      <w:pPr>
        <w:numPr>
          <w:ilvl w:val="1"/>
          <w:numId w:val="1028"/>
        </w:numPr>
        <w:pStyle w:val="Compact"/>
      </w:pPr>
      <w:r>
        <w:t xml:space="preserve">关注前沿技术发展趋势，提前布局未来技术</w:t>
      </w:r>
    </w:p>
    <w:p>
      <w:pPr>
        <w:numPr>
          <w:ilvl w:val="1"/>
          <w:numId w:val="1028"/>
        </w:numPr>
        <w:pStyle w:val="Compact"/>
      </w:pPr>
      <w:r>
        <w:t xml:space="preserve">建立技术情报收集和分析机制，把握技术发展方向</w:t>
      </w:r>
    </w:p>
    <w:p>
      <w:pPr>
        <w:numPr>
          <w:ilvl w:val="1"/>
          <w:numId w:val="1028"/>
        </w:numPr>
        <w:pStyle w:val="Compact"/>
      </w:pPr>
      <w:r>
        <w:t xml:space="preserve">加强与高校、研究机构的合作，获取前沿技术信息</w:t>
      </w:r>
    </w:p>
    <w:p>
      <w:pPr>
        <w:pStyle w:val="FirstParagraph"/>
      </w:pPr>
      <w:r>
        <w:rPr>
          <w:bCs/>
          <w:b/>
        </w:rPr>
        <w:t xml:space="preserve">精准市场定位策略</w:t>
      </w:r>
      <w:r>
        <w:t xml:space="preserve">：</w:t>
      </w:r>
      <w:r>
        <w:t xml:space="preserve"> </w:t>
      </w:r>
      <w:r>
        <w:t xml:space="preserve">1.</w:t>
      </w:r>
      <w:r>
        <w:t xml:space="preserve"> </w:t>
      </w:r>
      <w:r>
        <w:rPr>
          <w:bCs/>
          <w:b/>
        </w:rPr>
        <w:t xml:space="preserve">细分市场深耕</w:t>
      </w:r>
      <w:r>
        <w:t xml:space="preserve">：</w:t>
      </w:r>
      <w:r>
        <w:t xml:space="preserve"> </w:t>
      </w:r>
      <w:r>
        <w:t xml:space="preserve">- 选择符合自身优势的细分市场，避免盲目扩张</w:t>
      </w:r>
      <w:r>
        <w:t xml:space="preserve"> </w:t>
      </w:r>
      <w:r>
        <w:t xml:space="preserve">- 深入理解细分市场的客户需求和竞争格局</w:t>
      </w:r>
      <w:r>
        <w:t xml:space="preserve"> </w:t>
      </w:r>
      <w:r>
        <w:t xml:space="preserve">- 建立在细分市场的领导地位，形成专业优势</w:t>
      </w:r>
    </w:p>
    <w:p>
      <w:pPr>
        <w:numPr>
          <w:ilvl w:val="0"/>
          <w:numId w:val="1029"/>
        </w:numPr>
        <w:pStyle w:val="Compact"/>
      </w:pPr>
      <w:r>
        <w:rPr>
          <w:bCs/>
          <w:b/>
        </w:rPr>
        <w:t xml:space="preserve">标准化与定制化平衡</w:t>
      </w:r>
      <w:r>
        <w:t xml:space="preserve">：</w:t>
      </w:r>
    </w:p>
    <w:p>
      <w:pPr>
        <w:numPr>
          <w:ilvl w:val="1"/>
          <w:numId w:val="1030"/>
        </w:numPr>
        <w:pStyle w:val="Compact"/>
      </w:pPr>
      <w:r>
        <w:t xml:space="preserve">推进产品标准化，降低成本和提高效率</w:t>
      </w:r>
    </w:p>
    <w:p>
      <w:pPr>
        <w:numPr>
          <w:ilvl w:val="1"/>
          <w:numId w:val="1030"/>
        </w:numPr>
        <w:pStyle w:val="Compact"/>
      </w:pPr>
      <w:r>
        <w:t xml:space="preserve">保留必要的定制化能力，满足特殊客户需求</w:t>
      </w:r>
    </w:p>
    <w:p>
      <w:pPr>
        <w:numPr>
          <w:ilvl w:val="1"/>
          <w:numId w:val="1030"/>
        </w:numPr>
        <w:pStyle w:val="Compact"/>
      </w:pPr>
      <w:r>
        <w:t xml:space="preserve">建立模块化的产品架构，平衡标准化和灵活性</w:t>
      </w:r>
    </w:p>
    <w:p>
      <w:pPr>
        <w:numPr>
          <w:ilvl w:val="0"/>
          <w:numId w:val="1029"/>
        </w:numPr>
        <w:pStyle w:val="Compact"/>
      </w:pPr>
      <w:r>
        <w:rPr>
          <w:bCs/>
          <w:b/>
        </w:rPr>
        <w:t xml:space="preserve">客户关系深度经营</w:t>
      </w:r>
      <w:r>
        <w:t xml:space="preserve">：</w:t>
      </w:r>
    </w:p>
    <w:p>
      <w:pPr>
        <w:numPr>
          <w:ilvl w:val="1"/>
          <w:numId w:val="1031"/>
        </w:numPr>
        <w:pStyle w:val="Compact"/>
      </w:pPr>
      <w:r>
        <w:t xml:space="preserve">建立长期的客户关系，提高客户粘性</w:t>
      </w:r>
    </w:p>
    <w:p>
      <w:pPr>
        <w:numPr>
          <w:ilvl w:val="1"/>
          <w:numId w:val="1031"/>
        </w:numPr>
        <w:pStyle w:val="Compact"/>
      </w:pPr>
      <w:r>
        <w:t xml:space="preserve">深入参与客户的业务流程，成为战略合作伙伴</w:t>
      </w:r>
    </w:p>
    <w:p>
      <w:pPr>
        <w:numPr>
          <w:ilvl w:val="1"/>
          <w:numId w:val="1031"/>
        </w:numPr>
        <w:pStyle w:val="Compact"/>
      </w:pPr>
      <w:r>
        <w:t xml:space="preserve">提供全生命周期的服务，创造持续价值</w:t>
      </w:r>
    </w:p>
    <w:bookmarkEnd w:id="155"/>
    <w:bookmarkStart w:id="156" w:name="组织层面启示"/>
    <w:p>
      <w:pPr>
        <w:pStyle w:val="4"/>
      </w:pPr>
      <w:r>
        <w:t xml:space="preserve">7.2.2 组织层面启示</w:t>
      </w:r>
    </w:p>
    <w:p>
      <w:pPr>
        <w:pStyle w:val="FirstParagraph"/>
      </w:pPr>
      <w:r>
        <w:t xml:space="preserve">组织能力的建设是企业战略转型成功的重要保障，HSM的实践为组织管理提供了宝贵启示：</w:t>
      </w:r>
    </w:p>
    <w:p>
      <w:pPr>
        <w:pStyle w:val="BodyText"/>
      </w:pPr>
      <w:r>
        <w:rPr>
          <w:bCs/>
          <w:b/>
        </w:rPr>
        <w:t xml:space="preserve">人才队伍建设</w:t>
      </w:r>
      <w:r>
        <w:t xml:space="preserve">：</w:t>
      </w:r>
      <w:r>
        <w:t xml:space="preserve"> </w:t>
      </w:r>
      <w:r>
        <w:t xml:space="preserve">1.</w:t>
      </w:r>
      <w:r>
        <w:t xml:space="preserve"> </w:t>
      </w:r>
      <w:r>
        <w:rPr>
          <w:bCs/>
          <w:b/>
        </w:rPr>
        <w:t xml:space="preserve">高端人才引进</w:t>
      </w:r>
      <w:r>
        <w:t xml:space="preserve">：</w:t>
      </w:r>
      <w:r>
        <w:t xml:space="preserve"> </w:t>
      </w:r>
      <w:r>
        <w:t xml:space="preserve">- 引进国内外顶尖专家，提升技术团队水平</w:t>
      </w:r>
      <w:r>
        <w:t xml:space="preserve"> </w:t>
      </w:r>
      <w:r>
        <w:t xml:space="preserve">- 建立灵活的人才引进机制，快速获取关键人才</w:t>
      </w:r>
      <w:r>
        <w:t xml:space="preserve"> </w:t>
      </w:r>
      <w:r>
        <w:t xml:space="preserve">- 提供有竞争力的薪酬待遇和发展空间</w:t>
      </w:r>
    </w:p>
    <w:p>
      <w:pPr>
        <w:numPr>
          <w:ilvl w:val="0"/>
          <w:numId w:val="1032"/>
        </w:numPr>
        <w:pStyle w:val="Compact"/>
      </w:pPr>
      <w:r>
        <w:rPr>
          <w:bCs/>
          <w:b/>
        </w:rPr>
        <w:t xml:space="preserve">人才培养体系</w:t>
      </w:r>
      <w:r>
        <w:t xml:space="preserve">：</w:t>
      </w:r>
    </w:p>
    <w:p>
      <w:pPr>
        <w:numPr>
          <w:ilvl w:val="1"/>
          <w:numId w:val="1033"/>
        </w:numPr>
        <w:pStyle w:val="Compact"/>
      </w:pPr>
      <w:r>
        <w:t xml:space="preserve">建立系统化的人才培养计划，覆盖各个层级</w:t>
      </w:r>
    </w:p>
    <w:p>
      <w:pPr>
        <w:numPr>
          <w:ilvl w:val="1"/>
          <w:numId w:val="1033"/>
        </w:numPr>
        <w:pStyle w:val="Compact"/>
      </w:pPr>
      <w:r>
        <w:t xml:space="preserve">实施”导师制”，加速新人成长和能力提升</w:t>
      </w:r>
    </w:p>
    <w:p>
      <w:pPr>
        <w:numPr>
          <w:ilvl w:val="1"/>
          <w:numId w:val="1033"/>
        </w:numPr>
        <w:pStyle w:val="Compact"/>
      </w:pPr>
      <w:r>
        <w:t xml:space="preserve">鼓励轮岗和交叉培训，培养复合型人才</w:t>
      </w:r>
    </w:p>
    <w:p>
      <w:pPr>
        <w:numPr>
          <w:ilvl w:val="0"/>
          <w:numId w:val="1032"/>
        </w:numPr>
        <w:pStyle w:val="Compact"/>
      </w:pPr>
      <w:r>
        <w:rPr>
          <w:bCs/>
          <w:b/>
        </w:rPr>
        <w:t xml:space="preserve">激励约束机制</w:t>
      </w:r>
      <w:r>
        <w:t xml:space="preserve">：</w:t>
      </w:r>
    </w:p>
    <w:p>
      <w:pPr>
        <w:numPr>
          <w:ilvl w:val="1"/>
          <w:numId w:val="1034"/>
        </w:numPr>
        <w:pStyle w:val="Compact"/>
      </w:pPr>
      <w:r>
        <w:t xml:space="preserve">建立与业绩挂钩的激励机制，激发工作积极性</w:t>
      </w:r>
    </w:p>
    <w:p>
      <w:pPr>
        <w:numPr>
          <w:ilvl w:val="1"/>
          <w:numId w:val="1034"/>
        </w:numPr>
        <w:pStyle w:val="Compact"/>
      </w:pPr>
      <w:r>
        <w:t xml:space="preserve">实施股权激励，让核心员工分享企业发展成果</w:t>
      </w:r>
    </w:p>
    <w:p>
      <w:pPr>
        <w:numPr>
          <w:ilvl w:val="1"/>
          <w:numId w:val="1034"/>
        </w:numPr>
        <w:pStyle w:val="Compact"/>
      </w:pPr>
      <w:r>
        <w:t xml:space="preserve">完善绩效考核体系，确保激励的公平性和有效性</w:t>
      </w:r>
    </w:p>
    <w:p>
      <w:pPr>
        <w:pStyle w:val="FirstParagraph"/>
      </w:pPr>
      <w:r>
        <w:rPr>
          <w:bCs/>
          <w:b/>
        </w:rPr>
        <w:t xml:space="preserve">组织架构优化</w:t>
      </w:r>
      <w:r>
        <w:t xml:space="preserve">：</w:t>
      </w:r>
      <w:r>
        <w:t xml:space="preserve"> </w:t>
      </w:r>
      <w:r>
        <w:t xml:space="preserve">1.</w:t>
      </w:r>
      <w:r>
        <w:t xml:space="preserve"> </w:t>
      </w:r>
      <w:r>
        <w:rPr>
          <w:bCs/>
          <w:b/>
        </w:rPr>
        <w:t xml:space="preserve">扁平化管理</w:t>
      </w:r>
      <w:r>
        <w:t xml:space="preserve">：</w:t>
      </w:r>
      <w:r>
        <w:t xml:space="preserve"> </w:t>
      </w:r>
      <w:r>
        <w:t xml:space="preserve">- 减少管理层级，提高决策效率</w:t>
      </w:r>
      <w:r>
        <w:t xml:space="preserve"> </w:t>
      </w:r>
      <w:r>
        <w:t xml:space="preserve">- 赋权一线员工，增强响应速度</w:t>
      </w:r>
      <w:r>
        <w:t xml:space="preserve"> </w:t>
      </w:r>
      <w:r>
        <w:t xml:space="preserve">- 建立跨部门协作机制，打破部门壁垒</w:t>
      </w:r>
    </w:p>
    <w:p>
      <w:pPr>
        <w:numPr>
          <w:ilvl w:val="0"/>
          <w:numId w:val="1035"/>
        </w:numPr>
        <w:pStyle w:val="Compact"/>
      </w:pPr>
      <w:r>
        <w:rPr>
          <w:bCs/>
          <w:b/>
        </w:rPr>
        <w:t xml:space="preserve">矩阵式管理</w:t>
      </w:r>
      <w:r>
        <w:t xml:space="preserve">：</w:t>
      </w:r>
    </w:p>
    <w:p>
      <w:pPr>
        <w:numPr>
          <w:ilvl w:val="1"/>
          <w:numId w:val="1036"/>
        </w:numPr>
        <w:pStyle w:val="Compact"/>
      </w:pPr>
      <w:r>
        <w:t xml:space="preserve">实施项目制管理，实现资源的高效配置</w:t>
      </w:r>
    </w:p>
    <w:p>
      <w:pPr>
        <w:numPr>
          <w:ilvl w:val="1"/>
          <w:numId w:val="1036"/>
        </w:numPr>
        <w:pStyle w:val="Compact"/>
      </w:pPr>
      <w:r>
        <w:t xml:space="preserve">建立双重汇报关系，兼顾职能和项目需求</w:t>
      </w:r>
    </w:p>
    <w:p>
      <w:pPr>
        <w:numPr>
          <w:ilvl w:val="1"/>
          <w:numId w:val="1036"/>
        </w:numPr>
        <w:pStyle w:val="Compact"/>
      </w:pPr>
      <w:r>
        <w:t xml:space="preserve">完善沟通协调机制，确保信息畅通</w:t>
      </w:r>
    </w:p>
    <w:p>
      <w:pPr>
        <w:numPr>
          <w:ilvl w:val="0"/>
          <w:numId w:val="1035"/>
        </w:numPr>
        <w:pStyle w:val="Compact"/>
      </w:pPr>
      <w:r>
        <w:rPr>
          <w:bCs/>
          <w:b/>
        </w:rPr>
        <w:t xml:space="preserve">学习型组织建设</w:t>
      </w:r>
      <w:r>
        <w:t xml:space="preserve">：</w:t>
      </w:r>
    </w:p>
    <w:p>
      <w:pPr>
        <w:numPr>
          <w:ilvl w:val="1"/>
          <w:numId w:val="1037"/>
        </w:numPr>
        <w:pStyle w:val="Compact"/>
      </w:pPr>
      <w:r>
        <w:t xml:space="preserve">倡导持续学习，建立学习文化和机制</w:t>
      </w:r>
    </w:p>
    <w:p>
      <w:pPr>
        <w:numPr>
          <w:ilvl w:val="1"/>
          <w:numId w:val="1037"/>
        </w:numPr>
        <w:pStyle w:val="Compact"/>
      </w:pPr>
      <w:r>
        <w:t xml:space="preserve">建立知识管理系统，促进经验分享和传承</w:t>
      </w:r>
    </w:p>
    <w:p>
      <w:pPr>
        <w:numPr>
          <w:ilvl w:val="1"/>
          <w:numId w:val="1037"/>
        </w:numPr>
        <w:pStyle w:val="Compact"/>
      </w:pPr>
      <w:r>
        <w:t xml:space="preserve">开展复盘活动，从成功和失败中学习</w:t>
      </w:r>
    </w:p>
    <w:bookmarkEnd w:id="156"/>
    <w:bookmarkStart w:id="157" w:name="文化层面启示"/>
    <w:p>
      <w:pPr>
        <w:pStyle w:val="4"/>
      </w:pPr>
      <w:r>
        <w:t xml:space="preserve">7.2.3 文化层面启示</w:t>
      </w:r>
    </w:p>
    <w:p>
      <w:pPr>
        <w:pStyle w:val="FirstParagraph"/>
      </w:pPr>
      <w:r>
        <w:t xml:space="preserve">企业文化是战略转型成功的软实力支撑，HSM的文化建设经验值得借鉴：</w:t>
      </w:r>
    </w:p>
    <w:p>
      <w:pPr>
        <w:pStyle w:val="BodyText"/>
      </w:pPr>
      <w:r>
        <w:rPr>
          <w:bCs/>
          <w:b/>
        </w:rPr>
        <w:t xml:space="preserve">创新文化建设</w:t>
      </w:r>
      <w:r>
        <w:t xml:space="preserve">：</w:t>
      </w:r>
      <w:r>
        <w:t xml:space="preserve"> </w:t>
      </w:r>
      <w:r>
        <w:t xml:space="preserve">1.</w:t>
      </w:r>
      <w:r>
        <w:t xml:space="preserve"> </w:t>
      </w:r>
      <w:r>
        <w:rPr>
          <w:bCs/>
          <w:b/>
        </w:rPr>
        <w:t xml:space="preserve">鼓励创新思维</w:t>
      </w:r>
      <w:r>
        <w:t xml:space="preserve">：</w:t>
      </w:r>
      <w:r>
        <w:t xml:space="preserve"> </w:t>
      </w:r>
      <w:r>
        <w:t xml:space="preserve">- 营造开放包容的创新氛围，鼓励大胆尝试</w:t>
      </w:r>
      <w:r>
        <w:t xml:space="preserve"> </w:t>
      </w:r>
      <w:r>
        <w:t xml:space="preserve">- 建立”容错机制”，宽容创新过程中的失败</w:t>
      </w:r>
      <w:r>
        <w:t xml:space="preserve"> </w:t>
      </w:r>
      <w:r>
        <w:t xml:space="preserve">- 设立创新奖励，激励员工参与创新活动</w:t>
      </w:r>
    </w:p>
    <w:p>
      <w:pPr>
        <w:numPr>
          <w:ilvl w:val="0"/>
          <w:numId w:val="1038"/>
        </w:numPr>
        <w:pStyle w:val="Compact"/>
      </w:pPr>
      <w:r>
        <w:rPr>
          <w:bCs/>
          <w:b/>
        </w:rPr>
        <w:t xml:space="preserve">培养学习文化</w:t>
      </w:r>
      <w:r>
        <w:t xml:space="preserve">：</w:t>
      </w:r>
    </w:p>
    <w:p>
      <w:pPr>
        <w:numPr>
          <w:ilvl w:val="1"/>
          <w:numId w:val="1039"/>
        </w:numPr>
        <w:pStyle w:val="Compact"/>
      </w:pPr>
      <w:r>
        <w:t xml:space="preserve">倡导终身学习，建立持续学习的组织习惯</w:t>
      </w:r>
    </w:p>
    <w:p>
      <w:pPr>
        <w:numPr>
          <w:ilvl w:val="1"/>
          <w:numId w:val="1039"/>
        </w:numPr>
        <w:pStyle w:val="Compact"/>
      </w:pPr>
      <w:r>
        <w:t xml:space="preserve">提供学习资源和平台，支持员工能力提升</w:t>
      </w:r>
    </w:p>
    <w:p>
      <w:pPr>
        <w:numPr>
          <w:ilvl w:val="1"/>
          <w:numId w:val="1039"/>
        </w:numPr>
        <w:pStyle w:val="Compact"/>
      </w:pPr>
      <w:r>
        <w:t xml:space="preserve">开展知识分享活动，促进经验交流</w:t>
      </w:r>
    </w:p>
    <w:p>
      <w:pPr>
        <w:numPr>
          <w:ilvl w:val="0"/>
          <w:numId w:val="1038"/>
        </w:numPr>
        <w:pStyle w:val="Compact"/>
      </w:pPr>
      <w:r>
        <w:rPr>
          <w:bCs/>
          <w:b/>
        </w:rPr>
        <w:t xml:space="preserve">强化协作文化</w:t>
      </w:r>
      <w:r>
        <w:t xml:space="preserve">：</w:t>
      </w:r>
    </w:p>
    <w:p>
      <w:pPr>
        <w:numPr>
          <w:ilvl w:val="1"/>
          <w:numId w:val="1040"/>
        </w:numPr>
        <w:pStyle w:val="Compact"/>
      </w:pPr>
      <w:r>
        <w:t xml:space="preserve">倡导团队合作，建立互信互助的工作关系</w:t>
      </w:r>
    </w:p>
    <w:p>
      <w:pPr>
        <w:numPr>
          <w:ilvl w:val="1"/>
          <w:numId w:val="1040"/>
        </w:numPr>
        <w:pStyle w:val="Compact"/>
      </w:pPr>
      <w:r>
        <w:t xml:space="preserve">建立跨部门协作机制，促进资源整合</w:t>
      </w:r>
    </w:p>
    <w:p>
      <w:pPr>
        <w:numPr>
          <w:ilvl w:val="1"/>
          <w:numId w:val="1040"/>
        </w:numPr>
        <w:pStyle w:val="Compact"/>
      </w:pPr>
      <w:r>
        <w:t xml:space="preserve">开展团队建设活动，增强凝聚力</w:t>
      </w:r>
    </w:p>
    <w:p>
      <w:pPr>
        <w:pStyle w:val="FirstParagraph"/>
      </w:pPr>
      <w:r>
        <w:rPr>
          <w:bCs/>
          <w:b/>
        </w:rPr>
        <w:t xml:space="preserve">变革管理文化</w:t>
      </w:r>
      <w:r>
        <w:t xml:space="preserve">：</w:t>
      </w:r>
      <w:r>
        <w:t xml:space="preserve"> </w:t>
      </w:r>
      <w:r>
        <w:t xml:space="preserve">1.</w:t>
      </w:r>
      <w:r>
        <w:t xml:space="preserve"> </w:t>
      </w:r>
      <w:r>
        <w:rPr>
          <w:bCs/>
          <w:b/>
        </w:rPr>
        <w:t xml:space="preserve">变革意识培养</w:t>
      </w:r>
      <w:r>
        <w:t xml:space="preserve">：</w:t>
      </w:r>
      <w:r>
        <w:t xml:space="preserve"> </w:t>
      </w:r>
      <w:r>
        <w:t xml:space="preserve">- 增强员工的环境变化意识，提高变革接受度</w:t>
      </w:r>
      <w:r>
        <w:t xml:space="preserve"> </w:t>
      </w:r>
      <w:r>
        <w:t xml:space="preserve">- 开展变革教育，帮助员工理解变革的必要性</w:t>
      </w:r>
      <w:r>
        <w:t xml:space="preserve"> </w:t>
      </w:r>
      <w:r>
        <w:t xml:space="preserve">- 建立变革沟通渠道，及时传递变革信息</w:t>
      </w:r>
    </w:p>
    <w:p>
      <w:pPr>
        <w:numPr>
          <w:ilvl w:val="0"/>
          <w:numId w:val="1041"/>
        </w:numPr>
        <w:pStyle w:val="Compact"/>
      </w:pPr>
      <w:r>
        <w:rPr>
          <w:bCs/>
          <w:b/>
        </w:rPr>
        <w:t xml:space="preserve">变革能力提升</w:t>
      </w:r>
      <w:r>
        <w:t xml:space="preserve">：</w:t>
      </w:r>
    </w:p>
    <w:p>
      <w:pPr>
        <w:numPr>
          <w:ilvl w:val="1"/>
          <w:numId w:val="1042"/>
        </w:numPr>
        <w:pStyle w:val="Compact"/>
      </w:pPr>
      <w:r>
        <w:t xml:space="preserve">培训员工的变革适应能力，增强心理弹性</w:t>
      </w:r>
    </w:p>
    <w:p>
      <w:pPr>
        <w:numPr>
          <w:ilvl w:val="1"/>
          <w:numId w:val="1042"/>
        </w:numPr>
        <w:pStyle w:val="Compact"/>
      </w:pPr>
      <w:r>
        <w:t xml:space="preserve">建立变革支持体系，提供必要的帮助和指导</w:t>
      </w:r>
    </w:p>
    <w:p>
      <w:pPr>
        <w:numPr>
          <w:ilvl w:val="1"/>
          <w:numId w:val="1042"/>
        </w:numPr>
        <w:pStyle w:val="Compact"/>
      </w:pPr>
      <w:r>
        <w:t xml:space="preserve">分享变革成功经验，增强变革信心</w:t>
      </w:r>
    </w:p>
    <w:bookmarkEnd w:id="157"/>
    <w:bookmarkEnd w:id="158"/>
    <w:bookmarkStart w:id="162" w:name="政策建议"/>
    <w:p>
      <w:pPr>
        <w:pStyle w:val="3"/>
      </w:pPr>
      <w:r>
        <w:t xml:space="preserve">7.3 政策建议</w:t>
      </w:r>
    </w:p>
    <w:bookmarkStart w:id="159" w:name="政府层面建议"/>
    <w:p>
      <w:pPr>
        <w:pStyle w:val="4"/>
      </w:pPr>
      <w:r>
        <w:t xml:space="preserve">7.3.1 政府层面建议</w:t>
      </w:r>
    </w:p>
    <w:p>
      <w:pPr>
        <w:pStyle w:val="FirstParagraph"/>
      </w:pPr>
      <w:r>
        <w:t xml:space="preserve">基于HSM战略转型的成功经验，为政府制定相关产业政策提出以下建议：</w:t>
      </w:r>
    </w:p>
    <w:p>
      <w:pPr>
        <w:pStyle w:val="BodyText"/>
      </w:pPr>
      <w:r>
        <w:rPr>
          <w:bCs/>
          <w:b/>
        </w:rPr>
        <w:t xml:space="preserve">完善产业政策体系</w:t>
      </w:r>
      <w:r>
        <w:t xml:space="preserve">：</w:t>
      </w:r>
      <w:r>
        <w:t xml:space="preserve"> </w:t>
      </w:r>
      <w:r>
        <w:t xml:space="preserve">1.</w:t>
      </w:r>
      <w:r>
        <w:t xml:space="preserve"> </w:t>
      </w:r>
      <w:r>
        <w:rPr>
          <w:bCs/>
          <w:b/>
        </w:rPr>
        <w:t xml:space="preserve">差异化政策支持</w:t>
      </w:r>
      <w:r>
        <w:t xml:space="preserve">：</w:t>
      </w:r>
      <w:r>
        <w:t xml:space="preserve"> </w:t>
      </w:r>
      <w:r>
        <w:t xml:space="preserve">- 针对硬科技企业制定差异化的扶持政策</w:t>
      </w:r>
      <w:r>
        <w:t xml:space="preserve"> </w:t>
      </w:r>
      <w:r>
        <w:t xml:space="preserve">- 建立硬科技企业认定标准和评价体系</w:t>
      </w:r>
      <w:r>
        <w:t xml:space="preserve"> </w:t>
      </w:r>
      <w:r>
        <w:t xml:space="preserve">- 提供专项财政补贴和税收优惠政策</w:t>
      </w:r>
    </w:p>
    <w:p>
      <w:pPr>
        <w:numPr>
          <w:ilvl w:val="0"/>
          <w:numId w:val="1043"/>
        </w:numPr>
        <w:pStyle w:val="Compact"/>
      </w:pPr>
      <w:r>
        <w:rPr>
          <w:bCs/>
          <w:b/>
        </w:rPr>
        <w:t xml:space="preserve">创新资金支持</w:t>
      </w:r>
      <w:r>
        <w:t xml:space="preserve">：</w:t>
      </w:r>
    </w:p>
    <w:p>
      <w:pPr>
        <w:numPr>
          <w:ilvl w:val="1"/>
          <w:numId w:val="1044"/>
        </w:numPr>
        <w:pStyle w:val="Compact"/>
      </w:pPr>
      <w:r>
        <w:t xml:space="preserve">设立硬科技企业发展基金，提供长期资金支持</w:t>
      </w:r>
    </w:p>
    <w:p>
      <w:pPr>
        <w:numPr>
          <w:ilvl w:val="1"/>
          <w:numId w:val="1044"/>
        </w:numPr>
        <w:pStyle w:val="Compact"/>
      </w:pPr>
      <w:r>
        <w:t xml:space="preserve">完善风险投资引导机制，吸引社会资本参与</w:t>
      </w:r>
    </w:p>
    <w:p>
      <w:pPr>
        <w:numPr>
          <w:ilvl w:val="1"/>
          <w:numId w:val="1044"/>
        </w:numPr>
        <w:pStyle w:val="Compact"/>
      </w:pPr>
      <w:r>
        <w:t xml:space="preserve">建立知识产权质押融资体系，解决融资难题</w:t>
      </w:r>
    </w:p>
    <w:p>
      <w:pPr>
        <w:numPr>
          <w:ilvl w:val="0"/>
          <w:numId w:val="1043"/>
        </w:numPr>
        <w:pStyle w:val="Compact"/>
      </w:pPr>
      <w:r>
        <w:rPr>
          <w:bCs/>
          <w:b/>
        </w:rPr>
        <w:t xml:space="preserve">人才政策优化</w:t>
      </w:r>
      <w:r>
        <w:t xml:space="preserve">：</w:t>
      </w:r>
    </w:p>
    <w:p>
      <w:pPr>
        <w:numPr>
          <w:ilvl w:val="1"/>
          <w:numId w:val="1045"/>
        </w:numPr>
        <w:pStyle w:val="Compact"/>
      </w:pPr>
      <w:r>
        <w:t xml:space="preserve">制定高端人才引进政策，提供住房、子女教育等配套服务</w:t>
      </w:r>
    </w:p>
    <w:p>
      <w:pPr>
        <w:numPr>
          <w:ilvl w:val="1"/>
          <w:numId w:val="1045"/>
        </w:numPr>
        <w:pStyle w:val="Compact"/>
      </w:pPr>
      <w:r>
        <w:t xml:space="preserve">建立人才评价和激励机制，吸引和留住优秀人才</w:t>
      </w:r>
    </w:p>
    <w:p>
      <w:pPr>
        <w:numPr>
          <w:ilvl w:val="1"/>
          <w:numId w:val="1045"/>
        </w:numPr>
        <w:pStyle w:val="Compact"/>
      </w:pPr>
      <w:r>
        <w:t xml:space="preserve">完善人才流动政策，促进人才合理配置</w:t>
      </w:r>
    </w:p>
    <w:p>
      <w:pPr>
        <w:pStyle w:val="FirstParagraph"/>
      </w:pPr>
      <w:r>
        <w:rPr>
          <w:bCs/>
          <w:b/>
        </w:rPr>
        <w:t xml:space="preserve">构建创新生态系统</w:t>
      </w:r>
      <w:r>
        <w:t xml:space="preserve">：</w:t>
      </w:r>
      <w:r>
        <w:t xml:space="preserve"> </w:t>
      </w:r>
      <w:r>
        <w:t xml:space="preserve">1.</w:t>
      </w:r>
      <w:r>
        <w:t xml:space="preserve"> </w:t>
      </w:r>
      <w:r>
        <w:rPr>
          <w:bCs/>
          <w:b/>
        </w:rPr>
        <w:t xml:space="preserve">产学研协同创新</w:t>
      </w:r>
      <w:r>
        <w:t xml:space="preserve">：</w:t>
      </w:r>
      <w:r>
        <w:t xml:space="preserve"> </w:t>
      </w:r>
      <w:r>
        <w:t xml:space="preserve">- 建立产学研合作平台，促进技术转移和转化</w:t>
      </w:r>
      <w:r>
        <w:t xml:space="preserve"> </w:t>
      </w:r>
      <w:r>
        <w:t xml:space="preserve">- 支持企业参与国家重大科技项目，提升创新能力</w:t>
      </w:r>
      <w:r>
        <w:t xml:space="preserve"> </w:t>
      </w:r>
      <w:r>
        <w:t xml:space="preserve">- 鼓励高校设立产业技术研究院，服务企业技术需求</w:t>
      </w:r>
    </w:p>
    <w:p>
      <w:pPr>
        <w:numPr>
          <w:ilvl w:val="0"/>
          <w:numId w:val="1046"/>
        </w:numPr>
        <w:pStyle w:val="Compact"/>
      </w:pPr>
      <w:r>
        <w:rPr>
          <w:bCs/>
          <w:b/>
        </w:rPr>
        <w:t xml:space="preserve">产业集群发展</w:t>
      </w:r>
      <w:r>
        <w:t xml:space="preserve">：</w:t>
      </w:r>
    </w:p>
    <w:p>
      <w:pPr>
        <w:numPr>
          <w:ilvl w:val="1"/>
          <w:numId w:val="1047"/>
        </w:numPr>
        <w:pStyle w:val="Compact"/>
      </w:pPr>
      <w:r>
        <w:t xml:space="preserve">规划建设硬科技产业集群，形成规模效应</w:t>
      </w:r>
    </w:p>
    <w:p>
      <w:pPr>
        <w:numPr>
          <w:ilvl w:val="1"/>
          <w:numId w:val="1047"/>
        </w:numPr>
        <w:pStyle w:val="Compact"/>
      </w:pPr>
      <w:r>
        <w:t xml:space="preserve">完善产业链配套，降低企业运营成本</w:t>
      </w:r>
    </w:p>
    <w:p>
      <w:pPr>
        <w:numPr>
          <w:ilvl w:val="1"/>
          <w:numId w:val="1047"/>
        </w:numPr>
        <w:pStyle w:val="Compact"/>
      </w:pPr>
      <w:r>
        <w:t xml:space="preserve">建立产业服务平台，提供全方位服务支持</w:t>
      </w:r>
    </w:p>
    <w:p>
      <w:pPr>
        <w:numPr>
          <w:ilvl w:val="0"/>
          <w:numId w:val="1046"/>
        </w:numPr>
        <w:pStyle w:val="Compact"/>
      </w:pPr>
      <w:r>
        <w:rPr>
          <w:bCs/>
          <w:b/>
        </w:rPr>
        <w:t xml:space="preserve">国际交流合作</w:t>
      </w:r>
      <w:r>
        <w:t xml:space="preserve">：</w:t>
      </w:r>
    </w:p>
    <w:p>
      <w:pPr>
        <w:numPr>
          <w:ilvl w:val="1"/>
          <w:numId w:val="1048"/>
        </w:numPr>
        <w:pStyle w:val="Compact"/>
      </w:pPr>
      <w:r>
        <w:t xml:space="preserve">支持企业参与国际技术交流与合作</w:t>
      </w:r>
    </w:p>
    <w:p>
      <w:pPr>
        <w:numPr>
          <w:ilvl w:val="1"/>
          <w:numId w:val="1048"/>
        </w:numPr>
        <w:pStyle w:val="Compact"/>
      </w:pPr>
      <w:r>
        <w:t xml:space="preserve">组织企业参加国际展会和学术会议</w:t>
      </w:r>
    </w:p>
    <w:p>
      <w:pPr>
        <w:numPr>
          <w:ilvl w:val="1"/>
          <w:numId w:val="1048"/>
        </w:numPr>
        <w:pStyle w:val="Compact"/>
      </w:pPr>
      <w:r>
        <w:t xml:space="preserve">建立国际合作平台，促进技术引进和输出</w:t>
      </w:r>
    </w:p>
    <w:p>
      <w:pPr>
        <w:pStyle w:val="FirstParagraph"/>
      </w:pPr>
      <w:r>
        <w:rPr>
          <w:bCs/>
          <w:b/>
        </w:rPr>
        <w:t xml:space="preserve">优化营商环境</w:t>
      </w:r>
      <w:r>
        <w:t xml:space="preserve">：</w:t>
      </w:r>
      <w:r>
        <w:t xml:space="preserve"> </w:t>
      </w:r>
      <w:r>
        <w:t xml:space="preserve">1.</w:t>
      </w:r>
      <w:r>
        <w:t xml:space="preserve"> </w:t>
      </w:r>
      <w:r>
        <w:rPr>
          <w:bCs/>
          <w:b/>
        </w:rPr>
        <w:t xml:space="preserve">制度环境完善</w:t>
      </w:r>
      <w:r>
        <w:t xml:space="preserve">：</w:t>
      </w:r>
      <w:r>
        <w:t xml:space="preserve"> </w:t>
      </w:r>
      <w:r>
        <w:t xml:space="preserve">- 简化行政审批流程，提高政府服务效率</w:t>
      </w:r>
      <w:r>
        <w:t xml:space="preserve"> </w:t>
      </w:r>
      <w:r>
        <w:t xml:space="preserve">- 建立企业信用评价体系，完善市场监管机制</w:t>
      </w:r>
      <w:r>
        <w:t xml:space="preserve"> </w:t>
      </w:r>
      <w:r>
        <w:t xml:space="preserve">- 加强知识产权保护，维护企业合法权益</w:t>
      </w:r>
    </w:p>
    <w:p>
      <w:pPr>
        <w:numPr>
          <w:ilvl w:val="0"/>
          <w:numId w:val="1049"/>
        </w:numPr>
        <w:pStyle w:val="Compact"/>
      </w:pPr>
      <w:r>
        <w:rPr>
          <w:bCs/>
          <w:b/>
        </w:rPr>
        <w:t xml:space="preserve">服务体系构建</w:t>
      </w:r>
      <w:r>
        <w:t xml:space="preserve">：</w:t>
      </w:r>
    </w:p>
    <w:p>
      <w:pPr>
        <w:numPr>
          <w:ilvl w:val="1"/>
          <w:numId w:val="1050"/>
        </w:numPr>
        <w:pStyle w:val="Compact"/>
      </w:pPr>
      <w:r>
        <w:t xml:space="preserve">建立中小企业服务体系，提供专业服务支持</w:t>
      </w:r>
    </w:p>
    <w:p>
      <w:pPr>
        <w:numPr>
          <w:ilvl w:val="1"/>
          <w:numId w:val="1050"/>
        </w:numPr>
        <w:pStyle w:val="Compact"/>
      </w:pPr>
      <w:r>
        <w:t xml:space="preserve">发展科技服务业，为企业提供技术、管理、法律等服务</w:t>
      </w:r>
    </w:p>
    <w:p>
      <w:pPr>
        <w:numPr>
          <w:ilvl w:val="1"/>
          <w:numId w:val="1050"/>
        </w:numPr>
        <w:pStyle w:val="Compact"/>
      </w:pPr>
      <w:r>
        <w:t xml:space="preserve">建立企业培训体系，提升企业管理水平</w:t>
      </w:r>
    </w:p>
    <w:bookmarkEnd w:id="159"/>
    <w:bookmarkStart w:id="160" w:name="行业层面建议"/>
    <w:p>
      <w:pPr>
        <w:pStyle w:val="4"/>
      </w:pPr>
      <w:r>
        <w:t xml:space="preserve">7.3.2 行业层面建议</w:t>
      </w:r>
    </w:p>
    <w:p>
      <w:pPr>
        <w:pStyle w:val="FirstParagraph"/>
      </w:pPr>
      <w:r>
        <w:t xml:space="preserve">为促进视觉力学传感器行业的健康发展，提出以下行业层面建议：</w:t>
      </w:r>
    </w:p>
    <w:p>
      <w:pPr>
        <w:pStyle w:val="BodyText"/>
      </w:pPr>
      <w:r>
        <w:rPr>
          <w:bCs/>
          <w:b/>
        </w:rPr>
        <w:t xml:space="preserve">制定行业标准</w:t>
      </w:r>
      <w:r>
        <w:t xml:space="preserve">：</w:t>
      </w:r>
      <w:r>
        <w:t xml:space="preserve"> </w:t>
      </w:r>
      <w:r>
        <w:t xml:space="preserve">1.</w:t>
      </w:r>
      <w:r>
        <w:t xml:space="preserve"> </w:t>
      </w:r>
      <w:r>
        <w:rPr>
          <w:bCs/>
          <w:b/>
        </w:rPr>
        <w:t xml:space="preserve">技术标准体系</w:t>
      </w:r>
      <w:r>
        <w:t xml:space="preserve">：</w:t>
      </w:r>
      <w:r>
        <w:t xml:space="preserve"> </w:t>
      </w:r>
      <w:r>
        <w:t xml:space="preserve">- 制定DIC技术的国家标准和行业标准</w:t>
      </w:r>
      <w:r>
        <w:t xml:space="preserve"> </w:t>
      </w:r>
      <w:r>
        <w:t xml:space="preserve">- 建立产品质量认证体系，提升产品质量水平</w:t>
      </w:r>
      <w:r>
        <w:t xml:space="preserve"> </w:t>
      </w:r>
      <w:r>
        <w:t xml:space="preserve">- 完善技术规范和测试方法，确保技术可靠性</w:t>
      </w:r>
    </w:p>
    <w:p>
      <w:pPr>
        <w:numPr>
          <w:ilvl w:val="0"/>
          <w:numId w:val="1051"/>
        </w:numPr>
        <w:pStyle w:val="Compact"/>
      </w:pPr>
      <w:r>
        <w:rPr>
          <w:bCs/>
          <w:b/>
        </w:rPr>
        <w:t xml:space="preserve">服务标准规范</w:t>
      </w:r>
      <w:r>
        <w:t xml:space="preserve">：</w:t>
      </w:r>
    </w:p>
    <w:p>
      <w:pPr>
        <w:numPr>
          <w:ilvl w:val="1"/>
          <w:numId w:val="1052"/>
        </w:numPr>
        <w:pStyle w:val="Compact"/>
      </w:pPr>
      <w:r>
        <w:t xml:space="preserve">制定行业服务标准和规范，提升服务质量</w:t>
      </w:r>
    </w:p>
    <w:p>
      <w:pPr>
        <w:numPr>
          <w:ilvl w:val="1"/>
          <w:numId w:val="1052"/>
        </w:numPr>
        <w:pStyle w:val="Compact"/>
      </w:pPr>
      <w:r>
        <w:t xml:space="preserve">建立客户满意度评价体系，促进服务改进</w:t>
      </w:r>
    </w:p>
    <w:p>
      <w:pPr>
        <w:numPr>
          <w:ilvl w:val="1"/>
          <w:numId w:val="1052"/>
        </w:numPr>
        <w:pStyle w:val="Compact"/>
      </w:pPr>
      <w:r>
        <w:t xml:space="preserve">完善售后服务标准，保障客户权益</w:t>
      </w:r>
    </w:p>
    <w:p>
      <w:pPr>
        <w:pStyle w:val="FirstParagraph"/>
      </w:pPr>
      <w:r>
        <w:rPr>
          <w:bCs/>
          <w:b/>
        </w:rPr>
        <w:t xml:space="preserve">推动产业协同</w:t>
      </w:r>
      <w:r>
        <w:t xml:space="preserve">：</w:t>
      </w:r>
      <w:r>
        <w:t xml:space="preserve"> </w:t>
      </w:r>
      <w:r>
        <w:t xml:space="preserve">1.</w:t>
      </w:r>
      <w:r>
        <w:t xml:space="preserve"> </w:t>
      </w:r>
      <w:r>
        <w:rPr>
          <w:bCs/>
          <w:b/>
        </w:rPr>
        <w:t xml:space="preserve">产业链整合</w:t>
      </w:r>
      <w:r>
        <w:t xml:space="preserve">：</w:t>
      </w:r>
      <w:r>
        <w:t xml:space="preserve"> </w:t>
      </w:r>
      <w:r>
        <w:t xml:space="preserve">- 促进上下游企业合作，完善产业链条</w:t>
      </w:r>
      <w:r>
        <w:t xml:space="preserve"> </w:t>
      </w:r>
      <w:r>
        <w:t xml:space="preserve">- 建立产业联盟，推动协同创新</w:t>
      </w:r>
      <w:r>
        <w:t xml:space="preserve"> </w:t>
      </w:r>
      <w:r>
        <w:t xml:space="preserve">- 发展产业集群，形成规模效应</w:t>
      </w:r>
    </w:p>
    <w:p>
      <w:pPr>
        <w:numPr>
          <w:ilvl w:val="0"/>
          <w:numId w:val="1053"/>
        </w:numPr>
        <w:pStyle w:val="Compact"/>
      </w:pPr>
      <w:r>
        <w:rPr>
          <w:bCs/>
          <w:b/>
        </w:rPr>
        <w:t xml:space="preserve">技术平台共享</w:t>
      </w:r>
      <w:r>
        <w:t xml:space="preserve">：</w:t>
      </w:r>
    </w:p>
    <w:p>
      <w:pPr>
        <w:numPr>
          <w:ilvl w:val="1"/>
          <w:numId w:val="1054"/>
        </w:numPr>
        <w:pStyle w:val="Compact"/>
      </w:pPr>
      <w:r>
        <w:t xml:space="preserve">建立行业技术共享平台，降低技术门槛</w:t>
      </w:r>
    </w:p>
    <w:p>
      <w:pPr>
        <w:numPr>
          <w:ilvl w:val="1"/>
          <w:numId w:val="1054"/>
        </w:numPr>
        <w:pStyle w:val="Compact"/>
      </w:pPr>
      <w:r>
        <w:t xml:space="preserve">推动开放实验室建设，提供技术服务</w:t>
      </w:r>
    </w:p>
    <w:p>
      <w:pPr>
        <w:numPr>
          <w:ilvl w:val="1"/>
          <w:numId w:val="1054"/>
        </w:numPr>
        <w:pStyle w:val="Compact"/>
      </w:pPr>
      <w:r>
        <w:t xml:space="preserve">发展技术中介服务，促进技术转移</w:t>
      </w:r>
    </w:p>
    <w:p>
      <w:pPr>
        <w:pStyle w:val="FirstParagraph"/>
      </w:pPr>
      <w:r>
        <w:rPr>
          <w:bCs/>
          <w:b/>
        </w:rPr>
        <w:t xml:space="preserve">人才培养体系</w:t>
      </w:r>
      <w:r>
        <w:t xml:space="preserve">：</w:t>
      </w:r>
      <w:r>
        <w:t xml:space="preserve"> </w:t>
      </w:r>
      <w:r>
        <w:t xml:space="preserve">1.</w:t>
      </w:r>
      <w:r>
        <w:t xml:space="preserve"> </w:t>
      </w:r>
      <w:r>
        <w:rPr>
          <w:bCs/>
          <w:b/>
        </w:rPr>
        <w:t xml:space="preserve">专业人才培养</w:t>
      </w:r>
      <w:r>
        <w:t xml:space="preserve">：</w:t>
      </w:r>
      <w:r>
        <w:t xml:space="preserve"> </w:t>
      </w:r>
      <w:r>
        <w:t xml:space="preserve">- 在高校设立相关专业，培养专业人才</w:t>
      </w:r>
      <w:r>
        <w:t xml:space="preserve"> </w:t>
      </w:r>
      <w:r>
        <w:t xml:space="preserve">- 建立实习实训基地，提升实践能力</w:t>
      </w:r>
      <w:r>
        <w:t xml:space="preserve"> </w:t>
      </w:r>
      <w:r>
        <w:t xml:space="preserve">- 开展在职培训，提高从业人员水平</w:t>
      </w:r>
    </w:p>
    <w:p>
      <w:pPr>
        <w:numPr>
          <w:ilvl w:val="0"/>
          <w:numId w:val="1055"/>
        </w:numPr>
        <w:pStyle w:val="Compact"/>
      </w:pPr>
      <w:r>
        <w:rPr>
          <w:bCs/>
          <w:b/>
        </w:rPr>
        <w:t xml:space="preserve">人才交流平台</w:t>
      </w:r>
      <w:r>
        <w:t xml:space="preserve">：</w:t>
      </w:r>
    </w:p>
    <w:p>
      <w:pPr>
        <w:numPr>
          <w:ilvl w:val="1"/>
          <w:numId w:val="1056"/>
        </w:numPr>
        <w:pStyle w:val="Compact"/>
      </w:pPr>
      <w:r>
        <w:t xml:space="preserve">建立行业人才交流平台，促进人才流动</w:t>
      </w:r>
    </w:p>
    <w:p>
      <w:pPr>
        <w:numPr>
          <w:ilvl w:val="1"/>
          <w:numId w:val="1056"/>
        </w:numPr>
        <w:pStyle w:val="Compact"/>
      </w:pPr>
      <w:r>
        <w:t xml:space="preserve">组织行业学术交流活动，提升专业水平</w:t>
      </w:r>
    </w:p>
    <w:p>
      <w:pPr>
        <w:numPr>
          <w:ilvl w:val="1"/>
          <w:numId w:val="1056"/>
        </w:numPr>
        <w:pStyle w:val="Compact"/>
      </w:pPr>
      <w:r>
        <w:t xml:space="preserve">建立专家库，提供专业咨询服务</w:t>
      </w:r>
    </w:p>
    <w:bookmarkEnd w:id="160"/>
    <w:bookmarkStart w:id="161" w:name="企业层面建议"/>
    <w:p>
      <w:pPr>
        <w:pStyle w:val="4"/>
      </w:pPr>
      <w:r>
        <w:t xml:space="preserve">7.3.3 企业层面建议</w:t>
      </w:r>
    </w:p>
    <w:p>
      <w:pPr>
        <w:pStyle w:val="FirstParagraph"/>
      </w:pPr>
      <w:r>
        <w:t xml:space="preserve">为其他科技型企业的战略转型提供具体建议：</w:t>
      </w:r>
    </w:p>
    <w:p>
      <w:pPr>
        <w:pStyle w:val="BodyText"/>
      </w:pPr>
      <w:r>
        <w:rPr>
          <w:bCs/>
          <w:b/>
        </w:rPr>
        <w:t xml:space="preserve">转型策略制定</w:t>
      </w:r>
      <w:r>
        <w:t xml:space="preserve">：</w:t>
      </w:r>
      <w:r>
        <w:t xml:space="preserve"> </w:t>
      </w:r>
      <w:r>
        <w:t xml:space="preserve">1.</w:t>
      </w:r>
      <w:r>
        <w:t xml:space="preserve"> </w:t>
      </w:r>
      <w:r>
        <w:rPr>
          <w:bCs/>
          <w:b/>
        </w:rPr>
        <w:t xml:space="preserve">全面诊断分析</w:t>
      </w:r>
      <w:r>
        <w:t xml:space="preserve">：</w:t>
      </w:r>
      <w:r>
        <w:t xml:space="preserve"> </w:t>
      </w:r>
      <w:r>
        <w:t xml:space="preserve">- 深入分析企业内外部环境，明确转型必要性</w:t>
      </w:r>
      <w:r>
        <w:t xml:space="preserve"> </w:t>
      </w:r>
      <w:r>
        <w:t xml:space="preserve">- 评估企业资源能力，确定转型可行性</w:t>
      </w:r>
      <w:r>
        <w:t xml:space="preserve"> </w:t>
      </w:r>
      <w:r>
        <w:t xml:space="preserve">- 识别转型机会和风险，制定应对策略</w:t>
      </w:r>
    </w:p>
    <w:p>
      <w:pPr>
        <w:numPr>
          <w:ilvl w:val="0"/>
          <w:numId w:val="1057"/>
        </w:numPr>
        <w:pStyle w:val="Compact"/>
      </w:pPr>
      <w:r>
        <w:rPr>
          <w:bCs/>
          <w:b/>
        </w:rPr>
        <w:t xml:space="preserve">科学规划路径</w:t>
      </w:r>
      <w:r>
        <w:t xml:space="preserve">：</w:t>
      </w:r>
    </w:p>
    <w:p>
      <w:pPr>
        <w:numPr>
          <w:ilvl w:val="1"/>
          <w:numId w:val="1058"/>
        </w:numPr>
        <w:pStyle w:val="Compact"/>
      </w:pPr>
      <w:r>
        <w:t xml:space="preserve">制定清晰的转型目标和时间表</w:t>
      </w:r>
    </w:p>
    <w:p>
      <w:pPr>
        <w:numPr>
          <w:ilvl w:val="1"/>
          <w:numId w:val="1058"/>
        </w:numPr>
        <w:pStyle w:val="Compact"/>
      </w:pPr>
      <w:r>
        <w:t xml:space="preserve">选择适合企业特点的转型路径</w:t>
      </w:r>
    </w:p>
    <w:p>
      <w:pPr>
        <w:numPr>
          <w:ilvl w:val="1"/>
          <w:numId w:val="1058"/>
        </w:numPr>
        <w:pStyle w:val="Compact"/>
      </w:pPr>
      <w:r>
        <w:t xml:space="preserve">建立转型进度监控和调整机制</w:t>
      </w:r>
    </w:p>
    <w:p>
      <w:pPr>
        <w:numPr>
          <w:ilvl w:val="0"/>
          <w:numId w:val="1057"/>
        </w:numPr>
        <w:pStyle w:val="Compact"/>
      </w:pPr>
      <w:r>
        <w:rPr>
          <w:bCs/>
          <w:b/>
        </w:rPr>
        <w:t xml:space="preserve">资源配置优化</w:t>
      </w:r>
      <w:r>
        <w:t xml:space="preserve">：</w:t>
      </w:r>
    </w:p>
    <w:p>
      <w:pPr>
        <w:numPr>
          <w:ilvl w:val="1"/>
          <w:numId w:val="1059"/>
        </w:numPr>
        <w:pStyle w:val="Compact"/>
      </w:pPr>
      <w:r>
        <w:t xml:space="preserve">合理配置转型所需的各类资源</w:t>
      </w:r>
    </w:p>
    <w:p>
      <w:pPr>
        <w:numPr>
          <w:ilvl w:val="1"/>
          <w:numId w:val="1059"/>
        </w:numPr>
        <w:pStyle w:val="Compact"/>
      </w:pPr>
      <w:r>
        <w:t xml:space="preserve">建立资源动态调整机制</w:t>
      </w:r>
    </w:p>
    <w:p>
      <w:pPr>
        <w:numPr>
          <w:ilvl w:val="1"/>
          <w:numId w:val="1059"/>
        </w:numPr>
        <w:pStyle w:val="Compact"/>
      </w:pPr>
      <w:r>
        <w:t xml:space="preserve">确保关键资源的持续供给</w:t>
      </w:r>
    </w:p>
    <w:p>
      <w:pPr>
        <w:pStyle w:val="FirstParagraph"/>
      </w:pPr>
      <w:r>
        <w:rPr>
          <w:bCs/>
          <w:b/>
        </w:rPr>
        <w:t xml:space="preserve">风险管理控制</w:t>
      </w:r>
      <w:r>
        <w:t xml:space="preserve">：</w:t>
      </w:r>
      <w:r>
        <w:t xml:space="preserve"> </w:t>
      </w:r>
      <w:r>
        <w:t xml:space="preserve">1.</w:t>
      </w:r>
      <w:r>
        <w:t xml:space="preserve"> </w:t>
      </w:r>
      <w:r>
        <w:rPr>
          <w:bCs/>
          <w:b/>
        </w:rPr>
        <w:t xml:space="preserve">风险识别评估</w:t>
      </w:r>
      <w:r>
        <w:t xml:space="preserve">：</w:t>
      </w:r>
      <w:r>
        <w:t xml:space="preserve"> </w:t>
      </w:r>
      <w:r>
        <w:t xml:space="preserve">- 建立系统的风险识别和评估机制</w:t>
      </w:r>
      <w:r>
        <w:t xml:space="preserve"> </w:t>
      </w:r>
      <w:r>
        <w:t xml:space="preserve">- 定期进行风险排查和分析</w:t>
      </w:r>
      <w:r>
        <w:t xml:space="preserve"> </w:t>
      </w:r>
      <w:r>
        <w:t xml:space="preserve">- 建立风险预警和监控体系</w:t>
      </w:r>
    </w:p>
    <w:p>
      <w:pPr>
        <w:numPr>
          <w:ilvl w:val="0"/>
          <w:numId w:val="1060"/>
        </w:numPr>
        <w:pStyle w:val="Compact"/>
      </w:pPr>
      <w:r>
        <w:rPr>
          <w:bCs/>
          <w:b/>
        </w:rPr>
        <w:t xml:space="preserve">风险应对策略</w:t>
      </w:r>
      <w:r>
        <w:t xml:space="preserve">：</w:t>
      </w:r>
    </w:p>
    <w:p>
      <w:pPr>
        <w:numPr>
          <w:ilvl w:val="1"/>
          <w:numId w:val="1061"/>
        </w:numPr>
        <w:pStyle w:val="Compact"/>
      </w:pPr>
      <w:r>
        <w:t xml:space="preserve">制定针对性的风险应对预案</w:t>
      </w:r>
    </w:p>
    <w:p>
      <w:pPr>
        <w:numPr>
          <w:ilvl w:val="1"/>
          <w:numId w:val="1061"/>
        </w:numPr>
        <w:pStyle w:val="Compact"/>
      </w:pPr>
      <w:r>
        <w:t xml:space="preserve">建立风险分担和转移机制</w:t>
      </w:r>
    </w:p>
    <w:p>
      <w:pPr>
        <w:numPr>
          <w:ilvl w:val="1"/>
          <w:numId w:val="1061"/>
        </w:numPr>
        <w:pStyle w:val="Compact"/>
      </w:pPr>
      <w:r>
        <w:t xml:space="preserve">完善应急管理制度</w:t>
      </w:r>
    </w:p>
    <w:p>
      <w:pPr>
        <w:numPr>
          <w:ilvl w:val="0"/>
          <w:numId w:val="1060"/>
        </w:numPr>
        <w:pStyle w:val="Compact"/>
      </w:pPr>
      <w:r>
        <w:rPr>
          <w:bCs/>
          <w:b/>
        </w:rPr>
        <w:t xml:space="preserve">持续监控改进</w:t>
      </w:r>
      <w:r>
        <w:t xml:space="preserve">：</w:t>
      </w:r>
    </w:p>
    <w:p>
      <w:pPr>
        <w:numPr>
          <w:ilvl w:val="1"/>
          <w:numId w:val="1062"/>
        </w:numPr>
        <w:pStyle w:val="Compact"/>
      </w:pPr>
      <w:r>
        <w:t xml:space="preserve">建立转型效果的评估机制</w:t>
      </w:r>
    </w:p>
    <w:p>
      <w:pPr>
        <w:numPr>
          <w:ilvl w:val="1"/>
          <w:numId w:val="1062"/>
        </w:numPr>
        <w:pStyle w:val="Compact"/>
      </w:pPr>
      <w:r>
        <w:t xml:space="preserve">定期进行战略检讨和调整</w:t>
      </w:r>
    </w:p>
    <w:p>
      <w:pPr>
        <w:numPr>
          <w:ilvl w:val="1"/>
          <w:numId w:val="1062"/>
        </w:numPr>
        <w:pStyle w:val="Compact"/>
      </w:pPr>
      <w:r>
        <w:t xml:space="preserve">持续改进管理体系</w:t>
      </w:r>
    </w:p>
    <w:p>
      <w:pPr>
        <w:pStyle w:val="FirstParagraph"/>
      </w:pPr>
      <w:r>
        <w:rPr>
          <w:bCs/>
          <w:b/>
        </w:rPr>
        <w:t xml:space="preserve">创新发展能力</w:t>
      </w:r>
      <w:r>
        <w:t xml:space="preserve">：</w:t>
      </w:r>
      <w:r>
        <w:t xml:space="preserve"> </w:t>
      </w:r>
      <w:r>
        <w:t xml:space="preserve">1.</w:t>
      </w:r>
      <w:r>
        <w:t xml:space="preserve"> </w:t>
      </w:r>
      <w:r>
        <w:rPr>
          <w:bCs/>
          <w:b/>
        </w:rPr>
        <w:t xml:space="preserve">技术创新能力</w:t>
      </w:r>
      <w:r>
        <w:t xml:space="preserve">：</w:t>
      </w:r>
      <w:r>
        <w:t xml:space="preserve"> </w:t>
      </w:r>
      <w:r>
        <w:t xml:space="preserve">- 加大研发投入，提升技术水平</w:t>
      </w:r>
      <w:r>
        <w:t xml:space="preserve"> </w:t>
      </w:r>
      <w:r>
        <w:t xml:space="preserve">- 建立创新激励机制，激发创新活力</w:t>
      </w:r>
      <w:r>
        <w:t xml:space="preserve"> </w:t>
      </w:r>
      <w:r>
        <w:t xml:space="preserve">- 加强技术合作，获取外部创新资源</w:t>
      </w:r>
    </w:p>
    <w:p>
      <w:pPr>
        <w:numPr>
          <w:ilvl w:val="0"/>
          <w:numId w:val="1063"/>
        </w:numPr>
        <w:pStyle w:val="Compact"/>
      </w:pPr>
      <w:r>
        <w:rPr>
          <w:bCs/>
          <w:b/>
        </w:rPr>
        <w:t xml:space="preserve">管理创新能力</w:t>
      </w:r>
      <w:r>
        <w:t xml:space="preserve">：</w:t>
      </w:r>
    </w:p>
    <w:p>
      <w:pPr>
        <w:numPr>
          <w:ilvl w:val="1"/>
          <w:numId w:val="1064"/>
        </w:numPr>
        <w:pStyle w:val="Compact"/>
      </w:pPr>
      <w:r>
        <w:t xml:space="preserve">推进管理现代化，提升管理效率</w:t>
      </w:r>
    </w:p>
    <w:p>
      <w:pPr>
        <w:numPr>
          <w:ilvl w:val="1"/>
          <w:numId w:val="1064"/>
        </w:numPr>
        <w:pStyle w:val="Compact"/>
      </w:pPr>
      <w:r>
        <w:t xml:space="preserve">建立学习型组织，增强组织能力</w:t>
      </w:r>
    </w:p>
    <w:p>
      <w:pPr>
        <w:numPr>
          <w:ilvl w:val="1"/>
          <w:numId w:val="1064"/>
        </w:numPr>
        <w:pStyle w:val="Compact"/>
      </w:pPr>
      <w:r>
        <w:t xml:space="preserve">完善治理结构，提升决策质量</w:t>
      </w:r>
    </w:p>
    <w:p>
      <w:pPr>
        <w:numPr>
          <w:ilvl w:val="0"/>
          <w:numId w:val="1063"/>
        </w:numPr>
        <w:pStyle w:val="Compact"/>
      </w:pPr>
      <w:r>
        <w:rPr>
          <w:bCs/>
          <w:b/>
        </w:rPr>
        <w:t xml:space="preserve">商业模式创新</w:t>
      </w:r>
      <w:r>
        <w:t xml:space="preserve">：</w:t>
      </w:r>
    </w:p>
    <w:p>
      <w:pPr>
        <w:numPr>
          <w:ilvl w:val="1"/>
          <w:numId w:val="1065"/>
        </w:numPr>
        <w:pStyle w:val="Compact"/>
      </w:pPr>
      <w:r>
        <w:t xml:space="preserve">探索新的商业模式，创造更大价值</w:t>
      </w:r>
    </w:p>
    <w:p>
      <w:pPr>
        <w:numPr>
          <w:ilvl w:val="1"/>
          <w:numId w:val="1065"/>
        </w:numPr>
        <w:pStyle w:val="Compact"/>
      </w:pPr>
      <w:r>
        <w:t xml:space="preserve">加强数字化转型，提升运营效率</w:t>
      </w:r>
    </w:p>
    <w:p>
      <w:pPr>
        <w:numPr>
          <w:ilvl w:val="1"/>
          <w:numId w:val="1065"/>
        </w:numPr>
        <w:pStyle w:val="Compact"/>
      </w:pPr>
      <w:r>
        <w:t xml:space="preserve">构建生态系统，实现共赢发展</w:t>
      </w:r>
    </w:p>
    <w:bookmarkEnd w:id="161"/>
    <w:bookmarkEnd w:id="162"/>
    <w:bookmarkStart w:id="166" w:name="研究局限与展望"/>
    <w:p>
      <w:pPr>
        <w:pStyle w:val="3"/>
      </w:pPr>
      <w:r>
        <w:t xml:space="preserve">7.4 研究局限与展望</w:t>
      </w:r>
    </w:p>
    <w:bookmarkStart w:id="163" w:name="研究局限性"/>
    <w:p>
      <w:pPr>
        <w:pStyle w:val="4"/>
      </w:pPr>
      <w:r>
        <w:t xml:space="preserve">7.4.1 研究局限性</w:t>
      </w:r>
    </w:p>
    <w:p>
      <w:pPr>
        <w:pStyle w:val="FirstParagraph"/>
      </w:pPr>
      <w:r>
        <w:t xml:space="preserve">本研究虽然在理论和实践层面取得了一定成果，但仍存在以下局限性：</w:t>
      </w:r>
    </w:p>
    <w:p>
      <w:pPr>
        <w:pStyle w:val="BodyText"/>
      </w:pPr>
      <w:r>
        <w:rPr>
          <w:bCs/>
          <w:b/>
        </w:rPr>
        <w:t xml:space="preserve">研究方法局限</w:t>
      </w:r>
      <w:r>
        <w:t xml:space="preserve">：</w:t>
      </w:r>
      <w:r>
        <w:t xml:space="preserve"> </w:t>
      </w:r>
      <w:r>
        <w:t xml:space="preserve">1.</w:t>
      </w:r>
      <w:r>
        <w:t xml:space="preserve"> </w:t>
      </w:r>
      <w:r>
        <w:rPr>
          <w:bCs/>
          <w:b/>
        </w:rPr>
        <w:t xml:space="preserve">单一案例研究</w:t>
      </w:r>
      <w:r>
        <w:t xml:space="preserve">：</w:t>
      </w:r>
      <w:r>
        <w:t xml:space="preserve"> </w:t>
      </w:r>
      <w:r>
        <w:t xml:space="preserve">- 本研究仅选取HSM公司作为案例，样本代表性有限</w:t>
      </w:r>
      <w:r>
        <w:t xml:space="preserve"> </w:t>
      </w:r>
      <w:r>
        <w:t xml:space="preserve">- 单一案例难以推广到所有科技型企业</w:t>
      </w:r>
      <w:r>
        <w:t xml:space="preserve"> </w:t>
      </w:r>
      <w:r>
        <w:t xml:space="preserve">- 案例的特殊性可能影响结论的普适性</w:t>
      </w:r>
    </w:p>
    <w:p>
      <w:pPr>
        <w:numPr>
          <w:ilvl w:val="0"/>
          <w:numId w:val="1066"/>
        </w:numPr>
        <w:pStyle w:val="Compact"/>
      </w:pPr>
      <w:r>
        <w:rPr>
          <w:bCs/>
          <w:b/>
        </w:rPr>
        <w:t xml:space="preserve">数据获取限制</w:t>
      </w:r>
      <w:r>
        <w:t xml:space="preserve">：</w:t>
      </w:r>
    </w:p>
    <w:p>
      <w:pPr>
        <w:numPr>
          <w:ilvl w:val="1"/>
          <w:numId w:val="1067"/>
        </w:numPr>
        <w:pStyle w:val="Compact"/>
      </w:pPr>
      <w:r>
        <w:t xml:space="preserve">部分企业内部数据难以获取，影响分析深度</w:t>
      </w:r>
    </w:p>
    <w:p>
      <w:pPr>
        <w:numPr>
          <w:ilvl w:val="1"/>
          <w:numId w:val="1067"/>
        </w:numPr>
        <w:pStyle w:val="Compact"/>
      </w:pPr>
      <w:r>
        <w:t xml:space="preserve">财务数据的时效性限制了对最新状况的分析</w:t>
      </w:r>
    </w:p>
    <w:p>
      <w:pPr>
        <w:numPr>
          <w:ilvl w:val="1"/>
          <w:numId w:val="1067"/>
        </w:numPr>
        <w:pStyle w:val="Compact"/>
      </w:pPr>
      <w:r>
        <w:t xml:space="preserve">竞争对手数据的缺乏限制了对比分析的全面性</w:t>
      </w:r>
    </w:p>
    <w:p>
      <w:pPr>
        <w:numPr>
          <w:ilvl w:val="0"/>
          <w:numId w:val="1066"/>
        </w:numPr>
        <w:pStyle w:val="Compact"/>
      </w:pPr>
      <w:r>
        <w:rPr>
          <w:bCs/>
          <w:b/>
        </w:rPr>
        <w:t xml:space="preserve">研究时间跨度</w:t>
      </w:r>
      <w:r>
        <w:t xml:space="preserve">：</w:t>
      </w:r>
    </w:p>
    <w:p>
      <w:pPr>
        <w:numPr>
          <w:ilvl w:val="1"/>
          <w:numId w:val="1068"/>
        </w:numPr>
        <w:pStyle w:val="Compact"/>
      </w:pPr>
      <w:r>
        <w:t xml:space="preserve">研究时间跨度相对较短，难以评估长期效果</w:t>
      </w:r>
    </w:p>
    <w:p>
      <w:pPr>
        <w:numPr>
          <w:ilvl w:val="1"/>
          <w:numId w:val="1068"/>
        </w:numPr>
        <w:pStyle w:val="Compact"/>
      </w:pPr>
      <w:r>
        <w:t xml:space="preserve">转型效果的完全显现需要更长时间的观察</w:t>
      </w:r>
    </w:p>
    <w:p>
      <w:pPr>
        <w:numPr>
          <w:ilvl w:val="1"/>
          <w:numId w:val="1068"/>
        </w:numPr>
        <w:pStyle w:val="Compact"/>
      </w:pPr>
      <w:r>
        <w:t xml:space="preserve">外部环境变化可能影响转型效果的持续性</w:t>
      </w:r>
    </w:p>
    <w:p>
      <w:pPr>
        <w:pStyle w:val="FirstParagraph"/>
      </w:pPr>
      <w:r>
        <w:rPr>
          <w:bCs/>
          <w:b/>
        </w:rPr>
        <w:t xml:space="preserve">理论框架局限</w:t>
      </w:r>
      <w:r>
        <w:t xml:space="preserve">：</w:t>
      </w:r>
      <w:r>
        <w:t xml:space="preserve"> </w:t>
      </w:r>
      <w:r>
        <w:t xml:space="preserve">1.</w:t>
      </w:r>
      <w:r>
        <w:t xml:space="preserve"> </w:t>
      </w:r>
      <w:r>
        <w:rPr>
          <w:bCs/>
          <w:b/>
        </w:rPr>
        <w:t xml:space="preserve">理论适用性</w:t>
      </w:r>
      <w:r>
        <w:t xml:space="preserve">：</w:t>
      </w:r>
      <w:r>
        <w:t xml:space="preserve"> </w:t>
      </w:r>
      <w:r>
        <w:t xml:space="preserve">- 现有理论框架在硬科技企业转型中的适用性有待验证</w:t>
      </w:r>
      <w:r>
        <w:t xml:space="preserve"> </w:t>
      </w:r>
      <w:r>
        <w:t xml:space="preserve">- 理论模型需要进一步完善和调整</w:t>
      </w:r>
      <w:r>
        <w:t xml:space="preserve"> </w:t>
      </w:r>
      <w:r>
        <w:t xml:space="preserve">- 不同行业、不同规模企业的转型规律可能存在差异</w:t>
      </w:r>
    </w:p>
    <w:p>
      <w:pPr>
        <w:numPr>
          <w:ilvl w:val="0"/>
          <w:numId w:val="1069"/>
        </w:numPr>
        <w:pStyle w:val="Compact"/>
      </w:pPr>
      <w:r>
        <w:rPr>
          <w:bCs/>
          <w:b/>
        </w:rPr>
        <w:t xml:space="preserve">评价体系完善</w:t>
      </w:r>
      <w:r>
        <w:t xml:space="preserve">：</w:t>
      </w:r>
    </w:p>
    <w:p>
      <w:pPr>
        <w:numPr>
          <w:ilvl w:val="1"/>
          <w:numId w:val="1070"/>
        </w:numPr>
        <w:pStyle w:val="Compact"/>
      </w:pPr>
      <w:r>
        <w:t xml:space="preserve">评价指标的选择和权重设置存在主观性</w:t>
      </w:r>
    </w:p>
    <w:p>
      <w:pPr>
        <w:numPr>
          <w:ilvl w:val="1"/>
          <w:numId w:val="1070"/>
        </w:numPr>
        <w:pStyle w:val="Compact"/>
      </w:pPr>
      <w:r>
        <w:t xml:space="preserve">评价标准的普适性需要进一步验证</w:t>
      </w:r>
    </w:p>
    <w:p>
      <w:pPr>
        <w:numPr>
          <w:ilvl w:val="1"/>
          <w:numId w:val="1070"/>
        </w:numPr>
        <w:pStyle w:val="Compact"/>
      </w:pPr>
      <w:r>
        <w:t xml:space="preserve">动态评价机制的构建需要进一步完善</w:t>
      </w:r>
    </w:p>
    <w:bookmarkEnd w:id="163"/>
    <w:bookmarkStart w:id="164" w:name="未来研究方向"/>
    <w:p>
      <w:pPr>
        <w:pStyle w:val="4"/>
      </w:pPr>
      <w:r>
        <w:t xml:space="preserve">7.4.2 未来研究方向</w:t>
      </w:r>
    </w:p>
    <w:p>
      <w:pPr>
        <w:pStyle w:val="FirstParagraph"/>
      </w:pPr>
      <w:r>
        <w:t xml:space="preserve">基于本研究的局限性，提出以下未来研究方向：</w:t>
      </w:r>
    </w:p>
    <w:p>
      <w:pPr>
        <w:pStyle w:val="BodyText"/>
      </w:pPr>
      <w:r>
        <w:rPr>
          <w:bCs/>
          <w:b/>
        </w:rPr>
        <w:t xml:space="preserve">多案例比较研究</w:t>
      </w:r>
      <w:r>
        <w:t xml:space="preserve">：</w:t>
      </w:r>
      <w:r>
        <w:t xml:space="preserve"> </w:t>
      </w:r>
      <w:r>
        <w:t xml:space="preserve">1.</w:t>
      </w:r>
      <w:r>
        <w:t xml:space="preserve"> </w:t>
      </w:r>
      <w:r>
        <w:rPr>
          <w:bCs/>
          <w:b/>
        </w:rPr>
        <w:t xml:space="preserve">行业对比研究</w:t>
      </w:r>
      <w:r>
        <w:t xml:space="preserve">：</w:t>
      </w:r>
      <w:r>
        <w:t xml:space="preserve"> </w:t>
      </w:r>
      <w:r>
        <w:t xml:space="preserve">- 选取不同行业的科技型企业进行比较研究</w:t>
      </w:r>
      <w:r>
        <w:t xml:space="preserve"> </w:t>
      </w:r>
      <w:r>
        <w:t xml:space="preserve">- 分析不同行业环境下企业转型的特点和规律</w:t>
      </w:r>
      <w:r>
        <w:t xml:space="preserve"> </w:t>
      </w:r>
      <w:r>
        <w:t xml:space="preserve">- 构建行业差异化的转型理论模型</w:t>
      </w:r>
    </w:p>
    <w:p>
      <w:pPr>
        <w:numPr>
          <w:ilvl w:val="0"/>
          <w:numId w:val="1071"/>
        </w:numPr>
        <w:pStyle w:val="Compact"/>
      </w:pPr>
      <w:r>
        <w:rPr>
          <w:bCs/>
          <w:b/>
        </w:rPr>
        <w:t xml:space="preserve">规模差异研究</w:t>
      </w:r>
      <w:r>
        <w:t xml:space="preserve">：</w:t>
      </w:r>
    </w:p>
    <w:p>
      <w:pPr>
        <w:numPr>
          <w:ilvl w:val="1"/>
          <w:numId w:val="1072"/>
        </w:numPr>
        <w:pStyle w:val="Compact"/>
      </w:pPr>
      <w:r>
        <w:t xml:space="preserve">研究不同规模企业的转型路径和效果</w:t>
      </w:r>
    </w:p>
    <w:p>
      <w:pPr>
        <w:numPr>
          <w:ilvl w:val="1"/>
          <w:numId w:val="1072"/>
        </w:numPr>
        <w:pStyle w:val="Compact"/>
      </w:pPr>
      <w:r>
        <w:t xml:space="preserve">分析资源约束对中小企业转型的影响</w:t>
      </w:r>
    </w:p>
    <w:p>
      <w:pPr>
        <w:numPr>
          <w:ilvl w:val="1"/>
          <w:numId w:val="1072"/>
        </w:numPr>
        <w:pStyle w:val="Compact"/>
      </w:pPr>
      <w:r>
        <w:t xml:space="preserve">探讨适合不同规模企业的转型策略</w:t>
      </w:r>
    </w:p>
    <w:p>
      <w:pPr>
        <w:numPr>
          <w:ilvl w:val="0"/>
          <w:numId w:val="1071"/>
        </w:numPr>
        <w:pStyle w:val="Compact"/>
      </w:pPr>
      <w:r>
        <w:rPr>
          <w:bCs/>
          <w:b/>
        </w:rPr>
        <w:t xml:space="preserve">国际比较研究</w:t>
      </w:r>
      <w:r>
        <w:t xml:space="preserve">：</w:t>
      </w:r>
    </w:p>
    <w:p>
      <w:pPr>
        <w:numPr>
          <w:ilvl w:val="1"/>
          <w:numId w:val="1073"/>
        </w:numPr>
        <w:pStyle w:val="Compact"/>
      </w:pPr>
      <w:r>
        <w:t xml:space="preserve">对比国内外科技型企业转型经验</w:t>
      </w:r>
    </w:p>
    <w:p>
      <w:pPr>
        <w:numPr>
          <w:ilvl w:val="1"/>
          <w:numId w:val="1073"/>
        </w:numPr>
        <w:pStyle w:val="Compact"/>
      </w:pPr>
      <w:r>
        <w:t xml:space="preserve">分析制度环境对企业转型的影响</w:t>
      </w:r>
    </w:p>
    <w:p>
      <w:pPr>
        <w:numPr>
          <w:ilvl w:val="1"/>
          <w:numId w:val="1073"/>
        </w:numPr>
        <w:pStyle w:val="Compact"/>
      </w:pPr>
      <w:r>
        <w:t xml:space="preserve">研究国际化背景下的企业转型策略</w:t>
      </w:r>
    </w:p>
    <w:p>
      <w:pPr>
        <w:pStyle w:val="FirstParagraph"/>
      </w:pPr>
      <w:r>
        <w:rPr>
          <w:bCs/>
          <w:b/>
        </w:rPr>
        <w:t xml:space="preserve">长期效果跟踪研究</w:t>
      </w:r>
      <w:r>
        <w:t xml:space="preserve">：</w:t>
      </w:r>
      <w:r>
        <w:t xml:space="preserve"> </w:t>
      </w:r>
      <w:r>
        <w:t xml:space="preserve">1.</w:t>
      </w:r>
      <w:r>
        <w:t xml:space="preserve"> </w:t>
      </w:r>
      <w:r>
        <w:rPr>
          <w:bCs/>
          <w:b/>
        </w:rPr>
        <w:t xml:space="preserve">转型效果持续性</w:t>
      </w:r>
      <w:r>
        <w:t xml:space="preserve">：</w:t>
      </w:r>
      <w:r>
        <w:t xml:space="preserve"> </w:t>
      </w:r>
      <w:r>
        <w:t xml:space="preserve">- 长期跟踪企业转型效果的持续性</w:t>
      </w:r>
      <w:r>
        <w:t xml:space="preserve"> </w:t>
      </w:r>
      <w:r>
        <w:t xml:space="preserve">- 分析转型成果的巩固和发展情况</w:t>
      </w:r>
      <w:r>
        <w:t xml:space="preserve"> </w:t>
      </w:r>
      <w:r>
        <w:t xml:space="preserve">- 研究转型后企业的可持续发展能力</w:t>
      </w:r>
    </w:p>
    <w:p>
      <w:pPr>
        <w:numPr>
          <w:ilvl w:val="0"/>
          <w:numId w:val="1074"/>
        </w:numPr>
        <w:pStyle w:val="Compact"/>
      </w:pPr>
      <w:r>
        <w:rPr>
          <w:bCs/>
          <w:b/>
        </w:rPr>
        <w:t xml:space="preserve">动态调整机制</w:t>
      </w:r>
      <w:r>
        <w:t xml:space="preserve">：</w:t>
      </w:r>
    </w:p>
    <w:p>
      <w:pPr>
        <w:numPr>
          <w:ilvl w:val="1"/>
          <w:numId w:val="1075"/>
        </w:numPr>
        <w:pStyle w:val="Compact"/>
      </w:pPr>
      <w:r>
        <w:t xml:space="preserve">研究企业转型过程中的动态调整策略</w:t>
      </w:r>
    </w:p>
    <w:p>
      <w:pPr>
        <w:numPr>
          <w:ilvl w:val="1"/>
          <w:numId w:val="1075"/>
        </w:numPr>
        <w:pStyle w:val="Compact"/>
      </w:pPr>
      <w:r>
        <w:t xml:space="preserve">分析外部环境变化对转型的影响</w:t>
      </w:r>
    </w:p>
    <w:p>
      <w:pPr>
        <w:numPr>
          <w:ilvl w:val="1"/>
          <w:numId w:val="1075"/>
        </w:numPr>
        <w:pStyle w:val="Compact"/>
      </w:pPr>
      <w:r>
        <w:t xml:space="preserve">探讨转型适应性的提升方法</w:t>
      </w:r>
    </w:p>
    <w:p>
      <w:pPr>
        <w:pStyle w:val="FirstParagraph"/>
      </w:pPr>
      <w:r>
        <w:rPr>
          <w:bCs/>
          <w:b/>
        </w:rPr>
        <w:t xml:space="preserve">理论体系完善</w:t>
      </w:r>
      <w:r>
        <w:t xml:space="preserve">：</w:t>
      </w:r>
      <w:r>
        <w:t xml:space="preserve"> </w:t>
      </w:r>
      <w:r>
        <w:t xml:space="preserve">1.</w:t>
      </w:r>
      <w:r>
        <w:t xml:space="preserve"> </w:t>
      </w:r>
      <w:r>
        <w:rPr>
          <w:bCs/>
          <w:b/>
        </w:rPr>
        <w:t xml:space="preserve">理论模型构建</w:t>
      </w:r>
      <w:r>
        <w:t xml:space="preserve">：</w:t>
      </w:r>
      <w:r>
        <w:t xml:space="preserve"> </w:t>
      </w:r>
      <w:r>
        <w:t xml:space="preserve">- 完善科技型企业转型的理论模型</w:t>
      </w:r>
      <w:r>
        <w:t xml:space="preserve"> </w:t>
      </w:r>
      <w:r>
        <w:t xml:space="preserve">- 构建更加系统化的理论分析框架</w:t>
      </w:r>
      <w:r>
        <w:t xml:space="preserve"> </w:t>
      </w:r>
      <w:r>
        <w:t xml:space="preserve">- 发展适合中国国情的转型理论</w:t>
      </w:r>
    </w:p>
    <w:p>
      <w:pPr>
        <w:numPr>
          <w:ilvl w:val="0"/>
          <w:numId w:val="1076"/>
        </w:numPr>
        <w:pStyle w:val="Compact"/>
      </w:pPr>
      <w:r>
        <w:rPr>
          <w:bCs/>
          <w:b/>
        </w:rPr>
        <w:t xml:space="preserve">评价体系优化</w:t>
      </w:r>
      <w:r>
        <w:t xml:space="preserve">：</w:t>
      </w:r>
    </w:p>
    <w:p>
      <w:pPr>
        <w:numPr>
          <w:ilvl w:val="1"/>
          <w:numId w:val="1077"/>
        </w:numPr>
        <w:pStyle w:val="Compact"/>
      </w:pPr>
      <w:r>
        <w:t xml:space="preserve">完善转型成效的评价指标体系</w:t>
      </w:r>
    </w:p>
    <w:p>
      <w:pPr>
        <w:numPr>
          <w:ilvl w:val="1"/>
          <w:numId w:val="1077"/>
        </w:numPr>
        <w:pStyle w:val="Compact"/>
      </w:pPr>
      <w:r>
        <w:t xml:space="preserve">开发科学的评价方法和工具</w:t>
      </w:r>
    </w:p>
    <w:p>
      <w:pPr>
        <w:numPr>
          <w:ilvl w:val="1"/>
          <w:numId w:val="1077"/>
        </w:numPr>
        <w:pStyle w:val="Compact"/>
      </w:pPr>
      <w:r>
        <w:t xml:space="preserve">建立动态评价和预警机制</w:t>
      </w:r>
    </w:p>
    <w:p>
      <w:pPr>
        <w:pStyle w:val="FirstParagraph"/>
      </w:pPr>
      <w:r>
        <w:rPr>
          <w:bCs/>
          <w:b/>
        </w:rPr>
        <w:t xml:space="preserve">实证研究深化</w:t>
      </w:r>
      <w:r>
        <w:t xml:space="preserve">：</w:t>
      </w:r>
      <w:r>
        <w:t xml:space="preserve"> </w:t>
      </w:r>
      <w:r>
        <w:t xml:space="preserve">1.</w:t>
      </w:r>
      <w:r>
        <w:t xml:space="preserve"> </w:t>
      </w:r>
      <w:r>
        <w:rPr>
          <w:bCs/>
          <w:b/>
        </w:rPr>
        <w:t xml:space="preserve">大数据分析</w:t>
      </w:r>
      <w:r>
        <w:t xml:space="preserve">：</w:t>
      </w:r>
      <w:r>
        <w:t xml:space="preserve"> </w:t>
      </w:r>
      <w:r>
        <w:t xml:space="preserve">- 利用大数据技术分析企业转型规律</w:t>
      </w:r>
      <w:r>
        <w:t xml:space="preserve"> </w:t>
      </w:r>
      <w:r>
        <w:t xml:space="preserve">- 建立转型预测模型和决策支持系统</w:t>
      </w:r>
      <w:r>
        <w:t xml:space="preserve"> </w:t>
      </w:r>
      <w:r>
        <w:t xml:space="preserve">- 开发智能化转型管理工具</w:t>
      </w:r>
    </w:p>
    <w:p>
      <w:pPr>
        <w:numPr>
          <w:ilvl w:val="0"/>
          <w:numId w:val="1078"/>
        </w:numPr>
        <w:pStyle w:val="Compact"/>
      </w:pPr>
      <w:r>
        <w:rPr>
          <w:bCs/>
          <w:b/>
        </w:rPr>
        <w:t xml:space="preserve">实验研究</w:t>
      </w:r>
      <w:r>
        <w:t xml:space="preserve">：</w:t>
      </w:r>
    </w:p>
    <w:p>
      <w:pPr>
        <w:numPr>
          <w:ilvl w:val="1"/>
          <w:numId w:val="1079"/>
        </w:numPr>
        <w:pStyle w:val="Compact"/>
      </w:pPr>
      <w:r>
        <w:t xml:space="preserve">开展企业转型的实验研究</w:t>
      </w:r>
    </w:p>
    <w:p>
      <w:pPr>
        <w:numPr>
          <w:ilvl w:val="1"/>
          <w:numId w:val="1079"/>
        </w:numPr>
        <w:pStyle w:val="Compact"/>
      </w:pPr>
      <w:r>
        <w:t xml:space="preserve">验证理论假设和策略效果</w:t>
      </w:r>
    </w:p>
    <w:p>
      <w:pPr>
        <w:numPr>
          <w:ilvl w:val="1"/>
          <w:numId w:val="1079"/>
        </w:numPr>
        <w:pStyle w:val="Compact"/>
      </w:pPr>
      <w:r>
        <w:t xml:space="preserve">为实践提供科学依据</w:t>
      </w:r>
    </w:p>
    <w:bookmarkEnd w:id="164"/>
    <w:bookmarkStart w:id="165" w:name="实践应用前景"/>
    <w:p>
      <w:pPr>
        <w:pStyle w:val="4"/>
      </w:pPr>
      <w:r>
        <w:t xml:space="preserve">7.4.3 实践应用前景</w:t>
      </w:r>
    </w:p>
    <w:p>
      <w:pPr>
        <w:pStyle w:val="FirstParagraph"/>
      </w:pPr>
      <w:r>
        <w:t xml:space="preserve">本研究成果在实际应用中具有广阔的前景：</w:t>
      </w:r>
    </w:p>
    <w:p>
      <w:pPr>
        <w:pStyle w:val="BodyText"/>
      </w:pPr>
      <w:r>
        <w:rPr>
          <w:bCs/>
          <w:b/>
        </w:rPr>
        <w:t xml:space="preserve">企业转型咨询</w:t>
      </w:r>
      <w:r>
        <w:t xml:space="preserve">：</w:t>
      </w:r>
      <w:r>
        <w:t xml:space="preserve"> </w:t>
      </w:r>
      <w:r>
        <w:t xml:space="preserve">1.</w:t>
      </w:r>
      <w:r>
        <w:t xml:space="preserve"> </w:t>
      </w:r>
      <w:r>
        <w:rPr>
          <w:bCs/>
          <w:b/>
        </w:rPr>
        <w:t xml:space="preserve">诊断评估服务</w:t>
      </w:r>
      <w:r>
        <w:t xml:space="preserve">：</w:t>
      </w:r>
      <w:r>
        <w:t xml:space="preserve"> </w:t>
      </w:r>
      <w:r>
        <w:t xml:space="preserve">- 为企业提供转型前的全面诊断评估</w:t>
      </w:r>
      <w:r>
        <w:t xml:space="preserve"> </w:t>
      </w:r>
      <w:r>
        <w:t xml:space="preserve">- 识别转型的机会和挑战</w:t>
      </w:r>
      <w:r>
        <w:t xml:space="preserve"> </w:t>
      </w:r>
      <w:r>
        <w:t xml:space="preserve">- 制定个性化的转型方案</w:t>
      </w:r>
    </w:p>
    <w:p>
      <w:pPr>
        <w:numPr>
          <w:ilvl w:val="0"/>
          <w:numId w:val="1080"/>
        </w:numPr>
        <w:pStyle w:val="Compact"/>
      </w:pPr>
      <w:r>
        <w:rPr>
          <w:bCs/>
          <w:b/>
        </w:rPr>
        <w:t xml:space="preserve">转型实施指导</w:t>
      </w:r>
      <w:r>
        <w:t xml:space="preserve">：</w:t>
      </w:r>
    </w:p>
    <w:p>
      <w:pPr>
        <w:numPr>
          <w:ilvl w:val="1"/>
          <w:numId w:val="1081"/>
        </w:numPr>
        <w:pStyle w:val="Compact"/>
      </w:pPr>
      <w:r>
        <w:t xml:space="preserve">为企业转型提供全程指导和支持</w:t>
      </w:r>
    </w:p>
    <w:p>
      <w:pPr>
        <w:numPr>
          <w:ilvl w:val="1"/>
          <w:numId w:val="1081"/>
        </w:numPr>
        <w:pStyle w:val="Compact"/>
      </w:pPr>
      <w:r>
        <w:t xml:space="preserve">协助企业解决转型过程中的具体问题</w:t>
      </w:r>
    </w:p>
    <w:p>
      <w:pPr>
        <w:numPr>
          <w:ilvl w:val="1"/>
          <w:numId w:val="1081"/>
        </w:numPr>
        <w:pStyle w:val="Compact"/>
      </w:pPr>
      <w:r>
        <w:t xml:space="preserve">评估转型效果，提出改进建议</w:t>
      </w:r>
    </w:p>
    <w:p>
      <w:pPr>
        <w:pStyle w:val="FirstParagraph"/>
      </w:pPr>
      <w:r>
        <w:rPr>
          <w:bCs/>
          <w:b/>
        </w:rPr>
        <w:t xml:space="preserve">政策制定支持</w:t>
      </w:r>
      <w:r>
        <w:t xml:space="preserve">：</w:t>
      </w:r>
      <w:r>
        <w:t xml:space="preserve"> </w:t>
      </w:r>
      <w:r>
        <w:t xml:space="preserve">1.</w:t>
      </w:r>
      <w:r>
        <w:t xml:space="preserve"> </w:t>
      </w:r>
      <w:r>
        <w:rPr>
          <w:bCs/>
          <w:b/>
        </w:rPr>
        <w:t xml:space="preserve">政策效果评估</w:t>
      </w:r>
      <w:r>
        <w:t xml:space="preserve">：</w:t>
      </w:r>
      <w:r>
        <w:t xml:space="preserve"> </w:t>
      </w:r>
      <w:r>
        <w:t xml:space="preserve">- 评估现有政策对企业转型的影响</w:t>
      </w:r>
      <w:r>
        <w:t xml:space="preserve"> </w:t>
      </w:r>
      <w:r>
        <w:t xml:space="preserve">- 提出政策改进建议</w:t>
      </w:r>
      <w:r>
        <w:t xml:space="preserve"> </w:t>
      </w:r>
      <w:r>
        <w:t xml:space="preserve">- 预测政策实施效果</w:t>
      </w:r>
    </w:p>
    <w:p>
      <w:pPr>
        <w:numPr>
          <w:ilvl w:val="0"/>
          <w:numId w:val="1082"/>
        </w:numPr>
        <w:pStyle w:val="Compact"/>
      </w:pPr>
      <w:r>
        <w:rPr>
          <w:bCs/>
          <w:b/>
        </w:rPr>
        <w:t xml:space="preserve">产业发展规划</w:t>
      </w:r>
      <w:r>
        <w:t xml:space="preserve">：</w:t>
      </w:r>
    </w:p>
    <w:p>
      <w:pPr>
        <w:numPr>
          <w:ilvl w:val="1"/>
          <w:numId w:val="1083"/>
        </w:numPr>
        <w:pStyle w:val="Compact"/>
      </w:pPr>
      <w:r>
        <w:t xml:space="preserve">为产业规划提供理论依据和实践经验</w:t>
      </w:r>
    </w:p>
    <w:p>
      <w:pPr>
        <w:numPr>
          <w:ilvl w:val="1"/>
          <w:numId w:val="1083"/>
        </w:numPr>
        <w:pStyle w:val="Compact"/>
      </w:pPr>
      <w:r>
        <w:t xml:space="preserve">制定产业发展目标和路径</w:t>
      </w:r>
    </w:p>
    <w:p>
      <w:pPr>
        <w:numPr>
          <w:ilvl w:val="1"/>
          <w:numId w:val="1083"/>
        </w:numPr>
        <w:pStyle w:val="Compact"/>
      </w:pPr>
      <w:r>
        <w:t xml:space="preserve">建立产业发展监测体系</w:t>
      </w:r>
    </w:p>
    <w:p>
      <w:pPr>
        <w:pStyle w:val="FirstParagraph"/>
      </w:pPr>
      <w:r>
        <w:rPr>
          <w:bCs/>
          <w:b/>
        </w:rPr>
        <w:t xml:space="preserve">教育培训应用</w:t>
      </w:r>
      <w:r>
        <w:t xml:space="preserve">：</w:t>
      </w:r>
      <w:r>
        <w:t xml:space="preserve"> </w:t>
      </w:r>
      <w:r>
        <w:t xml:space="preserve">1.</w:t>
      </w:r>
      <w:r>
        <w:t xml:space="preserve"> </w:t>
      </w:r>
      <w:r>
        <w:rPr>
          <w:bCs/>
          <w:b/>
        </w:rPr>
        <w:t xml:space="preserve">管理培训课程</w:t>
      </w:r>
      <w:r>
        <w:t xml:space="preserve">：</w:t>
      </w:r>
      <w:r>
        <w:t xml:space="preserve"> </w:t>
      </w:r>
      <w:r>
        <w:t xml:space="preserve">- 开发企业转型培训课程</w:t>
      </w:r>
      <w:r>
        <w:t xml:space="preserve"> </w:t>
      </w:r>
      <w:r>
        <w:t xml:space="preserve">- 培养企业转型管理人才</w:t>
      </w:r>
      <w:r>
        <w:t xml:space="preserve"> </w:t>
      </w:r>
      <w:r>
        <w:t xml:space="preserve">- 提升管理者转型管理能力</w:t>
      </w:r>
    </w:p>
    <w:p>
      <w:pPr>
        <w:numPr>
          <w:ilvl w:val="0"/>
          <w:numId w:val="1084"/>
        </w:numPr>
        <w:pStyle w:val="Compact"/>
      </w:pPr>
      <w:r>
        <w:rPr>
          <w:bCs/>
          <w:b/>
        </w:rPr>
        <w:t xml:space="preserve">案例教学资源</w:t>
      </w:r>
      <w:r>
        <w:t xml:space="preserve">：</w:t>
      </w:r>
    </w:p>
    <w:p>
      <w:pPr>
        <w:numPr>
          <w:ilvl w:val="1"/>
          <w:numId w:val="1085"/>
        </w:numPr>
        <w:pStyle w:val="Compact"/>
      </w:pPr>
      <w:r>
        <w:t xml:space="preserve">开发企业转型案例库</w:t>
      </w:r>
    </w:p>
    <w:p>
      <w:pPr>
        <w:numPr>
          <w:ilvl w:val="1"/>
          <w:numId w:val="1085"/>
        </w:numPr>
        <w:pStyle w:val="Compact"/>
      </w:pPr>
      <w:r>
        <w:t xml:space="preserve">为MBA教学提供实践案例</w:t>
      </w:r>
    </w:p>
    <w:p>
      <w:pPr>
        <w:numPr>
          <w:ilvl w:val="1"/>
          <w:numId w:val="1085"/>
        </w:numPr>
        <w:pStyle w:val="Compact"/>
      </w:pPr>
      <w:r>
        <w:t xml:space="preserve">促进理论与实践的结合</w:t>
      </w:r>
    </w:p>
    <w:p>
      <w:pPr>
        <w:pStyle w:val="FirstParagraph"/>
      </w:pPr>
      <w:r>
        <w:rPr>
          <w:bCs/>
          <w:b/>
        </w:rPr>
        <w:t xml:space="preserve">数字化转型助力</w:t>
      </w:r>
      <w:r>
        <w:t xml:space="preserve">：</w:t>
      </w:r>
      <w:r>
        <w:t xml:space="preserve"> </w:t>
      </w:r>
      <w:r>
        <w:t xml:space="preserve">1.</w:t>
      </w:r>
      <w:r>
        <w:t xml:space="preserve"> </w:t>
      </w:r>
      <w:r>
        <w:rPr>
          <w:bCs/>
          <w:b/>
        </w:rPr>
        <w:t xml:space="preserve">转型管理平台</w:t>
      </w:r>
      <w:r>
        <w:t xml:space="preserve">：</w:t>
      </w:r>
      <w:r>
        <w:t xml:space="preserve"> </w:t>
      </w:r>
      <w:r>
        <w:t xml:space="preserve">- 开发企业转型管理信息系统</w:t>
      </w:r>
      <w:r>
        <w:t xml:space="preserve"> </w:t>
      </w:r>
      <w:r>
        <w:t xml:space="preserve">- 提供转型过程监控和分析工具</w:t>
      </w:r>
      <w:r>
        <w:t xml:space="preserve"> </w:t>
      </w:r>
      <w:r>
        <w:t xml:space="preserve">- 支持转型决策的科学化</w:t>
      </w:r>
    </w:p>
    <w:p>
      <w:pPr>
        <w:numPr>
          <w:ilvl w:val="0"/>
          <w:numId w:val="1086"/>
        </w:numPr>
        <w:pStyle w:val="Compact"/>
      </w:pPr>
      <w:r>
        <w:rPr>
          <w:bCs/>
          <w:b/>
        </w:rPr>
        <w:t xml:space="preserve">智能化决策支持</w:t>
      </w:r>
      <w:r>
        <w:t xml:space="preserve">：</w:t>
      </w:r>
    </w:p>
    <w:p>
      <w:pPr>
        <w:numPr>
          <w:ilvl w:val="1"/>
          <w:numId w:val="1087"/>
        </w:numPr>
        <w:pStyle w:val="Compact"/>
      </w:pPr>
      <w:r>
        <w:t xml:space="preserve">利用AI技术开发转型决策支持系统</w:t>
      </w:r>
    </w:p>
    <w:p>
      <w:pPr>
        <w:numPr>
          <w:ilvl w:val="1"/>
          <w:numId w:val="1087"/>
        </w:numPr>
        <w:pStyle w:val="Compact"/>
      </w:pPr>
      <w:r>
        <w:t xml:space="preserve">提供转型路径优化建议</w:t>
      </w:r>
    </w:p>
    <w:p>
      <w:pPr>
        <w:numPr>
          <w:ilvl w:val="1"/>
          <w:numId w:val="1087"/>
        </w:numPr>
        <w:pStyle w:val="Compact"/>
      </w:pPr>
      <w:r>
        <w:t xml:space="preserve">预测转型风险和效果</w:t>
      </w:r>
    </w:p>
    <w:p>
      <w:pPr>
        <w:pStyle w:val="FirstParagraph"/>
      </w:pPr>
      <w:r>
        <w:t xml:space="preserve">随着研究的不断深入和应用范围的扩大，本研究将在推动中国企业战略转型、提升企业核心竞争力、促进经济高质量发展等方面发挥更加重要的作用。</w:t>
      </w:r>
    </w:p>
    <w:bookmarkEnd w:id="165"/>
    <w:bookmarkEnd w:id="166"/>
    <w:bookmarkStart w:id="167" w:name="研究总结"/>
    <w:p>
      <w:pPr>
        <w:pStyle w:val="3"/>
      </w:pPr>
      <w:r>
        <w:t xml:space="preserve">7.5 研究总结</w:t>
      </w:r>
    </w:p>
    <w:p>
      <w:pPr>
        <w:pStyle w:val="FirstParagraph"/>
      </w:pPr>
      <w:r>
        <w:t xml:space="preserve">本研究以HSM公司为案例，深入分析了科技型企业战略转型的理论依据、实施路径、成效评估和管理启示。通过系统性的研究，得出以下主要结论：</w:t>
      </w:r>
    </w:p>
    <w:p>
      <w:pPr>
        <w:pStyle w:val="BodyText"/>
      </w:pPr>
      <w:r>
        <w:t xml:space="preserve">首先，技术创新是科技型企业战略转型的核心驱动力。HSM公司通过第三代DIC技术的突破，成功实现了从传统技术向现代技术的跨越，技术领先优势直接转化为市场竞争优势，验证了技术驱动型转型模式的可行性和有效性。</w:t>
      </w:r>
    </w:p>
    <w:p>
      <w:pPr>
        <w:pStyle w:val="BodyText"/>
      </w:pPr>
      <w:r>
        <w:t xml:space="preserve">其次，市场导向是战略转型成功的重要保障。HSM公司通过从科研市场向工业市场的战略调整，实现了客户结构的优化和市场地位的提升，证明了精准市场定位对企业转型的关键作用。</w:t>
      </w:r>
    </w:p>
    <w:p>
      <w:pPr>
        <w:pStyle w:val="BodyText"/>
      </w:pPr>
      <w:r>
        <w:t xml:space="preserve">再次，组织能力匹配是战略转型的必要条件。HSM公司通过组织架构优化、人才队伍建设和文化变革，构建了支撑转型成功的能力基础，体现了软实力建设的重要性。</w:t>
      </w:r>
    </w:p>
    <w:p>
      <w:pPr>
        <w:pStyle w:val="BodyText"/>
      </w:pPr>
      <w:r>
        <w:t xml:space="preserve">最后，系统化的变革管理是转型成功的关键保障。HSM公司通过科学的转型规划、有效的资源配置和严格的风险管控，确保了转型的顺利实施，为其他企业提供了可借鉴的经验。</w:t>
      </w:r>
    </w:p>
    <w:p>
      <w:pPr>
        <w:pStyle w:val="BodyText"/>
      </w:pPr>
      <w:r>
        <w:t xml:space="preserve">本研究不仅在理论上丰富了科技型企业转型的理论体系，在实践上为企业转型提供了可操作的方案，在政策上为政府决策提供了科学依据，具有重要的理论价值和实践意义。</w:t>
      </w:r>
    </w:p>
    <w:p>
      <w:pPr>
        <w:pStyle w:val="BodyText"/>
      </w:pPr>
      <w:r>
        <w:t xml:space="preserve">随着数字化、智能化时代的到来，科技型企业面临着新的转型机遇和挑战。未来研究需要进一步探索数字化转型背景下企业转型的新模式、新路径，为中国企业的高质量发展提供更加有力的理论支撑和实践指导。</w:t>
      </w:r>
    </w:p>
    <w:bookmarkEnd w:id="167"/>
    <w:bookmarkEnd w:id="168"/>
    <w:bookmarkStart w:id="171" w:name="参考文献"/>
    <w:p>
      <w:pPr>
        <w:pStyle w:val="2"/>
      </w:pPr>
      <w:r>
        <w:t xml:space="preserve">参考文献</w:t>
      </w:r>
    </w:p>
    <w:bookmarkStart w:id="169" w:name="中文文献"/>
    <w:p>
      <w:pPr>
        <w:pStyle w:val="3"/>
      </w:pPr>
      <w:r>
        <w:t xml:space="preserve">中文文献</w:t>
      </w:r>
    </w:p>
    <w:p>
      <w:pPr>
        <w:pStyle w:val="FirstParagraph"/>
      </w:pPr>
      <w:r>
        <w:t xml:space="preserve">[1] 迈克尔·波特. 竞争战略[M]. 北京: 华夏出版社, 2005.</w:t>
      </w:r>
    </w:p>
    <w:p>
      <w:pPr>
        <w:pStyle w:val="BodyText"/>
      </w:pPr>
      <w:r>
        <w:t xml:space="preserve">[2] 亨利·明茨伯格. 战略历程[M]. 北京: 机械工业出版社, 2006.</w:t>
      </w:r>
    </w:p>
    <w:p>
      <w:pPr>
        <w:pStyle w:val="BodyText"/>
      </w:pPr>
      <w:r>
        <w:t xml:space="preserve">[3] 陈劲, 郑刚. 创新管理: 赢得持续竞争优势[M]. 北京: 北京大学出版社, 2016.</w:t>
      </w:r>
    </w:p>
    <w:p>
      <w:pPr>
        <w:pStyle w:val="BodyText"/>
      </w:pPr>
      <w:r>
        <w:t xml:space="preserve">[4] 王重鸣. 组织行为学[M]. 北京: 中国人民大学出版社, 2012.</w:t>
      </w:r>
    </w:p>
    <w:p>
      <w:pPr>
        <w:pStyle w:val="BodyText"/>
      </w:pPr>
      <w:r>
        <w:t xml:space="preserve">[5] 张维迎. 企业的企业家-契约理论[M]. 上海: 上海人民出版社, 2015.</w:t>
      </w:r>
    </w:p>
    <w:p>
      <w:pPr>
        <w:pStyle w:val="BodyText"/>
      </w:pPr>
      <w:r>
        <w:t xml:space="preserve">[6] 中国机器视觉产业联盟. 2024年中国机器视觉产业发展白皮书[R]. 北京: 中国机器视觉产业联盟, 2024.</w:t>
      </w:r>
    </w:p>
    <w:p>
      <w:pPr>
        <w:pStyle w:val="BodyText"/>
      </w:pPr>
      <w:r>
        <w:t xml:space="preserve">[7] 国家统计局. 2024年中国统计年鉴[M]. 北京: 中国统计出版社, 2024.</w:t>
      </w:r>
    </w:p>
    <w:p>
      <w:pPr>
        <w:pStyle w:val="BodyText"/>
      </w:pPr>
      <w:r>
        <w:t xml:space="preserve">[8] 国务院.</w:t>
      </w:r>
      <w:r>
        <w:t xml:space="preserve"> </w:t>
      </w:r>
      <w:r>
        <w:t xml:space="preserve">“</w:t>
      </w:r>
      <w:r>
        <w:t xml:space="preserve">十四五</w:t>
      </w:r>
      <w:r>
        <w:t xml:space="preserve">”</w:t>
      </w:r>
      <w:r>
        <w:t xml:space="preserve">数字经济发展规划[Z]. 2021.</w:t>
      </w:r>
    </w:p>
    <w:p>
      <w:pPr>
        <w:pStyle w:val="BodyText"/>
      </w:pPr>
      <w:r>
        <w:t xml:space="preserve">[9] 住建部. 城市基础设施安全运行监测标准[S]. 北京: 中国建筑工业出版社, 2023.</w:t>
      </w:r>
    </w:p>
    <w:p>
      <w:pPr>
        <w:pStyle w:val="BodyText"/>
      </w:pPr>
      <w:r>
        <w:t xml:space="preserve">[10] 李海舰, 田跃新, 李文杰. 互联网思维与传统企业再造[J]. 中国工业经济, 2014(10): 135-146.</w:t>
      </w:r>
    </w:p>
    <w:p>
      <w:pPr>
        <w:pStyle w:val="BodyText"/>
      </w:pPr>
      <w:r>
        <w:t xml:space="preserve">[11] 陈春花, 赵海然. 数字化转型与企业战略重构[J]. 管理世界, 2019, 35(4): 158-174.</w:t>
      </w:r>
    </w:p>
    <w:p>
      <w:pPr>
        <w:pStyle w:val="BodyText"/>
      </w:pPr>
      <w:r>
        <w:t xml:space="preserve">[12] 肖静华, 谢康, 吴瑶. 从面向合作伙伴到面向消费者的企业数字化转型[J]. 管理世界, 2020, 36(11): 137-154.</w:t>
      </w:r>
    </w:p>
    <w:p>
      <w:pPr>
        <w:pStyle w:val="BodyText"/>
      </w:pPr>
      <w:r>
        <w:t xml:space="preserve">[13] 戚聿东, 肖旭. 数字经济时代的企业管理变革[J]. 管理世界, 2020, 36(6): 135-152.</w:t>
      </w:r>
    </w:p>
    <w:p>
      <w:pPr>
        <w:pStyle w:val="BodyText"/>
      </w:pPr>
      <w:r>
        <w:t xml:space="preserve">[14] 罗珉, 李亮宇. 互联网时代的商业模式创新: 价值创造视角[J]. 中国工业经济, 2015(1): 95-107.</w:t>
      </w:r>
    </w:p>
    <w:p>
      <w:pPr>
        <w:pStyle w:val="BodyText"/>
      </w:pPr>
      <w:r>
        <w:t xml:space="preserve">[15] 江积海, 王烽权. 平台型企业价值共创机制研究[J]. 科研管理, 2019, 40(3): 138-149.</w:t>
      </w:r>
    </w:p>
    <w:bookmarkEnd w:id="169"/>
    <w:bookmarkStart w:id="170" w:name="英文文献"/>
    <w:p>
      <w:pPr>
        <w:pStyle w:val="3"/>
      </w:pPr>
      <w:r>
        <w:t xml:space="preserve">英文文献</w:t>
      </w:r>
    </w:p>
    <w:p>
      <w:pPr>
        <w:pStyle w:val="FirstParagraph"/>
      </w:pPr>
      <w:r>
        <w:t xml:space="preserve">[16] Porter, M. E. Competitive Strategy: Techniques for Analyzing Industries and Competitors[M]. New York: Free Press, 1980.</w:t>
      </w:r>
    </w:p>
    <w:p>
      <w:pPr>
        <w:pStyle w:val="BodyText"/>
      </w:pPr>
      <w:r>
        <w:t xml:space="preserve">[17] Teece, D. J., Pisano, G., &amp; Shuen, A. Dynamic capabilities and strategic management[J]. Strategic Management Journal, 1997, 18(7): 509-533.</w:t>
      </w:r>
    </w:p>
    <w:p>
      <w:pPr>
        <w:pStyle w:val="BodyText"/>
      </w:pPr>
      <w:r>
        <w:t xml:space="preserve">[18] Barney, J. B. Firm resources and sustained competitive advantage[J]. Journal of Management, 1991, 17(1): 99-120.</w:t>
      </w:r>
    </w:p>
    <w:p>
      <w:pPr>
        <w:pStyle w:val="BodyText"/>
      </w:pPr>
      <w:r>
        <w:t xml:space="preserve">[19] Eisenhardt, K. M., &amp; Martin, J. A. Dynamic capabilities: What are they?[J]. Strategic Management Journal, 2000, 21(10-11): 1105-1121.</w:t>
      </w:r>
    </w:p>
    <w:p>
      <w:pPr>
        <w:pStyle w:val="BodyText"/>
      </w:pPr>
      <w:r>
        <w:t xml:space="preserve">[20] O’Reilly, C. A., &amp; Tushman, M. L. The ambidextrous organization[J]. Harvard Business Review, 2004, 82(4): 74-81.</w:t>
      </w:r>
    </w:p>
    <w:p>
      <w:pPr>
        <w:pStyle w:val="BodyText"/>
      </w:pPr>
      <w:r>
        <w:t xml:space="preserve">[21] Christensen, C. M. The Innovator’s Dilemma: When New Technologies Cause Great Firms to Fail[M]. Boston: Harvard Business School Press, 1997.</w:t>
      </w:r>
    </w:p>
    <w:p>
      <w:pPr>
        <w:pStyle w:val="BodyText"/>
      </w:pPr>
      <w:r>
        <w:t xml:space="preserve">[22] Prahalad, C. K., &amp; Hamel, G. The core competence of the corporation[J]. Harvard Business Review, 1990, 68(3): 79-91.</w:t>
      </w:r>
    </w:p>
    <w:p>
      <w:pPr>
        <w:pStyle w:val="BodyText"/>
      </w:pPr>
      <w:r>
        <w:t xml:space="preserve">[23] Amit, R., &amp; Zott, C. Value creation in e-business[J]. Strategic Management Journal, 2001, 22(6-7): 493-520.</w:t>
      </w:r>
    </w:p>
    <w:p>
      <w:pPr>
        <w:pStyle w:val="BodyText"/>
      </w:pPr>
      <w:r>
        <w:t xml:space="preserve">[24] Chesbrough, H. Open Innovation: The New Imperative for Creating and Profiting from Technology[M]. Boston: Harvard Business School Press, 2003.</w:t>
      </w:r>
    </w:p>
    <w:p>
      <w:pPr>
        <w:pStyle w:val="BodyText"/>
      </w:pPr>
      <w:r>
        <w:t xml:space="preserve">[25] Nambisan, S., Wright, M., &amp; Feldman, M. The digital transformation of innovation and entrepreneurship: Progress, challenges and key themes[J]. Research Policy, 2019, 48(8): 103773.</w:t>
      </w:r>
    </w:p>
    <w:p>
      <w:pPr>
        <w:pStyle w:val="BodyText"/>
      </w:pPr>
      <w:r>
        <w:t xml:space="preserve">[26] Vial, G. Understanding digital transformation: A review and a research agenda[J]. The Journal of Strategic Information Systems, 2019, 28(2): 118-144.</w:t>
      </w:r>
    </w:p>
    <w:p>
      <w:pPr>
        <w:pStyle w:val="BodyText"/>
      </w:pPr>
      <w:r>
        <w:t xml:space="preserve">[27] Warner, K. S., &amp; Wäger, M. Building dynamic capabilities for digital transformation: An ongoing process of strategic renewal[J]. Long Range Planning, 2019, 52(3): 326-349.</w:t>
      </w:r>
    </w:p>
    <w:p>
      <w:pPr>
        <w:pStyle w:val="BodyText"/>
      </w:pPr>
      <w:r>
        <w:t xml:space="preserve">[28] Kotter, J. P. Leading change[M]. Boston: Harvard Business Review Press, 2012.</w:t>
      </w:r>
    </w:p>
    <w:p>
      <w:pPr>
        <w:pStyle w:val="BodyText"/>
      </w:pPr>
      <w:r>
        <w:t xml:space="preserve">[29] Gartner. Market Guide for Machine Vision Systems[R]. Stamford: Gartner, 2024.</w:t>
      </w:r>
    </w:p>
    <w:p>
      <w:pPr>
        <w:pStyle w:val="BodyText"/>
      </w:pPr>
      <w:r>
        <w:t xml:space="preserve">[30] MarketsandMarkets. Digital Image Correlation Market by Type, Application, Vertical and Region - Global Forecast to 2029[R]. 2024.</w:t>
      </w:r>
    </w:p>
    <w:bookmarkEnd w:id="170"/>
    <w:bookmarkEnd w:id="171"/>
    <w:bookmarkStart w:id="172" w:name="致谢"/>
    <w:p>
      <w:pPr>
        <w:pStyle w:val="2"/>
      </w:pPr>
      <w:r>
        <w:t xml:space="preserve">致谢</w:t>
      </w:r>
    </w:p>
    <w:p>
      <w:pPr>
        <w:pStyle w:val="FirstParagraph"/>
      </w:pPr>
      <w:r>
        <w:t xml:space="preserve">在本论文完成之际，我谨向所有在论文研究和撰写过程中给予我帮助和支持的老师、同学、同事和家人表示最诚挚的感谢。</w:t>
      </w:r>
    </w:p>
    <w:p>
      <w:pPr>
        <w:pStyle w:val="BodyText"/>
      </w:pPr>
      <w:r>
        <w:t xml:space="preserve">首先，衷心感谢我的导师XXX教授。在论文的选题、框架设计、研究方法到最终定稿的整个过程中，导师都给予了悉心指导和宝贵建议。导师深厚的学术造诣、严谨的治学态度和精益求精的工作作风，使我受益匪浅，也将激励我在今后的工作和学习中不断追求卓越。</w:t>
      </w:r>
    </w:p>
    <w:p>
      <w:pPr>
        <w:pStyle w:val="BodyText"/>
      </w:pPr>
      <w:r>
        <w:t xml:space="preserve">感谢北京大学汇丰商学院的各位授课老师和同学，在EMBA学习期间，老师们传授的前沿管理理论和实践经验，为本文的研究奠定了坚实的理论基础；同学们在课堂讨论和案例分享中的真知灼见，为本文提供了丰富的思想启发。</w:t>
      </w:r>
    </w:p>
    <w:p>
      <w:pPr>
        <w:pStyle w:val="BodyText"/>
      </w:pPr>
      <w:r>
        <w:t xml:space="preserve">感谢深圳市海塞姆科技有限公司（HSM）的管理团队和员工，在案例调研过程中提供的宝贵资料和坦诚交流，使本研究能够基于真实的企业实践展开深入分析。特别感谢HSM创始人兼CEO在百忙之中接受访谈，分享企业战略转型的一手经验和深刻见解。</w:t>
      </w:r>
    </w:p>
    <w:p>
      <w:pPr>
        <w:pStyle w:val="BodyText"/>
      </w:pPr>
      <w:r>
        <w:t xml:space="preserve">感谢行业专家和同行在论文撰写过程中提出的建设性意见，他们的专业视角帮助我更好地把握行业发展趋势和研究方向。</w:t>
      </w:r>
    </w:p>
    <w:p>
      <w:pPr>
        <w:pStyle w:val="BodyText"/>
      </w:pPr>
      <w:r>
        <w:t xml:space="preserve">感谢我的家人，他们的理解、支持和鼓励是我能够顺利完成学业的坚强后盾。特别感谢我的配偶和子女，在我学习和研究期间给予的耐心陪伴和无私付出。</w:t>
      </w:r>
    </w:p>
    <w:p>
      <w:pPr>
        <w:pStyle w:val="BodyText"/>
      </w:pPr>
      <w:r>
        <w:t xml:space="preserve">最后，向所有为本研究提供帮助但未能一一提及的朋友们表示诚挚的谢意。由于作者水平有限，文中难免存在疏漏和不足之处，恳请各位专家学者批评指正。</w:t>
      </w:r>
    </w:p>
    <w:bookmarkEnd w:id="172"/>
    <w:sectPr>
      <w:footerReference r:id="rId16" w:type="even"/>
      <w:footnotePr>
        <w:numFmt w:val="decimalEnclosedCircleChinese"/>
        <w:numRestart w:val="eachPage"/>
      </w:footnotePr>
      <w:pgSz w:h="16838" w:w="11906"/>
      <w:pgMar w:bottom="1418" w:footer="992" w:gutter="0" w:header="851" w:left="1474" w:right="1474" w:top="1701"/>
      <w:cols w:num="1" w:space="425"/>
      <w:docGrid w:charSpace="0" w:linePitch="312"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幼圆">
    <w:panose1 w:val="0201050906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Arial Unicode MS">
    <w:panose1 w:val="020B0604020202020204"/>
    <w:charset w:val="86"/>
    <w:family w:val="swiss"/>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2063362"/>
      <w:docPartObj>
        <w:docPartGallery w:val="autotext"/>
      </w:docPartObj>
    </w:sdtPr>
    <w:sdtContent>
      <w:p w14:paraId="7701D2F9">
        <w:pPr>
          <w:pStyle w:val="10"/>
        </w:pPr>
        <w:r>
          <w:fldChar w:fldCharType="begin"/>
        </w:r>
        <w:r>
          <w:instrText xml:space="preserve">PAGE   \* MERGEFORMAT</w:instrText>
        </w:r>
        <w:r>
          <w:fldChar w:fldCharType="separate"/>
        </w:r>
        <w:r>
          <w:rPr>
            <w:lang w:val="zh-CN"/>
          </w:rPr>
          <w:t>2</w:t>
        </w:r>
        <w:r>
          <w:fldChar w:fldCharType="end"/>
        </w:r>
      </w:p>
    </w:sdtContent>
  </w:sdt>
  <w:p w14:paraId="1C0781C9">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8935D">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6560432"/>
      <w:docPartObj>
        <w:docPartGallery w:val="autotext"/>
      </w:docPartObj>
    </w:sdtPr>
    <w:sdtContent>
      <w:p w14:paraId="161C348C">
        <w:pPr>
          <w:pStyle w:val="10"/>
        </w:pPr>
        <w:r>
          <w:fldChar w:fldCharType="begin"/>
        </w:r>
        <w:r>
          <w:instrText xml:space="preserve">PAGE   \* MERGEFORMAT</w:instrText>
        </w:r>
        <w:r>
          <w:fldChar w:fldCharType="separate"/>
        </w:r>
        <w:r>
          <w:t>I</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0549848"/>
      <w:docPartObj>
        <w:docPartGallery w:val="autotext"/>
      </w:docPartObj>
    </w:sdtPr>
    <w:sdtContent>
      <w:p w14:paraId="0ACD5AF6">
        <w:pPr>
          <w:pStyle w:val="10"/>
        </w:pPr>
        <w:r>
          <w:fldChar w:fldCharType="begin"/>
        </w:r>
        <w:r>
          <w:instrText xml:space="preserve">PAGE   \* MERGEFORMAT</w:instrText>
        </w:r>
        <w:r>
          <w:fldChar w:fldCharType="separate"/>
        </w:r>
        <w:r>
          <w:rPr>
            <w:lang w:val="zh-CN"/>
          </w:rPr>
          <w:t>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AC233">
    <w:pPr>
      <w:pStyle w:val="10"/>
    </w:pPr>
    <w:r>
      <w:fldChar w:fldCharType="begin"/>
    </w:r>
    <w:r>
      <w:instrText xml:space="preserve">PAGE   \* MERGEFORMAT</w:instrText>
    </w:r>
    <w:r>
      <w:fldChar w:fldCharType="separate"/>
    </w:r>
    <w:r>
      <w:rPr>
        <w:lang w:val="zh-CN"/>
      </w:rPr>
      <w:t>III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BCF75">
    <w:pPr>
      <w:pStyle w:val="10"/>
    </w:pPr>
    <w:r>
      <w:fldChar w:fldCharType="begin"/>
    </w:r>
    <w:r>
      <w:instrText xml:space="preserve">PAGE   \* MERGEFORMAT</w:instrText>
    </w:r>
    <w:r>
      <w:fldChar w:fldCharType="separate"/>
    </w:r>
    <w:r>
      <w:rPr>
        <w:lang w:val="zh-CN"/>
      </w:rPr>
      <w:t>12</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24953339"/>
      <w:docPartObj>
        <w:docPartGallery w:val="autotext"/>
      </w:docPartObj>
    </w:sdtPr>
    <w:sdtContent>
      <w:p w14:paraId="3E7274D8">
        <w:pPr>
          <w:pStyle w:val="10"/>
        </w:pPr>
        <w:r>
          <w:fldChar w:fldCharType="begin"/>
        </w:r>
        <w:r>
          <w:instrText xml:space="preserve">PAGE   \* MERGEFORMAT</w:instrText>
        </w:r>
        <w:r>
          <w:fldChar w:fldCharType="separate"/>
        </w:r>
        <w:r>
          <w:rPr>
            <w:lang w:val="zh-CN"/>
          </w:rPr>
          <w:t>13</w:t>
        </w:r>
        <w: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44CB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EB2A5">
    <w:pPr>
      <w:pStyle w:val="11"/>
    </w:pPr>
    <w:r>
      <w:rPr>
        <w:rFonts w:hint="eastAsia"/>
      </w:rPr>
      <w:t xml:space="preserve"> </w:t>
    </w:r>
    <w:r>
      <w:fldChar w:fldCharType="begin"/>
    </w:r>
    <w:r>
      <w:instrText xml:space="preserve"> STYLEREF  "标题 1"  \* MERGEFORMAT </w:instrText>
    </w:r>
    <w:r>
      <w:fldChar w:fldCharType="separate"/>
    </w:r>
    <w:r>
      <w:t>ABSTRACT</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48273">
    <w:pPr>
      <w:pStyle w:val="11"/>
    </w:pPr>
    <w:r>
      <w:rPr>
        <w:rFonts w:hint="eastAsia"/>
      </w:rPr>
      <w:t>北京大学硕士学位论文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218DB">
    <w:pPr>
      <w:pStyle w:val="11"/>
      <w:rPr>
        <w:rFonts w:ascii="宋体" w:hAnsi="宋体"/>
      </w:rPr>
    </w:pPr>
    <w:r>
      <w:rPr>
        <w:rFonts w:ascii="宋体" w:hAnsi="宋体"/>
      </w:rPr>
      <w:fldChar w:fldCharType="begin"/>
    </w:r>
    <w:r>
      <w:rPr>
        <w:rFonts w:ascii="宋体" w:hAnsi="宋体"/>
      </w:rPr>
      <w:instrText xml:space="preserve"> STYLEREF  "标题 1"  \* MERGEFORMAT </w:instrText>
    </w:r>
    <w:r>
      <w:rPr>
        <w:rFonts w:ascii="宋体" w:hAnsi="宋体"/>
      </w:rPr>
      <w:fldChar w:fldCharType="separate"/>
    </w:r>
    <w:r>
      <w:rPr>
        <w:rFonts w:ascii="宋体" w:hAnsi="宋体"/>
      </w:rPr>
      <w:t>ABSTRACT</w:t>
    </w:r>
    <w:r>
      <w:rPr>
        <w:rFonts w:ascii="宋体" w:hAnsi="宋体"/>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AB2AE">
    <w:pPr>
      <w:pStyle w:val="11"/>
    </w:pPr>
    <w:r>
      <w:rPr>
        <w:rFonts w:hint="eastAsia"/>
      </w:rPr>
      <w:t>北京大学硕士学位论文</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58D237DF"/>
    <w:multiLevelType w:val="multilevel"/>
    <w:tmpl w:val="58D237DF"/>
    <w:lvl w:ilvl="0" w:tentative="0">
      <w:start w:val="1"/>
      <w:numFmt w:val="bullet"/>
      <w:lvlText w:val=""/>
      <w:lvlJc w:val="left"/>
      <w:pPr>
        <w:tabs>
          <w:tab w:pos="900" w:val="left"/>
        </w:tabs>
        <w:ind w:hanging="420" w:left="900"/>
      </w:pPr>
      <w:rPr>
        <w:rFonts w:ascii="Wingdings" w:hAnsi="Wingdings" w:hint="default"/>
      </w:rPr>
    </w:lvl>
    <w:lvl w:ilvl="1" w:tentative="0">
      <w:start w:val="1"/>
      <w:numFmt w:val="bullet"/>
      <w:lvlText w:val=""/>
      <w:lvlJc w:val="left"/>
      <w:pPr>
        <w:tabs>
          <w:tab w:pos="1320" w:val="left"/>
        </w:tabs>
        <w:ind w:hanging="420" w:left="1320"/>
      </w:pPr>
      <w:rPr>
        <w:rFonts w:ascii="Wingdings" w:hAnsi="Wingdings" w:hint="default"/>
      </w:rPr>
    </w:lvl>
    <w:lvl w:ilvl="2" w:tentative="0">
      <w:start w:val="1"/>
      <w:numFmt w:val="bullet"/>
      <w:lvlText w:val=""/>
      <w:lvlJc w:val="left"/>
      <w:pPr>
        <w:tabs>
          <w:tab w:pos="1740" w:val="left"/>
        </w:tabs>
        <w:ind w:hanging="420" w:left="1740"/>
      </w:pPr>
      <w:rPr>
        <w:rFonts w:ascii="Wingdings" w:hAnsi="Wingdings" w:hint="default"/>
      </w:rPr>
    </w:lvl>
    <w:lvl w:ilvl="3" w:tentative="0">
      <w:start w:val="1"/>
      <w:numFmt w:val="bullet"/>
      <w:lvlText w:val=""/>
      <w:lvlJc w:val="left"/>
      <w:pPr>
        <w:tabs>
          <w:tab w:pos="2160" w:val="left"/>
        </w:tabs>
        <w:ind w:hanging="420" w:left="2160"/>
      </w:pPr>
      <w:rPr>
        <w:rFonts w:ascii="Wingdings" w:hAnsi="Wingdings" w:hint="default"/>
      </w:rPr>
    </w:lvl>
    <w:lvl w:ilvl="4" w:tentative="0">
      <w:start w:val="1"/>
      <w:numFmt w:val="bullet"/>
      <w:lvlText w:val=""/>
      <w:lvlJc w:val="left"/>
      <w:pPr>
        <w:tabs>
          <w:tab w:pos="2580" w:val="left"/>
        </w:tabs>
        <w:ind w:hanging="420" w:left="2580"/>
      </w:pPr>
      <w:rPr>
        <w:rFonts w:ascii="Wingdings" w:hAnsi="Wingdings" w:hint="default"/>
      </w:rPr>
    </w:lvl>
    <w:lvl w:ilvl="5" w:tentative="0">
      <w:start w:val="1"/>
      <w:numFmt w:val="bullet"/>
      <w:lvlText w:val=""/>
      <w:lvlJc w:val="left"/>
      <w:pPr>
        <w:tabs>
          <w:tab w:pos="3000" w:val="left"/>
        </w:tabs>
        <w:ind w:hanging="420" w:left="3000"/>
      </w:pPr>
      <w:rPr>
        <w:rFonts w:ascii="Wingdings" w:hAnsi="Wingdings" w:hint="default"/>
      </w:rPr>
    </w:lvl>
    <w:lvl w:ilvl="6" w:tentative="0">
      <w:start w:val="1"/>
      <w:numFmt w:val="bullet"/>
      <w:lvlText w:val=""/>
      <w:lvlJc w:val="left"/>
      <w:pPr>
        <w:tabs>
          <w:tab w:pos="3420" w:val="left"/>
        </w:tabs>
        <w:ind w:hanging="420" w:left="3420"/>
      </w:pPr>
      <w:rPr>
        <w:rFonts w:ascii="Wingdings" w:hAnsi="Wingdings" w:hint="default"/>
      </w:rPr>
    </w:lvl>
    <w:lvl w:ilvl="7" w:tentative="0">
      <w:start w:val="1"/>
      <w:numFmt w:val="bullet"/>
      <w:lvlText w:val=""/>
      <w:lvlJc w:val="left"/>
      <w:pPr>
        <w:tabs>
          <w:tab w:pos="3840" w:val="left"/>
        </w:tabs>
        <w:ind w:hanging="420" w:left="3840"/>
      </w:pPr>
      <w:rPr>
        <w:rFonts w:ascii="Wingdings" w:hAnsi="Wingdings" w:hint="default"/>
      </w:rPr>
    </w:lvl>
    <w:lvl w:ilvl="8" w:tentative="0">
      <w:start w:val="1"/>
      <w:numFmt w:val="bullet"/>
      <w:lvlText w:val=""/>
      <w:lvlJc w:val="left"/>
      <w:pPr>
        <w:tabs>
          <w:tab w:pos="4260" w:val="left"/>
        </w:tabs>
        <w:ind w:hanging="420" w:left="426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1"/>
  </w:num>
  <w:num w:numId="1028">
    <w:abstractNumId w:val="991"/>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1"/>
  </w:num>
  <w:num w:numId="1031">
    <w:abstractNumId w:val="991"/>
  </w:num>
  <w:num w:numId="10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1"/>
  </w:num>
  <w:num w:numId="1034">
    <w:abstractNumId w:val="991"/>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1"/>
  </w:num>
  <w:num w:numId="1037">
    <w:abstractNumId w:val="991"/>
  </w:num>
  <w:num w:numId="10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1"/>
  </w:num>
  <w:num w:numId="1040">
    <w:abstractNumId w:val="991"/>
  </w:num>
  <w:num w:numId="10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1"/>
  </w:num>
  <w:num w:numId="104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1"/>
  </w:num>
  <w:num w:numId="1045">
    <w:abstractNumId w:val="991"/>
  </w:num>
  <w:num w:numId="10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1"/>
  </w:num>
  <w:num w:numId="1048">
    <w:abstractNumId w:val="991"/>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1"/>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1"/>
  </w:num>
  <w:num w:numId="10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1"/>
  </w:num>
  <w:num w:numId="10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1"/>
  </w:num>
  <w:num w:numId="105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1"/>
  </w:num>
  <w:num w:numId="1059">
    <w:abstractNumId w:val="991"/>
  </w:num>
  <w:num w:numId="10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1"/>
  </w:num>
  <w:num w:numId="1062">
    <w:abstractNumId w:val="991"/>
  </w:num>
  <w:num w:numId="10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1"/>
  </w:num>
  <w:num w:numId="1065">
    <w:abstractNumId w:val="991"/>
  </w:num>
  <w:num w:numId="106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1"/>
  </w:num>
  <w:num w:numId="1068">
    <w:abstractNumId w:val="991"/>
  </w:num>
  <w:num w:numId="10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1"/>
  </w:num>
  <w:num w:numId="10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1"/>
  </w:num>
  <w:num w:numId="1073">
    <w:abstractNumId w:val="991"/>
  </w:num>
  <w:num w:numId="10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1"/>
  </w:num>
  <w:num w:numId="107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1"/>
  </w:num>
  <w:num w:numId="107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1"/>
  </w:num>
  <w:num w:numId="108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1"/>
  </w:num>
  <w:num w:numId="10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1"/>
  </w:num>
  <w:num w:numId="108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1"/>
  </w:num>
  <w:num w:numId="108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1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m:mathPr>
    <m:mathFont m:val="Cambria Math"/>
    <m:brkBin m:val="before"/>
    <m:brkBinSub m:val="--"/>
    <m:smallFrac m:val="1"/>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uiPriority="99"/>
    <w:lsdException w:name="annotation text" w:uiPriority="99"/>
    <w:lsdException w:name="header" w:qFormat="1" w:semiHidden="0" w:uiPriority="99"/>
    <w:lsdException w:name="footer" w:qFormat="1" w:semiHidden="0" w:uiPriority="99"/>
    <w:lsdException w:name="index heading" w:uiPriority="99"/>
    <w:lsdException w:name="caption" w:qFormat="1" w:semiHidden="0" w:uiPriority="35"/>
    <w:lsdException w:name="table of figures" w:uiPriority="99"/>
    <w:lsdException w:name="envelope address" w:uiPriority="99"/>
    <w:lsdException w:name="envelope return" w:uiPriority="99"/>
    <w:lsdException w:name="footnote reference" w:qFormat="1" w:semiHidden="0"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qFormat="1"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qFormat="1" w:semiHidden="0" w:uiPriority="0" w:unhideWhenUsed="0"/>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imes New Roman" w:cs="Times New Roman" w:eastAsia="宋体" w:hAnsi="Times New Roman"/>
      <w:kern w:val="2"/>
      <w:sz w:val="21"/>
      <w:szCs w:val="24"/>
      <w:lang w:bidi="ar-SA" w:eastAsia="zh-CN" w:val="en-US"/>
    </w:rPr>
  </w:style>
  <w:style w:styleId="2" w:type="paragraph">
    <w:name w:val="heading 1"/>
    <w:basedOn w:val="1"/>
    <w:next w:val="1"/>
    <w:link w:val="20"/>
    <w:qFormat/>
    <w:uiPriority w:val="9"/>
    <w:pPr>
      <w:adjustRightInd w:val="0"/>
      <w:snapToGrid w:val="0"/>
      <w:spacing w:after="360" w:before="480"/>
      <w:jc w:val="center"/>
      <w:outlineLvl w:val="0"/>
    </w:pPr>
    <w:rPr>
      <w:rFonts w:eastAsia="黑体"/>
      <w:bCs/>
      <w:kern w:val="44"/>
      <w:sz w:val="32"/>
      <w:szCs w:val="32"/>
    </w:rPr>
  </w:style>
  <w:style w:styleId="3" w:type="paragraph">
    <w:name w:val="heading 2"/>
    <w:basedOn w:val="1"/>
    <w:next w:val="1"/>
    <w:link w:val="29"/>
    <w:unhideWhenUsed/>
    <w:qFormat/>
    <w:uiPriority w:val="9"/>
    <w:pPr>
      <w:adjustRightInd w:val="0"/>
      <w:snapToGrid w:val="0"/>
      <w:spacing w:after="120" w:before="480" w:line="400" w:lineRule="exact"/>
      <w:outlineLvl w:val="1"/>
    </w:pPr>
    <w:rPr>
      <w:rFonts w:eastAsia="黑体"/>
      <w:bCs/>
      <w:kern w:val="0"/>
      <w:sz w:val="28"/>
      <w:szCs w:val="28"/>
    </w:rPr>
  </w:style>
  <w:style w:styleId="4" w:type="paragraph">
    <w:name w:val="heading 3"/>
    <w:basedOn w:val="1"/>
    <w:next w:val="1"/>
    <w:link w:val="30"/>
    <w:unhideWhenUsed/>
    <w:qFormat/>
    <w:uiPriority w:val="9"/>
    <w:pPr>
      <w:adjustRightInd w:val="0"/>
      <w:snapToGrid w:val="0"/>
      <w:spacing w:after="120" w:before="240" w:line="400" w:lineRule="exact"/>
      <w:outlineLvl w:val="2"/>
    </w:pPr>
    <w:rPr>
      <w:rFonts w:eastAsia="黑体"/>
      <w:bCs/>
      <w:kern w:val="0"/>
      <w:sz w:val="26"/>
      <w:szCs w:val="26"/>
    </w:rPr>
  </w:style>
  <w:style w:default="1" w:styleId="17" w:type="character">
    <w:name w:val="Default Paragraph Font"/>
    <w:semiHidden/>
    <w:unhideWhenUsed/>
    <w:qFormat/>
    <w:uiPriority w:val="1"/>
  </w:style>
  <w:style w:default="1" w:styleId="15" w:type="table">
    <w:name w:val="Normal Table"/>
    <w:semiHidden/>
    <w:unhideWhenUsed/>
    <w:qFormat/>
    <w:uiPriority w:val="99"/>
    <w:tblPr>
      <w:tblCellMar>
        <w:top w:type="dxa" w:w="0"/>
        <w:left w:type="dxa" w:w="108"/>
        <w:bottom w:type="dxa" w:w="0"/>
        <w:right w:type="dxa" w:w="108"/>
      </w:tblCellMar>
    </w:tblPr>
  </w:style>
  <w:style w:styleId="5" w:type="paragraph">
    <w:name w:val="caption"/>
    <w:basedOn w:val="1"/>
    <w:next w:val="1"/>
    <w:unhideWhenUsed/>
    <w:qFormat/>
    <w:uiPriority w:val="35"/>
    <w:pPr>
      <w:spacing w:line="360" w:lineRule="auto"/>
      <w:jc w:val="center"/>
    </w:pPr>
    <w:rPr>
      <w:rFonts w:asciiTheme="majorHAnsi" w:cstheme="majorBidi" w:hAnsiTheme="majorHAnsi"/>
      <w:sz w:val="22"/>
      <w:szCs w:val="20"/>
    </w:rPr>
  </w:style>
  <w:style w:styleId="6" w:type="paragraph">
    <w:name w:val="toc 3"/>
    <w:basedOn w:val="1"/>
    <w:next w:val="1"/>
    <w:autoRedefine/>
    <w:unhideWhenUsed/>
    <w:qFormat/>
    <w:uiPriority w:val="39"/>
    <w:pPr>
      <w:tabs>
        <w:tab w:leader="dot" w:pos="8948" w:val="right"/>
      </w:tabs>
      <w:adjustRightInd w:val="0"/>
      <w:snapToGrid w:val="0"/>
      <w:spacing w:line="400" w:lineRule="exact"/>
      <w:ind w:left="420" w:leftChars="200"/>
    </w:pPr>
    <w:rPr>
      <w:sz w:val="24"/>
    </w:rPr>
  </w:style>
  <w:style w:styleId="7" w:type="paragraph">
    <w:name w:val="Plain Text"/>
    <w:basedOn w:val="1"/>
    <w:link w:val="21"/>
    <w:qFormat/>
    <w:uiPriority w:val="0"/>
    <w:rPr>
      <w:rFonts w:ascii="宋体" w:cs="幼圆" w:hAnsi="Courier New"/>
      <w:szCs w:val="21"/>
    </w:rPr>
  </w:style>
  <w:style w:styleId="8" w:type="paragraph">
    <w:name w:val="Date"/>
    <w:basedOn w:val="1"/>
    <w:next w:val="1"/>
    <w:link w:val="26"/>
    <w:semiHidden/>
    <w:unhideWhenUsed/>
    <w:qFormat/>
    <w:uiPriority w:val="99"/>
    <w:pPr>
      <w:ind w:left="100" w:leftChars="2500"/>
    </w:pPr>
  </w:style>
  <w:style w:styleId="9" w:type="paragraph">
    <w:name w:val="Balloon Text"/>
    <w:basedOn w:val="1"/>
    <w:link w:val="22"/>
    <w:semiHidden/>
    <w:unhideWhenUsed/>
    <w:qFormat/>
    <w:uiPriority w:val="99"/>
    <w:rPr>
      <w:sz w:val="18"/>
      <w:szCs w:val="18"/>
    </w:rPr>
  </w:style>
  <w:style w:styleId="10" w:type="paragraph">
    <w:name w:val="footer"/>
    <w:basedOn w:val="1"/>
    <w:link w:val="24"/>
    <w:unhideWhenUsed/>
    <w:qFormat/>
    <w:uiPriority w:val="99"/>
    <w:pPr>
      <w:tabs>
        <w:tab w:pos="4153" w:val="center"/>
        <w:tab w:pos="8306" w:val="right"/>
      </w:tabs>
      <w:snapToGrid w:val="0"/>
      <w:jc w:val="center"/>
    </w:pPr>
    <w:rPr>
      <w:szCs w:val="21"/>
    </w:rPr>
  </w:style>
  <w:style w:styleId="11" w:type="paragraph">
    <w:name w:val="header"/>
    <w:basedOn w:val="1"/>
    <w:link w:val="23"/>
    <w:unhideWhenUsed/>
    <w:qFormat/>
    <w:uiPriority w:val="99"/>
    <w:pPr>
      <w:pBdr>
        <w:bottom w:color="auto" w:space="1" w:sz="6" w:val="single"/>
      </w:pBdr>
      <w:tabs>
        <w:tab w:pos="4153" w:val="center"/>
        <w:tab w:pos="8306" w:val="right"/>
      </w:tabs>
      <w:snapToGrid w:val="0"/>
      <w:jc w:val="center"/>
    </w:pPr>
    <w:rPr>
      <w:szCs w:val="21"/>
    </w:rPr>
  </w:style>
  <w:style w:styleId="12" w:type="paragraph">
    <w:name w:val="toc 1"/>
    <w:basedOn w:val="1"/>
    <w:next w:val="1"/>
    <w:autoRedefine/>
    <w:unhideWhenUsed/>
    <w:qFormat/>
    <w:uiPriority w:val="39"/>
    <w:pPr>
      <w:tabs>
        <w:tab w:leader="dot" w:pos="8948" w:val="right"/>
      </w:tabs>
      <w:adjustRightInd w:val="0"/>
      <w:snapToGrid w:val="0"/>
      <w:spacing w:before="120" w:line="400" w:lineRule="exact"/>
    </w:pPr>
    <w:rPr>
      <w:rFonts w:eastAsia="黑体"/>
      <w:sz w:val="24"/>
    </w:rPr>
  </w:style>
  <w:style w:styleId="13" w:type="paragraph">
    <w:name w:val="footnote text"/>
    <w:basedOn w:val="1"/>
    <w:link w:val="27"/>
    <w:semiHidden/>
    <w:unhideWhenUsed/>
    <w:qFormat/>
    <w:uiPriority w:val="99"/>
    <w:pPr>
      <w:snapToGrid w:val="0"/>
      <w:jc w:val="left"/>
    </w:pPr>
    <w:rPr>
      <w:sz w:val="18"/>
      <w:szCs w:val="18"/>
    </w:rPr>
  </w:style>
  <w:style w:styleId="14" w:type="paragraph">
    <w:name w:val="toc 2"/>
    <w:basedOn w:val="1"/>
    <w:next w:val="1"/>
    <w:autoRedefine/>
    <w:unhideWhenUsed/>
    <w:qFormat/>
    <w:uiPriority w:val="39"/>
    <w:pPr>
      <w:tabs>
        <w:tab w:leader="dot" w:pos="8948" w:val="right"/>
      </w:tabs>
      <w:adjustRightInd w:val="0"/>
      <w:snapToGrid w:val="0"/>
      <w:spacing w:line="400" w:lineRule="exact"/>
      <w:ind w:left="210" w:leftChars="100"/>
    </w:pPr>
    <w:rPr>
      <w:sz w:val="24"/>
    </w:rPr>
  </w:style>
  <w:style w:styleId="16" w:type="table">
    <w:name w:val="Table Grid"/>
    <w:basedOn w:val="15"/>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8" w:type="character">
    <w:name w:val="Hyperlink"/>
    <w:basedOn w:val="17"/>
    <w:unhideWhenUsed/>
    <w:qFormat/>
    <w:uiPriority w:val="99"/>
    <w:rPr>
      <w:color w:themeColor="hyperlink" w:val="0000FF"/>
      <w:u w:val="single"/>
    </w:rPr>
  </w:style>
  <w:style w:styleId="19" w:type="character">
    <w:name w:val="footnote reference"/>
    <w:basedOn w:val="17"/>
    <w:unhideWhenUsed/>
    <w:qFormat/>
    <w:uiPriority w:val="99"/>
  </w:style>
  <w:style w:customStyle="1" w:styleId="20" w:type="character">
    <w:name w:val="标题 1 字符"/>
    <w:basedOn w:val="17"/>
    <w:link w:val="2"/>
    <w:qFormat/>
    <w:uiPriority w:val="9"/>
    <w:rPr>
      <w:rFonts w:ascii="Times New Roman" w:cs="Times New Roman" w:eastAsia="黑体" w:hAnsi="Times New Roman"/>
      <w:bCs/>
      <w:kern w:val="44"/>
      <w:sz w:val="32"/>
      <w:szCs w:val="32"/>
    </w:rPr>
  </w:style>
  <w:style w:customStyle="1" w:styleId="21" w:type="character">
    <w:name w:val="纯文本 字符"/>
    <w:basedOn w:val="17"/>
    <w:link w:val="7"/>
    <w:qFormat/>
    <w:uiPriority w:val="0"/>
    <w:rPr>
      <w:rFonts w:ascii="宋体" w:cs="幼圆" w:eastAsia="宋体" w:hAnsi="Courier New"/>
      <w:szCs w:val="21"/>
    </w:rPr>
  </w:style>
  <w:style w:customStyle="1" w:styleId="22" w:type="character">
    <w:name w:val="批注框文本 字符"/>
    <w:basedOn w:val="17"/>
    <w:link w:val="9"/>
    <w:semiHidden/>
    <w:qFormat/>
    <w:uiPriority w:val="99"/>
    <w:rPr>
      <w:rFonts w:ascii="Times New Roman" w:cs="Times New Roman" w:eastAsia="宋体" w:hAnsi="Times New Roman"/>
      <w:sz w:val="18"/>
      <w:szCs w:val="18"/>
    </w:rPr>
  </w:style>
  <w:style w:customStyle="1" w:styleId="23" w:type="character">
    <w:name w:val="页眉 字符"/>
    <w:basedOn w:val="17"/>
    <w:link w:val="11"/>
    <w:qFormat/>
    <w:uiPriority w:val="99"/>
    <w:rPr>
      <w:rFonts w:ascii="Times New Roman" w:cs="Times New Roman" w:eastAsia="宋体" w:hAnsi="Times New Roman"/>
      <w:szCs w:val="21"/>
    </w:rPr>
  </w:style>
  <w:style w:customStyle="1" w:styleId="24" w:type="character">
    <w:name w:val="页脚 字符"/>
    <w:basedOn w:val="17"/>
    <w:link w:val="10"/>
    <w:qFormat/>
    <w:uiPriority w:val="99"/>
    <w:rPr>
      <w:rFonts w:ascii="Times New Roman" w:cs="Times New Roman" w:eastAsia="宋体" w:hAnsi="Times New Roman"/>
      <w:szCs w:val="21"/>
    </w:rPr>
  </w:style>
  <w:style w:customStyle="1" w:styleId="25" w:type="paragraph">
    <w:name w:val="Default"/>
    <w:qFormat/>
    <w:uiPriority w:val="0"/>
    <w:pPr>
      <w:widowControl w:val="0"/>
      <w:autoSpaceDE w:val="0"/>
      <w:autoSpaceDN w:val="0"/>
      <w:adjustRightInd w:val="0"/>
    </w:pPr>
    <w:rPr>
      <w:rFonts w:ascii="宋体" w:cs="宋体" w:eastAsia="宋体" w:hAnsiTheme="minorHAnsi"/>
      <w:color w:val="000000"/>
      <w:kern w:val="0"/>
      <w:sz w:val="24"/>
      <w:szCs w:val="24"/>
      <w:lang w:bidi="ar-SA" w:eastAsia="zh-CN" w:val="en-US"/>
    </w:rPr>
  </w:style>
  <w:style w:customStyle="1" w:styleId="26" w:type="character">
    <w:name w:val="日期 字符"/>
    <w:basedOn w:val="17"/>
    <w:link w:val="8"/>
    <w:semiHidden/>
    <w:qFormat/>
    <w:uiPriority w:val="99"/>
    <w:rPr>
      <w:rFonts w:ascii="Times New Roman" w:cs="Times New Roman" w:eastAsia="宋体" w:hAnsi="Times New Roman"/>
      <w:szCs w:val="24"/>
    </w:rPr>
  </w:style>
  <w:style w:customStyle="1" w:styleId="27" w:type="character">
    <w:name w:val="脚注文本 字符"/>
    <w:basedOn w:val="17"/>
    <w:link w:val="13"/>
    <w:semiHidden/>
    <w:qFormat/>
    <w:uiPriority w:val="99"/>
    <w:rPr>
      <w:rFonts w:ascii="Times New Roman" w:cs="Times New Roman" w:eastAsia="宋体" w:hAnsi="Times New Roman"/>
      <w:sz w:val="18"/>
      <w:szCs w:val="18"/>
    </w:rPr>
  </w:style>
  <w:style w:styleId="28" w:type="paragraph">
    <w:name w:val="List Paragraph"/>
    <w:basedOn w:val="1"/>
    <w:qFormat/>
    <w:uiPriority w:val="34"/>
    <w:pPr>
      <w:ind w:firstLine="420" w:firstLineChars="200"/>
    </w:pPr>
  </w:style>
  <w:style w:customStyle="1" w:styleId="29" w:type="character">
    <w:name w:val="标题 2 字符"/>
    <w:basedOn w:val="17"/>
    <w:link w:val="3"/>
    <w:qFormat/>
    <w:uiPriority w:val="9"/>
    <w:rPr>
      <w:rFonts w:ascii="Times New Roman" w:cs="Times New Roman" w:eastAsia="黑体" w:hAnsi="Times New Roman"/>
      <w:bCs/>
      <w:kern w:val="0"/>
      <w:sz w:val="28"/>
      <w:szCs w:val="28"/>
    </w:rPr>
  </w:style>
  <w:style w:customStyle="1" w:styleId="30" w:type="character">
    <w:name w:val="标题 3 字符"/>
    <w:basedOn w:val="17"/>
    <w:link w:val="4"/>
    <w:qFormat/>
    <w:uiPriority w:val="9"/>
    <w:rPr>
      <w:rFonts w:ascii="Times New Roman" w:cs="Times New Roman" w:eastAsia="黑体" w:hAnsi="Times New Roman"/>
      <w:bCs/>
      <w:kern w:val="0"/>
      <w:sz w:val="26"/>
      <w:szCs w:val="26"/>
    </w:rPr>
  </w:style>
  <w:style w:customStyle="1" w:styleId="31" w:type="paragraph">
    <w:name w:val="TOC Heading"/>
    <w:basedOn w:val="2"/>
    <w:next w:val="1"/>
    <w:unhideWhenUsed/>
    <w:qFormat/>
    <w:uiPriority w:val="39"/>
    <w:pPr>
      <w:widowControl/>
      <w:spacing w:after="0" w:line="276" w:lineRule="auto"/>
      <w:jc w:val="left"/>
      <w:outlineLvl w:val="9"/>
    </w:pPr>
    <w:rPr>
      <w:rFonts w:asciiTheme="majorHAnsi" w:cstheme="majorBidi" w:eastAsiaTheme="majorEastAsia" w:hAnsiTheme="majorHAnsi"/>
      <w:color w:themeColor="accent1" w:themeShade="BF" w:val="366091"/>
      <w:kern w:val="0"/>
      <w:sz w:val="28"/>
      <w:szCs w:val="28"/>
    </w:rPr>
  </w:style>
  <w:style w:customStyle="1" w:styleId="32" w:type="paragraph">
    <w:name w:val="脚注格式"/>
    <w:basedOn w:val="13"/>
    <w:link w:val="33"/>
    <w:qFormat/>
    <w:uiPriority w:val="0"/>
    <w:pPr>
      <w:ind w:hanging="270" w:hangingChars="150" w:left="270"/>
      <w:jc w:val="both"/>
    </w:pPr>
  </w:style>
  <w:style w:customStyle="1" w:styleId="33" w:type="character">
    <w:name w:val="脚注格式 字符"/>
    <w:basedOn w:val="27"/>
    <w:link w:val="32"/>
    <w:qFormat/>
    <w:uiPriority w:val="0"/>
    <w:rPr>
      <w:rFonts w:ascii="Times New Roman" w:cs="Times New Roman" w:eastAsia="宋体" w:hAnsi="Times New Roman"/>
      <w:sz w:val="18"/>
      <w:szCs w:val="18"/>
    </w:rPr>
  </w:style>
  <w:style w:customStyle="1" w:styleId="34" w:type="paragraph">
    <w:name w:val="图位置"/>
    <w:basedOn w:val="1"/>
    <w:link w:val="35"/>
    <w:qFormat/>
    <w:uiPriority w:val="0"/>
    <w:pPr>
      <w:spacing w:before="240"/>
      <w:jc w:val="center"/>
    </w:pPr>
    <w:rPr>
      <w:sz w:val="24"/>
    </w:rPr>
  </w:style>
  <w:style w:customStyle="1" w:styleId="35" w:type="character">
    <w:name w:val="图位置 字符"/>
    <w:basedOn w:val="17"/>
    <w:link w:val="34"/>
    <w:uiPriority w:val="0"/>
    <w:rPr>
      <w:rFonts w:ascii="Times New Roman" w:cs="Times New Roman" w:eastAsia="宋体" w:hAnsi="Times New Roman"/>
      <w:sz w:val="24"/>
      <w:szCs w:val="24"/>
    </w:rPr>
  </w:style>
  <w:style w:customStyle="1" w:styleId="36" w:type="paragraph">
    <w:name w:val="图标题"/>
    <w:basedOn w:val="1"/>
    <w:link w:val="37"/>
    <w:qFormat/>
    <w:uiPriority w:val="0"/>
    <w:pPr>
      <w:adjustRightInd w:val="0"/>
      <w:snapToGrid w:val="0"/>
      <w:spacing w:after="240" w:before="120"/>
      <w:jc w:val="center"/>
    </w:pPr>
    <w:rPr>
      <w:sz w:val="22"/>
      <w:szCs w:val="22"/>
    </w:rPr>
  </w:style>
  <w:style w:customStyle="1" w:styleId="37" w:type="character">
    <w:name w:val="图标题 字符"/>
    <w:basedOn w:val="17"/>
    <w:link w:val="36"/>
    <w:qFormat/>
    <w:uiPriority w:val="0"/>
    <w:rPr>
      <w:rFonts w:ascii="Times New Roman" w:cs="Times New Roman" w:eastAsia="宋体" w:hAnsi="Times New Roman"/>
      <w:sz w:val="22"/>
    </w:rPr>
  </w:style>
  <w:style w:customStyle="1" w:styleId="38" w:type="paragraph">
    <w:name w:val="表标题"/>
    <w:basedOn w:val="1"/>
    <w:link w:val="39"/>
    <w:qFormat/>
    <w:uiPriority w:val="0"/>
    <w:pPr>
      <w:adjustRightInd w:val="0"/>
      <w:snapToGrid w:val="0"/>
      <w:spacing w:after="120" w:before="240"/>
      <w:jc w:val="center"/>
    </w:pPr>
    <w:rPr>
      <w:sz w:val="22"/>
      <w:szCs w:val="22"/>
    </w:rPr>
  </w:style>
  <w:style w:customStyle="1" w:styleId="39" w:type="character">
    <w:name w:val="表标题 字符"/>
    <w:basedOn w:val="17"/>
    <w:link w:val="38"/>
    <w:qFormat/>
    <w:uiPriority w:val="0"/>
    <w:rPr>
      <w:rFonts w:ascii="Times New Roman" w:cs="Times New Roman" w:eastAsia="宋体" w:hAnsi="Times New Roman"/>
      <w:sz w:val="22"/>
    </w:rPr>
  </w:style>
  <w:style w:customStyle="1" w:styleId="40" w:type="paragraph">
    <w:name w:val="表格内容"/>
    <w:basedOn w:val="1"/>
    <w:link w:val="41"/>
    <w:qFormat/>
    <w:uiPriority w:val="0"/>
    <w:pPr>
      <w:snapToGrid w:val="0"/>
      <w:spacing w:after="60" w:before="60"/>
      <w:jc w:val="center"/>
    </w:pPr>
    <w:rPr>
      <w:kern w:val="0"/>
      <w:sz w:val="22"/>
      <w:szCs w:val="22"/>
    </w:rPr>
  </w:style>
  <w:style w:customStyle="1" w:styleId="41" w:type="character">
    <w:name w:val="表格内容 字符"/>
    <w:basedOn w:val="17"/>
    <w:link w:val="40"/>
    <w:qFormat/>
    <w:uiPriority w:val="0"/>
    <w:rPr>
      <w:rFonts w:ascii="Times New Roman" w:cs="Times New Roman" w:eastAsia="宋体" w:hAnsi="Times New Roman"/>
      <w:kern w:val="0"/>
      <w:sz w:val="22"/>
    </w:rPr>
  </w:style>
  <w:style w:customStyle="1" w:styleId="42" w:type="table">
    <w:name w:val="样式1"/>
    <w:basedOn w:val="15"/>
    <w:uiPriority w:val="99"/>
    <w:pPr>
      <w:spacing w:after="60" w:before="60"/>
      <w:jc w:val="center"/>
    </w:pPr>
    <w:rPr>
      <w:rFonts w:ascii="Times New Roman" w:eastAsia="宋体" w:hAnsi="Times New Roman"/>
    </w:rPr>
    <w:tblPr>
      <w:jc w:val="center"/>
      <w:tblBorders>
        <w:top w:color="auto" w:space="0" w:sz="12" w:val="single"/>
        <w:bottom w:color="auto" w:space="0" w:sz="12" w:val="single"/>
      </w:tblBorders>
    </w:tblPr>
    <w:trPr>
      <w:jc w:val="center"/>
    </w:trPr>
    <w:tcPr>
      <w:vAlign w:val="center"/>
    </w:tcPr>
    <w:tblStylePr w:type="firstRow">
      <w:tcPr>
        <w:tcBorders>
          <w:bottom w:color="auto" w:space="0" w:sz="4" w:val="single"/>
        </w:tcBorders>
      </w:tcPr>
    </w:tblStylePr>
  </w:style>
  <w:style w:customStyle="1" w:styleId="43" w:type="paragraph">
    <w:name w:val="参考文献"/>
    <w:basedOn w:val="1"/>
    <w:link w:val="44"/>
    <w:qFormat/>
    <w:uiPriority w:val="0"/>
    <w:pPr>
      <w:spacing w:before="60" w:line="320" w:lineRule="exact"/>
      <w:ind w:hanging="420" w:hangingChars="200" w:left="420"/>
    </w:pPr>
    <w:rPr>
      <w:szCs w:val="21"/>
    </w:rPr>
  </w:style>
  <w:style w:customStyle="1" w:styleId="44" w:type="character">
    <w:name w:val="参考文献 字符"/>
    <w:basedOn w:val="17"/>
    <w:link w:val="43"/>
    <w:qFormat/>
    <w:uiPriority w:val="0"/>
    <w:rPr>
      <w:rFonts w:ascii="Times New Roman" w:cs="Times New Roman" w:eastAsia="宋体" w:hAnsi="Times New Roman"/>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header5.xml" Type="http://schemas.openxmlformats.org/officeDocument/2006/relationships/header" /><Relationship Id="rId13" Target="header4.xml" Type="http://schemas.openxmlformats.org/officeDocument/2006/relationships/header" /><Relationship Id="rId14" Target="footer3.xml" Type="http://schemas.openxmlformats.org/officeDocument/2006/relationships/footer" /><Relationship Id="rId15" Target="footer2.xml" Type="http://schemas.openxmlformats.org/officeDocument/2006/relationships/footer" /><Relationship Id="rId16" Target="footer1.xml" Type="http://schemas.openxmlformats.org/officeDocument/2006/relationships/footer" /><Relationship Id="rId17" Target="footer7.xml" Type="http://schemas.openxmlformats.org/officeDocument/2006/relationships/footer" /><Relationship Id="rId18" Target="footer6.xml" Type="http://schemas.openxmlformats.org/officeDocument/2006/relationships/footer" /><Relationship Id="rId19" Target="footer5.xml" Type="http://schemas.openxmlformats.org/officeDocument/2006/relationships/footer" /><Relationship Id="rId20" Target="footer4.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4918</Words>
  <Characters>6638</Characters>
  <Lines>60</Lines>
  <Paragraphs>17</Paragraphs>
  <TotalTime>0</TotalTime>
  <ScaleCrop>false</ScaleCrop>
  <LinksUpToDate>false</LinksUpToDate>
  <CharactersWithSpaces>7055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������������������������������������������������������HSM������</dc:title>
  <dc:creator>������</dc:creator>
  <cp:keywords/>
  <dcterms:created xsi:type="dcterms:W3CDTF">2026-02-24T09:15:38Z</dcterms:created>
  <dcterms:modified xsi:type="dcterms:W3CDTF">2026-02-24T09:15:38Z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t:lpwstr>
  </property>
  <property fmtid="{D5CDD505-2E9C-101B-9397-08002B2CF9AE}" pid="3" name="institute">
    <vt:lpwstr>���������������������������</vt:lpwstr>
  </property>
  <property fmtid="{D5CDD505-2E9C-101B-9397-08002B2CF9AE}" pid="4" name="program">
    <vt:lpwstr>���������������������������������������EMBA���</vt:lpwstr>
  </property>
  <property fmtid="{D5CDD505-2E9C-101B-9397-08002B2CF9AE}" pid="5" name="supervisor">
    <vt:lpwstr>���������</vt:lpwstr>
  </property>
</Properties>
</file>